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_GBK" w:eastAsia="方正小标宋简体" w:cs="方正小标宋_GBK"/>
          <w:sz w:val="44"/>
          <w:szCs w:val="44"/>
        </w:rPr>
      </w:pPr>
    </w:p>
    <w:p>
      <w:pPr>
        <w:spacing w:line="68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陕西省住房公积金</w:t>
      </w:r>
      <w:r>
        <w:rPr>
          <w:rFonts w:ascii="方正小标宋简体" w:hAnsi="方正小标宋_GBK" w:eastAsia="方正小标宋简体" w:cs="方正小标宋_GBK"/>
          <w:sz w:val="44"/>
          <w:szCs w:val="44"/>
          <w:lang w:val="en"/>
        </w:rPr>
        <w:t>2023</w:t>
      </w:r>
      <w:r>
        <w:rPr>
          <w:rFonts w:hint="eastAsia" w:ascii="方正小标宋简体" w:hAnsi="方正小标宋_GBK" w:eastAsia="方正小标宋简体" w:cs="方正小标宋_GBK"/>
          <w:sz w:val="44"/>
          <w:szCs w:val="44"/>
        </w:rPr>
        <w:t>年年度报告</w:t>
      </w:r>
    </w:p>
    <w:p>
      <w:pPr>
        <w:adjustRightInd w:val="0"/>
        <w:snapToGrid w:val="0"/>
        <w:spacing w:line="560" w:lineRule="exact"/>
        <w:ind w:firstLine="636"/>
        <w:rPr>
          <w:rFonts w:ascii="仿宋" w:hAnsi="仿宋" w:eastAsia="仿宋"/>
          <w:sz w:val="28"/>
          <w:szCs w:val="28"/>
        </w:rPr>
      </w:pPr>
    </w:p>
    <w:p>
      <w:pPr>
        <w:widowControl w:val="0"/>
        <w:jc w:val="both"/>
        <w:rPr>
          <w:rFonts w:ascii="Calibri" w:hAnsi="Calibri" w:eastAsia="仿宋_GB2312" w:cs="Times New Roman"/>
          <w:b/>
          <w:bCs/>
          <w:kern w:val="2"/>
          <w:sz w:val="21"/>
          <w:szCs w:val="24"/>
          <w:lang w:val="en-US" w:eastAsia="zh-CN" w:bidi="ar-SA"/>
        </w:rPr>
      </w:pPr>
    </w:p>
    <w:p>
      <w:pPr>
        <w:adjustRightInd w:val="0"/>
        <w:snapToGrid w:val="0"/>
        <w:spacing w:line="600" w:lineRule="exact"/>
        <w:ind w:firstLine="636"/>
        <w:rPr>
          <w:rFonts w:hint="eastAsia" w:ascii="仿宋_GB2312" w:hAnsi="仿宋_GB2312" w:eastAsia="仿宋_GB2312"/>
          <w:sz w:val="32"/>
          <w:szCs w:val="32"/>
        </w:rPr>
      </w:pPr>
      <w:r>
        <w:rPr>
          <w:rFonts w:hint="eastAsia" w:ascii="仿宋_GB2312" w:hAnsi="仿宋_GB2312" w:eastAsia="仿宋_GB2312"/>
          <w:sz w:val="32"/>
          <w:szCs w:val="32"/>
        </w:rPr>
        <w:t>根据国务院《住房公积金管理条例》和《住房和城乡建设部 财政部 中国人民银行关于健全住房公积金信息披露制度的通知》（建金〔2015〕26号）有关规定，现将陕西省住房公积金</w:t>
      </w:r>
      <w:r>
        <w:rPr>
          <w:rFonts w:ascii="仿宋_GB2312" w:hAnsi="仿宋_GB2312" w:eastAsia="仿宋_GB2312"/>
          <w:sz w:val="32"/>
          <w:szCs w:val="32"/>
          <w:lang w:val="en"/>
        </w:rPr>
        <w:t>2023</w:t>
      </w:r>
      <w:r>
        <w:rPr>
          <w:rFonts w:hint="eastAsia" w:ascii="仿宋_GB2312" w:hAnsi="仿宋_GB2312" w:eastAsia="仿宋_GB2312"/>
          <w:sz w:val="32"/>
          <w:szCs w:val="32"/>
        </w:rPr>
        <w:t>年年度报告汇总公布如下：</w:t>
      </w:r>
    </w:p>
    <w:p>
      <w:pPr>
        <w:numPr>
          <w:ilvl w:val="0"/>
          <w:numId w:val="1"/>
        </w:numPr>
        <w:adjustRightInd w:val="0"/>
        <w:snapToGrid w:val="0"/>
        <w:spacing w:line="60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机构概况</w:t>
      </w:r>
    </w:p>
    <w:p>
      <w:pPr>
        <w:adjustRightInd w:val="0"/>
        <w:snapToGrid w:val="0"/>
        <w:spacing w:line="600" w:lineRule="exact"/>
        <w:rPr>
          <w:rFonts w:hint="eastAsia" w:ascii="仿宋_GB2312" w:hAnsi="仿宋_GB2312" w:eastAsia="仿宋_GB2312"/>
          <w:sz w:val="32"/>
          <w:szCs w:val="32"/>
        </w:rPr>
      </w:pPr>
      <w:r>
        <w:rPr>
          <w:rFonts w:hint="eastAsia" w:ascii="楷体_GB2312" w:hAnsi="仿宋" w:eastAsia="楷体_GB2312"/>
          <w:b/>
          <w:sz w:val="32"/>
          <w:szCs w:val="32"/>
        </w:rPr>
        <w:t xml:space="preserve">    </w:t>
      </w:r>
      <w:r>
        <w:rPr>
          <w:rFonts w:hint="eastAsia" w:ascii="楷体_GB2312" w:hAnsi="楷体_GB2312" w:eastAsia="楷体_GB2312" w:cs="楷体_GB2312"/>
          <w:b/>
          <w:sz w:val="32"/>
          <w:szCs w:val="32"/>
        </w:rPr>
        <w:t>（一）住房公积金管理机构。</w:t>
      </w:r>
      <w:r>
        <w:rPr>
          <w:rFonts w:hint="eastAsia" w:ascii="仿宋_GB2312" w:hAnsi="仿宋_GB2312" w:eastAsia="仿宋_GB2312"/>
          <w:sz w:val="32"/>
          <w:szCs w:val="32"/>
        </w:rPr>
        <w:t>全省共有10个设区市住房公积金管理中心，杨凌示范区和韩城市住房公积金管理中心，2个独立设置的分中心（省直、长庆分中心隶属西安中心）。从业人员1779人，其中，在编970人，非在编809人。</w:t>
      </w:r>
    </w:p>
    <w:p>
      <w:pPr>
        <w:tabs>
          <w:tab w:val="left" w:pos="420"/>
        </w:tabs>
        <w:adjustRightInd w:val="0"/>
        <w:snapToGrid w:val="0"/>
        <w:spacing w:line="600" w:lineRule="exact"/>
        <w:ind w:firstLine="643" w:firstLineChars="200"/>
        <w:rPr>
          <w:rFonts w:hint="eastAsia" w:ascii="仿宋_GB2312" w:eastAsia="仿宋_GB2312"/>
          <w:sz w:val="32"/>
          <w:szCs w:val="32"/>
        </w:rPr>
      </w:pPr>
      <w:r>
        <w:rPr>
          <w:rFonts w:hint="eastAsia" w:ascii="楷体_GB2312" w:hAnsi="仿宋" w:eastAsia="楷体_GB2312"/>
          <w:b/>
          <w:sz w:val="32"/>
          <w:szCs w:val="32"/>
        </w:rPr>
        <w:t>（二）住房公积金监管机构。</w:t>
      </w:r>
      <w:r>
        <w:rPr>
          <w:rFonts w:hint="eastAsia" w:ascii="仿宋_GB2312" w:eastAsia="仿宋_GB2312"/>
          <w:sz w:val="32"/>
          <w:szCs w:val="32"/>
        </w:rPr>
        <w:t>陕西省住房和城乡建设厅、陕西省财政厅和中国人民银行陕西省分行负责对本省住房公积金管理运行情况进行监督。陕西省住房和城乡建设厅设立住房公积金监管处，负责辖区住房公积金日常监管工作。</w:t>
      </w:r>
    </w:p>
    <w:p>
      <w:pPr>
        <w:numPr>
          <w:ilvl w:val="0"/>
          <w:numId w:val="2"/>
        </w:numPr>
        <w:adjustRightInd w:val="0"/>
        <w:snapToGrid w:val="0"/>
        <w:spacing w:line="600" w:lineRule="exact"/>
        <w:ind w:firstLine="640" w:firstLineChars="200"/>
        <w:rPr>
          <w:rFonts w:hint="eastAsia" w:ascii="方正黑体简体" w:hAnsi="黑体" w:eastAsia="方正黑体简体"/>
          <w:bCs/>
          <w:sz w:val="32"/>
          <w:szCs w:val="32"/>
        </w:rPr>
      </w:pPr>
      <w:r>
        <w:rPr>
          <w:rFonts w:hint="eastAsia" w:ascii="方正黑体简体" w:hAnsi="黑体" w:eastAsia="方正黑体简体"/>
          <w:bCs/>
          <w:sz w:val="32"/>
          <w:szCs w:val="32"/>
        </w:rPr>
        <w:t>业务运行情况</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hAnsi="仿宋" w:eastAsia="楷体_GB2312"/>
          <w:b/>
          <w:sz w:val="32"/>
          <w:szCs w:val="32"/>
        </w:rPr>
        <w:t>（一）缴存。</w:t>
      </w:r>
      <w:r>
        <w:rPr>
          <w:rFonts w:ascii="仿宋_GB2312" w:eastAsia="仿宋_GB2312"/>
          <w:sz w:val="32"/>
          <w:szCs w:val="32"/>
          <w:lang w:val="en"/>
        </w:rPr>
        <w:t>2023</w:t>
      </w:r>
      <w:r>
        <w:rPr>
          <w:rFonts w:hint="eastAsia" w:ascii="仿宋_GB2312" w:eastAsia="仿宋_GB2312"/>
          <w:sz w:val="32"/>
          <w:szCs w:val="32"/>
        </w:rPr>
        <w:t>年，新开户单位20741家，净增单位10936家；新开户职工54.01万人，净增职工22.12万人；实缴单位101338家、实缴职工494.45万人、缴存额850.86亿元，分别同比增长12.10%、4.68%、13.97%。</w:t>
      </w:r>
      <w:r>
        <w:rPr>
          <w:rFonts w:ascii="仿宋_GB2312" w:eastAsia="仿宋_GB2312"/>
          <w:sz w:val="32"/>
          <w:szCs w:val="32"/>
          <w:lang w:val="en"/>
        </w:rPr>
        <w:t>2023</w:t>
      </w:r>
      <w:r>
        <w:rPr>
          <w:rFonts w:hint="eastAsia" w:ascii="仿宋_GB2312" w:eastAsia="仿宋_GB2312"/>
          <w:sz w:val="32"/>
          <w:szCs w:val="32"/>
        </w:rPr>
        <w:t>年末，缴存总额6644.52亿元、缴存余额2650.93亿元，分别比上年末增长14.68%、11.01%。</w:t>
      </w:r>
    </w:p>
    <w:p>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表1  </w:t>
      </w:r>
      <w:r>
        <w:rPr>
          <w:rFonts w:ascii="仿宋_GB2312" w:hAnsi="宋体" w:eastAsia="仿宋_GB2312" w:cs="宋体"/>
          <w:b/>
          <w:bCs/>
          <w:kern w:val="0"/>
          <w:sz w:val="30"/>
          <w:szCs w:val="30"/>
          <w:lang w:val="en"/>
        </w:rPr>
        <w:t>2023</w:t>
      </w:r>
      <w:r>
        <w:rPr>
          <w:rFonts w:hint="eastAsia" w:ascii="仿宋_GB2312" w:hAnsi="宋体" w:eastAsia="仿宋_GB2312" w:cs="宋体"/>
          <w:b/>
          <w:bCs/>
          <w:kern w:val="0"/>
          <w:sz w:val="30"/>
          <w:szCs w:val="30"/>
        </w:rPr>
        <w:t>年分城市住房公积金缴存情况</w:t>
      </w:r>
    </w:p>
    <w:tbl>
      <w:tblPr>
        <w:tblStyle w:val="4"/>
        <w:tblW w:w="900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393"/>
        <w:gridCol w:w="1430"/>
        <w:gridCol w:w="1520"/>
        <w:gridCol w:w="1613"/>
        <w:gridCol w:w="13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698" w:type="dxa"/>
            <w:tcBorders>
              <w:top w:val="single" w:color="auto" w:sz="8" w:space="0"/>
              <w:left w:val="nil"/>
              <w:bottom w:val="single" w:color="auto" w:sz="8" w:space="0"/>
              <w:right w:val="single" w:color="auto" w:sz="8" w:space="0"/>
            </w:tcBorders>
            <w:noWrap w:val="0"/>
            <w:vAlign w:val="center"/>
          </w:tcPr>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393" w:type="dxa"/>
            <w:tcBorders>
              <w:top w:val="single" w:color="auto" w:sz="8" w:space="0"/>
              <w:left w:val="single" w:color="auto" w:sz="8"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实缴单位</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（个）</w:t>
            </w:r>
          </w:p>
        </w:tc>
        <w:tc>
          <w:tcPr>
            <w:tcW w:w="1430"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实缴职工</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（万人）</w:t>
            </w:r>
          </w:p>
        </w:tc>
        <w:tc>
          <w:tcPr>
            <w:tcW w:w="1520"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缴存额</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613"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累计缴存总额</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349" w:type="dxa"/>
            <w:tcBorders>
              <w:top w:val="single" w:color="auto" w:sz="8" w:space="0"/>
              <w:left w:val="single" w:color="auto" w:sz="4" w:space="0"/>
              <w:bottom w:val="single" w:color="auto" w:sz="8" w:space="0"/>
              <w:right w:val="nil"/>
            </w:tcBorders>
            <w:noWrap w:val="0"/>
            <w:vAlign w:val="center"/>
          </w:tcPr>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缴存余额（亿元）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98"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b/>
                <w:bCs/>
                <w:kern w:val="0"/>
                <w:sz w:val="22"/>
              </w:rPr>
              <w:t>陕西</w:t>
            </w:r>
          </w:p>
        </w:tc>
        <w:tc>
          <w:tcPr>
            <w:tcW w:w="1393"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101,338</w:t>
            </w:r>
          </w:p>
        </w:tc>
        <w:tc>
          <w:tcPr>
            <w:tcW w:w="143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 xml:space="preserve">494.45 </w:t>
            </w:r>
          </w:p>
        </w:tc>
        <w:tc>
          <w:tcPr>
            <w:tcW w:w="152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850.86</w:t>
            </w:r>
          </w:p>
        </w:tc>
        <w:tc>
          <w:tcPr>
            <w:tcW w:w="1613"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6,644.52</w:t>
            </w:r>
          </w:p>
        </w:tc>
        <w:tc>
          <w:tcPr>
            <w:tcW w:w="1349"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2,650.93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56,452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279.87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508.33</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3,787.83</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1,519.59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6,378</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31.28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43.29</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414.52</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150.61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7,017</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38.44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45.89</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397.58</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166.39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2,336</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7.62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11.19</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100.90</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36.84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4,603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29.09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40.35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363.22</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148.28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5,913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22.15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36.86</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391.34</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125.59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8,631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43.76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101.97</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601.25</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249.59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4,104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18.61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28.59</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276.02</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114.78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3,311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11.85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19.17</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175.37</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76.86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2,593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11.79 </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15.22</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136.50</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62.40</w:t>
            </w:r>
          </w:p>
        </w:tc>
      </w:tr>
    </w:tbl>
    <w:p>
      <w:pPr>
        <w:adjustRightInd w:val="0"/>
        <w:snapToGrid w:val="0"/>
        <w:spacing w:before="156" w:beforeLines="50" w:line="600" w:lineRule="exact"/>
        <w:ind w:firstLine="643" w:firstLineChars="200"/>
        <w:rPr>
          <w:rFonts w:ascii="仿宋_GB2312" w:hAnsi="仿宋_GB2312" w:eastAsia="仿宋_GB2312"/>
          <w:sz w:val="32"/>
          <w:szCs w:val="32"/>
        </w:rPr>
      </w:pPr>
      <w:r>
        <w:rPr>
          <w:rFonts w:hint="eastAsia" w:ascii="楷体_GB2312" w:hAnsi="楷体_GB2312" w:eastAsia="楷体_GB2312" w:cs="楷体_GB2312"/>
          <w:b/>
          <w:sz w:val="32"/>
          <w:szCs w:val="32"/>
        </w:rPr>
        <w:t>（二）提取。</w:t>
      </w:r>
      <w:r>
        <w:rPr>
          <w:rFonts w:ascii="仿宋_GB2312" w:hAnsi="仿宋_GB2312" w:eastAsia="仿宋_GB2312"/>
          <w:sz w:val="32"/>
          <w:szCs w:val="32"/>
          <w:lang w:val="en"/>
        </w:rPr>
        <w:t>2023</w:t>
      </w:r>
      <w:r>
        <w:rPr>
          <w:rFonts w:hint="eastAsia" w:ascii="仿宋_GB2312" w:hAnsi="仿宋_GB2312" w:eastAsia="仿宋_GB2312"/>
          <w:sz w:val="32"/>
          <w:szCs w:val="32"/>
        </w:rPr>
        <w:t>年，253.92万名缴存职工提取住房公积金；提取额587.91亿元，同比增长29.51%；提取额占当年缴存额的69.10%，比上年增加8.29个百分点。</w:t>
      </w:r>
      <w:r>
        <w:rPr>
          <w:rFonts w:ascii="仿宋_GB2312" w:hAnsi="仿宋_GB2312" w:eastAsia="仿宋_GB2312"/>
          <w:sz w:val="32"/>
          <w:szCs w:val="32"/>
          <w:lang w:val="en"/>
        </w:rPr>
        <w:t>2023</w:t>
      </w:r>
      <w:r>
        <w:rPr>
          <w:rFonts w:hint="eastAsia" w:ascii="仿宋_GB2312" w:hAnsi="仿宋_GB2312" w:eastAsia="仿宋_GB2312"/>
          <w:sz w:val="32"/>
          <w:szCs w:val="32"/>
        </w:rPr>
        <w:t>年末，提取总额3993.59亿元，比上年末增长17.26%。</w:t>
      </w:r>
    </w:p>
    <w:p>
      <w:pPr>
        <w:adjustRightInd w:val="0"/>
        <w:snapToGrid w:val="0"/>
        <w:spacing w:before="312" w:beforeLines="10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表2  </w:t>
      </w:r>
      <w:r>
        <w:rPr>
          <w:rFonts w:ascii="仿宋_GB2312" w:hAnsi="宋体" w:eastAsia="仿宋_GB2312" w:cs="宋体"/>
          <w:b/>
          <w:bCs/>
          <w:kern w:val="0"/>
          <w:sz w:val="30"/>
          <w:szCs w:val="30"/>
          <w:lang w:val="en"/>
        </w:rPr>
        <w:t>2023</w:t>
      </w:r>
      <w:r>
        <w:rPr>
          <w:rFonts w:hint="eastAsia" w:ascii="仿宋_GB2312" w:hAnsi="宋体" w:eastAsia="仿宋_GB2312" w:cs="宋体"/>
          <w:b/>
          <w:bCs/>
          <w:kern w:val="0"/>
          <w:sz w:val="30"/>
          <w:szCs w:val="30"/>
        </w:rPr>
        <w:t>年分城市住房公积金提取情况</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005"/>
        <w:gridCol w:w="990"/>
        <w:gridCol w:w="1605"/>
        <w:gridCol w:w="1590"/>
        <w:gridCol w:w="17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54" w:type="dxa"/>
            <w:tcBorders>
              <w:top w:val="single" w:color="auto" w:sz="8" w:space="0"/>
              <w:left w:val="nil"/>
              <w:bottom w:val="single" w:color="auto" w:sz="8" w:space="0"/>
              <w:right w:val="single" w:color="auto" w:sz="8" w:space="0"/>
            </w:tcBorders>
            <w:noWrap w:val="0"/>
            <w:vAlign w:val="center"/>
          </w:tcPr>
          <w:p>
            <w:pPr>
              <w:widowControl/>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00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提取额</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990"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提取率</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w:t>
            </w:r>
          </w:p>
        </w:tc>
        <w:tc>
          <w:tcPr>
            <w:tcW w:w="1605"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住房消费类提取额（亿元）</w:t>
            </w:r>
          </w:p>
        </w:tc>
        <w:tc>
          <w:tcPr>
            <w:tcW w:w="1590"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非住房消费类提取额（亿元）</w:t>
            </w:r>
          </w:p>
        </w:tc>
        <w:tc>
          <w:tcPr>
            <w:tcW w:w="1765" w:type="dxa"/>
            <w:tcBorders>
              <w:top w:val="single" w:color="auto" w:sz="8" w:space="0"/>
              <w:left w:val="single" w:color="auto" w:sz="4" w:space="0"/>
              <w:bottom w:val="single" w:color="auto" w:sz="8" w:space="0"/>
              <w:right w:val="nil"/>
            </w:tcBorders>
            <w:noWrap w:val="0"/>
            <w:vAlign w:val="center"/>
          </w:tcPr>
          <w:p>
            <w:pPr>
              <w:snapToGrid w:val="0"/>
              <w:ind w:right="67" w:rightChars="32"/>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累计提取总额</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54"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005"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587.91</w:t>
            </w:r>
          </w:p>
        </w:tc>
        <w:tc>
          <w:tcPr>
            <w:tcW w:w="99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 xml:space="preserve">69.10 </w:t>
            </w:r>
          </w:p>
        </w:tc>
        <w:tc>
          <w:tcPr>
            <w:tcW w:w="1605"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432.12</w:t>
            </w:r>
          </w:p>
        </w:tc>
        <w:tc>
          <w:tcPr>
            <w:tcW w:w="159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155.80</w:t>
            </w:r>
          </w:p>
        </w:tc>
        <w:tc>
          <w:tcPr>
            <w:tcW w:w="1765"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3,993.59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356.91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70.21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272.68</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84.23</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2,268.24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30.94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71.47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20.20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10.74</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263.91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29.67</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64.66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17.72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11.95</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8.14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72.68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5.37</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2.77</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64.05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22.64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56.10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12.57</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10.06</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214.94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29.47</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79.96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22.82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6.65</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265.75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63.52</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62.30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51.57</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11.95</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351.66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20.99</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73.41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12.01</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8.97</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161.24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14.88</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77.63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9.75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5.13</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98.50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10.76</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70.71 </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7.43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3.34</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74.10</w:t>
            </w:r>
          </w:p>
        </w:tc>
      </w:tr>
    </w:tbl>
    <w:p>
      <w:pPr>
        <w:adjustRightInd w:val="0"/>
        <w:snapToGrid w:val="0"/>
        <w:spacing w:before="156" w:beforeLines="5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（三）贷款。</w:t>
      </w:r>
    </w:p>
    <w:p>
      <w:pPr>
        <w:adjustRightInd w:val="0"/>
        <w:snapToGrid w:val="0"/>
        <w:spacing w:line="60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1.个人住房贷款。</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lang w:val="en"/>
        </w:rPr>
        <w:t>2023</w:t>
      </w:r>
      <w:r>
        <w:rPr>
          <w:rFonts w:hint="eastAsia" w:ascii="仿宋_GB2312" w:hAnsi="仿宋_GB2312" w:eastAsia="仿宋_GB2312"/>
          <w:sz w:val="32"/>
          <w:szCs w:val="32"/>
        </w:rPr>
        <w:t>年，发放住房公积金个人住房贷款9.74万笔、548.57亿元，分别同比增长30.91%、42.37%。回收个人住房贷款242.90亿元。</w:t>
      </w:r>
    </w:p>
    <w:p>
      <w:pPr>
        <w:adjustRightInd w:val="0"/>
        <w:snapToGrid w:val="0"/>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lang w:val="en"/>
        </w:rPr>
        <w:t>2023</w:t>
      </w:r>
      <w:r>
        <w:rPr>
          <w:rFonts w:hint="eastAsia" w:ascii="仿宋_GB2312" w:hAnsi="仿宋_GB2312" w:eastAsia="仿宋_GB2312"/>
          <w:sz w:val="32"/>
          <w:szCs w:val="32"/>
        </w:rPr>
        <w:t>年末，累计发放住房公积金个人住房贷款113.02万笔、3593.90亿元，贷款余额2208.09亿元，分别比上年末增长9.43%、18.01%、16.07%。个人住房贷款余额占缴存余额的83.30%，比上年末增加3.63个百分点。</w:t>
      </w:r>
    </w:p>
    <w:p>
      <w:pPr>
        <w:adjustRightInd w:val="0"/>
        <w:snapToGrid w:val="0"/>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lang w:val="en"/>
        </w:rPr>
        <w:t>2023</w:t>
      </w:r>
      <w:r>
        <w:rPr>
          <w:rFonts w:hint="eastAsia" w:ascii="仿宋_GB2312" w:hAnsi="仿宋_GB2312" w:eastAsia="仿宋_GB2312"/>
          <w:sz w:val="32"/>
          <w:szCs w:val="32"/>
        </w:rPr>
        <w:t>年，支持职工购建房1216.46万平方米。年末个人住房贷款市场占有率为19.17%，比上年末增加1.82个百分点。通过申请住房公积金个人住房贷款，可节约职工购房利息支出84.97亿元。</w:t>
      </w:r>
    </w:p>
    <w:p>
      <w:pPr>
        <w:adjustRightInd w:val="0"/>
        <w:snapToGrid w:val="0"/>
        <w:spacing w:line="600" w:lineRule="exact"/>
        <w:ind w:right="25" w:rightChars="12" w:firstLine="643" w:firstLineChars="200"/>
        <w:rPr>
          <w:rFonts w:ascii="仿宋_GB2312" w:hAnsi="仿宋_GB2312" w:eastAsia="仿宋_GB2312"/>
          <w:sz w:val="32"/>
          <w:szCs w:val="32"/>
        </w:rPr>
      </w:pPr>
      <w:r>
        <w:rPr>
          <w:rFonts w:hint="eastAsia" w:ascii="仿宋_GB2312" w:hAnsi="仿宋_GB2312" w:eastAsia="仿宋_GB2312"/>
          <w:b/>
          <w:bCs/>
          <w:sz w:val="32"/>
          <w:szCs w:val="32"/>
        </w:rPr>
        <w:t>2.异地贷款。</w:t>
      </w:r>
      <w:r>
        <w:rPr>
          <w:rFonts w:ascii="仿宋_GB2312" w:hAnsi="仿宋_GB2312" w:eastAsia="仿宋_GB2312"/>
          <w:sz w:val="32"/>
          <w:szCs w:val="32"/>
          <w:lang w:val="en"/>
        </w:rPr>
        <w:t>2023</w:t>
      </w:r>
      <w:r>
        <w:rPr>
          <w:rFonts w:hint="eastAsia" w:ascii="仿宋_GB2312" w:hAnsi="仿宋_GB2312" w:eastAsia="仿宋_GB2312"/>
          <w:sz w:val="32"/>
          <w:szCs w:val="32"/>
        </w:rPr>
        <w:t>年，发放住房公积金异地贷款17049笔、948871.50万元。</w:t>
      </w:r>
      <w:r>
        <w:rPr>
          <w:rFonts w:ascii="仿宋_GB2312" w:hAnsi="仿宋_GB2312" w:eastAsia="仿宋_GB2312"/>
          <w:sz w:val="32"/>
          <w:szCs w:val="32"/>
          <w:lang w:val="en"/>
        </w:rPr>
        <w:t>2023</w:t>
      </w:r>
      <w:r>
        <w:rPr>
          <w:rFonts w:hint="eastAsia" w:ascii="仿宋_GB2312" w:hAnsi="仿宋_GB2312" w:eastAsia="仿宋_GB2312"/>
          <w:sz w:val="32"/>
          <w:szCs w:val="32"/>
        </w:rPr>
        <w:t>年末，发放异地贷款总额5546819.96万元，异地贷款余额3758084.55万元。</w:t>
      </w:r>
    </w:p>
    <w:p>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表3  </w:t>
      </w:r>
      <w:r>
        <w:rPr>
          <w:rFonts w:ascii="仿宋_GB2312" w:hAnsi="宋体" w:eastAsia="仿宋_GB2312" w:cs="宋体"/>
          <w:b/>
          <w:bCs/>
          <w:kern w:val="0"/>
          <w:sz w:val="30"/>
          <w:szCs w:val="30"/>
          <w:lang w:val="en"/>
        </w:rPr>
        <w:t>2023</w:t>
      </w:r>
      <w:r>
        <w:rPr>
          <w:rFonts w:hint="eastAsia" w:ascii="仿宋_GB2312" w:hAnsi="宋体" w:eastAsia="仿宋_GB2312" w:cs="宋体"/>
          <w:b/>
          <w:bCs/>
          <w:kern w:val="0"/>
          <w:sz w:val="30"/>
          <w:szCs w:val="30"/>
        </w:rPr>
        <w:t>年分城市住房公积金个人住房贷款情况</w:t>
      </w:r>
    </w:p>
    <w:tbl>
      <w:tblPr>
        <w:tblStyle w:val="4"/>
        <w:tblW w:w="9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13"/>
        <w:gridCol w:w="1152"/>
        <w:gridCol w:w="1455"/>
        <w:gridCol w:w="1329"/>
        <w:gridCol w:w="1240"/>
        <w:gridCol w:w="12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9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113"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放贷笔数（笔）</w:t>
            </w:r>
          </w:p>
        </w:tc>
        <w:tc>
          <w:tcPr>
            <w:tcW w:w="115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贷款发放额（亿元）</w:t>
            </w:r>
          </w:p>
        </w:tc>
        <w:tc>
          <w:tcPr>
            <w:tcW w:w="1455"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累计放贷笔数（万笔）</w:t>
            </w:r>
          </w:p>
        </w:tc>
        <w:tc>
          <w:tcPr>
            <w:tcW w:w="1329"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累计贷款总额（亿元）</w:t>
            </w:r>
          </w:p>
        </w:tc>
        <w:tc>
          <w:tcPr>
            <w:tcW w:w="1240" w:type="dxa"/>
            <w:tcBorders>
              <w:top w:val="single" w:color="auto" w:sz="8" w:space="0"/>
              <w:left w:val="single" w:color="auto" w:sz="4" w:space="0"/>
              <w:bottom w:val="single" w:color="auto" w:sz="8" w:space="0"/>
              <w:right w:val="nil"/>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贷款余额（亿元）</w:t>
            </w:r>
          </w:p>
        </w:tc>
        <w:tc>
          <w:tcPr>
            <w:tcW w:w="1238" w:type="dxa"/>
            <w:tcBorders>
              <w:top w:val="single" w:color="auto" w:sz="8" w:space="0"/>
              <w:left w:val="single" w:color="auto" w:sz="4" w:space="0"/>
              <w:bottom w:val="single" w:color="auto" w:sz="8" w:space="0"/>
              <w:right w:val="nil"/>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个人住房贷款率（%）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3"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113"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97,390</w:t>
            </w:r>
          </w:p>
        </w:tc>
        <w:tc>
          <w:tcPr>
            <w:tcW w:w="1152"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548.57</w:t>
            </w:r>
          </w:p>
        </w:tc>
        <w:tc>
          <w:tcPr>
            <w:tcW w:w="1455"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b/>
                <w:bCs/>
                <w:kern w:val="0"/>
                <w:sz w:val="22"/>
              </w:rPr>
              <w:t>113.02</w:t>
            </w:r>
          </w:p>
        </w:tc>
        <w:tc>
          <w:tcPr>
            <w:tcW w:w="1329"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3,593.90</w:t>
            </w:r>
          </w:p>
        </w:tc>
        <w:tc>
          <w:tcPr>
            <w:tcW w:w="1240"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2,208.09</w:t>
            </w:r>
          </w:p>
        </w:tc>
        <w:tc>
          <w:tcPr>
            <w:tcW w:w="1238"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 xml:space="preserve">83.30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55,908</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359.35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53.22</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2,055.83</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1,343.90</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88.44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3,880</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13.11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7.73</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189.78</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115.94</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76.98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6,881</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32.08</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7.44</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227.49</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147.97</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88.93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1,543</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5.64</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2.70</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55.35</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31.96</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86.74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4,528</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16.21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6.15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169.30</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104.52</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70.49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3,545</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16.67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7.95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168.57</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79.95</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63.66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12,148</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67.41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8.80</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330.51</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192.96</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77.31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4,080</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15.64</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6.68</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164.93</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82.60</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71.97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2,564</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11.29</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7.59</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138.87</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64.73</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84.21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2,313</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11.19</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4.76</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93.26</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43.57</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69.82 </w:t>
            </w:r>
          </w:p>
        </w:tc>
      </w:tr>
    </w:tbl>
    <w:p>
      <w:pPr>
        <w:adjustRightInd w:val="0"/>
        <w:snapToGrid w:val="0"/>
        <w:spacing w:line="600" w:lineRule="exact"/>
        <w:ind w:left="16" w:firstLine="620" w:firstLineChars="193"/>
        <w:rPr>
          <w:rFonts w:hint="eastAsia" w:ascii="仿宋_GB2312" w:hAnsi="仿宋_GB2312" w:eastAsia="仿宋_GB2312"/>
          <w:sz w:val="32"/>
          <w:szCs w:val="32"/>
        </w:rPr>
      </w:pPr>
      <w:bookmarkStart w:id="0" w:name="_GoBack"/>
      <w:bookmarkEnd w:id="0"/>
      <w:r>
        <w:rPr>
          <w:rFonts w:hint="eastAsia" w:ascii="仿宋_GB2312" w:hAnsi="仿宋_GB2312" w:eastAsia="仿宋_GB2312"/>
          <w:b/>
          <w:sz w:val="32"/>
          <w:szCs w:val="32"/>
        </w:rPr>
        <w:t>3.住房公积金支持保障性住房建设项目贷款。</w:t>
      </w:r>
      <w:r>
        <w:rPr>
          <w:rFonts w:ascii="仿宋_GB2312" w:hAnsi="仿宋_GB2312" w:eastAsia="仿宋_GB2312"/>
          <w:sz w:val="32"/>
          <w:szCs w:val="32"/>
          <w:lang w:val="en"/>
        </w:rPr>
        <w:t>2023</w:t>
      </w:r>
      <w:r>
        <w:rPr>
          <w:rFonts w:hint="eastAsia" w:ascii="仿宋_GB2312" w:hAnsi="仿宋_GB2312" w:eastAsia="仿宋_GB2312"/>
          <w:sz w:val="32"/>
          <w:szCs w:val="32"/>
        </w:rPr>
        <w:t>年，发放支持保障性住房建设项目贷款0亿元，回收项目贷款0.64亿元。</w:t>
      </w:r>
      <w:r>
        <w:rPr>
          <w:rFonts w:ascii="仿宋_GB2312" w:hAnsi="仿宋_GB2312" w:eastAsia="仿宋_GB2312"/>
          <w:sz w:val="32"/>
          <w:szCs w:val="32"/>
          <w:lang w:val="en"/>
        </w:rPr>
        <w:t>2023</w:t>
      </w:r>
      <w:r>
        <w:rPr>
          <w:rFonts w:hint="eastAsia" w:ascii="仿宋_GB2312" w:hAnsi="仿宋_GB2312" w:eastAsia="仿宋_GB2312"/>
          <w:sz w:val="32"/>
          <w:szCs w:val="32"/>
        </w:rPr>
        <w:t>年末，累计发放项目贷款83.1亿元，项目贷款余额0.66亿元。</w:t>
      </w:r>
    </w:p>
    <w:p>
      <w:pPr>
        <w:adjustRightInd w:val="0"/>
        <w:snapToGrid w:val="0"/>
        <w:spacing w:line="600" w:lineRule="exact"/>
        <w:ind w:firstLine="643" w:firstLineChars="200"/>
        <w:rPr>
          <w:rFonts w:hint="eastAsia" w:ascii="仿宋_GB2312" w:hAnsi="仿宋_GB2312" w:eastAsia="仿宋_GB2312"/>
          <w:color w:val="FF0000"/>
          <w:sz w:val="32"/>
          <w:szCs w:val="32"/>
        </w:rPr>
      </w:pPr>
      <w:r>
        <w:rPr>
          <w:rFonts w:hint="eastAsia" w:ascii="楷体_GB2312" w:hAnsi="楷体_GB2312" w:eastAsia="楷体_GB2312" w:cs="楷体_GB2312"/>
          <w:b/>
          <w:sz w:val="32"/>
          <w:szCs w:val="32"/>
        </w:rPr>
        <w:t>（四）购买国债。</w:t>
      </w:r>
      <w:r>
        <w:rPr>
          <w:rFonts w:ascii="仿宋_GB2312" w:hAnsi="仿宋_GB2312" w:eastAsia="仿宋_GB2312"/>
          <w:sz w:val="32"/>
          <w:szCs w:val="32"/>
          <w:lang w:val="en"/>
        </w:rPr>
        <w:t>2023</w:t>
      </w:r>
      <w:r>
        <w:rPr>
          <w:rFonts w:hint="eastAsia" w:ascii="仿宋_GB2312" w:hAnsi="仿宋_GB2312" w:eastAsia="仿宋_GB2312"/>
          <w:sz w:val="32"/>
          <w:szCs w:val="32"/>
        </w:rPr>
        <w:t>年，购买国债0亿元，兑付国债1.75亿元。</w:t>
      </w:r>
      <w:r>
        <w:rPr>
          <w:rFonts w:ascii="仿宋_GB2312" w:hAnsi="仿宋_GB2312" w:eastAsia="仿宋_GB2312"/>
          <w:sz w:val="32"/>
          <w:szCs w:val="32"/>
          <w:lang w:val="en"/>
        </w:rPr>
        <w:t>2023</w:t>
      </w:r>
      <w:r>
        <w:rPr>
          <w:rFonts w:hint="eastAsia" w:ascii="仿宋_GB2312" w:hAnsi="仿宋_GB2312" w:eastAsia="仿宋_GB2312"/>
          <w:sz w:val="32"/>
          <w:szCs w:val="32"/>
        </w:rPr>
        <w:t>年末，国债余额0亿元，比上年末减少1.75亿元。</w:t>
      </w:r>
    </w:p>
    <w:p>
      <w:pPr>
        <w:adjustRightInd w:val="0"/>
        <w:snapToGrid w:val="0"/>
        <w:spacing w:line="600" w:lineRule="exact"/>
        <w:ind w:left="16" w:hanging="16" w:hangingChars="5"/>
        <w:rPr>
          <w:rFonts w:hint="eastAsia" w:ascii="仿宋_GB2312" w:hAnsi="仿宋_GB2312" w:eastAsia="仿宋_GB2312"/>
          <w:spacing w:val="4"/>
          <w:sz w:val="32"/>
          <w:szCs w:val="32"/>
        </w:rPr>
      </w:pPr>
      <w:r>
        <w:rPr>
          <w:rFonts w:hint="eastAsia" w:ascii="楷体_GB2312" w:hAnsi="楷体_GB2312" w:eastAsia="楷体_GB2312" w:cs="楷体_GB2312"/>
          <w:b/>
          <w:sz w:val="32"/>
          <w:szCs w:val="32"/>
        </w:rPr>
        <w:t xml:space="preserve">    </w:t>
      </w:r>
      <w:r>
        <w:rPr>
          <w:rFonts w:hint="eastAsia" w:ascii="楷体_GB2312" w:hAnsi="楷体_GB2312" w:eastAsia="楷体_GB2312" w:cs="楷体_GB2312"/>
          <w:b/>
          <w:spacing w:val="4"/>
          <w:sz w:val="32"/>
          <w:szCs w:val="32"/>
        </w:rPr>
        <w:t>（五）资金存储。</w:t>
      </w:r>
      <w:r>
        <w:rPr>
          <w:rFonts w:ascii="仿宋_GB2312" w:hAnsi="仿宋_GB2312" w:eastAsia="仿宋_GB2312"/>
          <w:spacing w:val="4"/>
          <w:sz w:val="32"/>
          <w:szCs w:val="32"/>
          <w:lang w:val="en"/>
        </w:rPr>
        <w:t>2023</w:t>
      </w:r>
      <w:r>
        <w:rPr>
          <w:rFonts w:hint="eastAsia" w:ascii="仿宋_GB2312" w:hAnsi="仿宋_GB2312" w:eastAsia="仿宋_GB2312"/>
          <w:spacing w:val="4"/>
          <w:sz w:val="32"/>
          <w:szCs w:val="32"/>
        </w:rPr>
        <w:t>年末，住房公积金存款496.23亿元。其中，活期3.67亿元，1年（含）以下定期157.15亿元，1年以上定期207.78亿元，其他(协定、通知存款等)127.63亿元。</w:t>
      </w:r>
    </w:p>
    <w:p>
      <w:pPr>
        <w:adjustRightInd w:val="0"/>
        <w:snapToGrid w:val="0"/>
        <w:spacing w:line="60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（六）资金运用率。</w:t>
      </w:r>
      <w:r>
        <w:rPr>
          <w:rFonts w:ascii="仿宋_GB2312" w:hAnsi="仿宋_GB2312" w:eastAsia="仿宋_GB2312"/>
          <w:sz w:val="32"/>
          <w:szCs w:val="32"/>
          <w:lang w:val="en"/>
        </w:rPr>
        <w:t>2023</w:t>
      </w:r>
      <w:r>
        <w:rPr>
          <w:rFonts w:hint="eastAsia" w:ascii="仿宋_GB2312" w:hAnsi="仿宋_GB2312" w:eastAsia="仿宋_GB2312"/>
          <w:sz w:val="32"/>
          <w:szCs w:val="32"/>
        </w:rPr>
        <w:t>年末，住房公积金个人住房贷款余额、项目贷款余额和购买国债余额的总和占缴存余额的83.32%，比上年末增加3.53个百分点。</w:t>
      </w:r>
    </w:p>
    <w:p>
      <w:pPr>
        <w:adjustRightInd w:val="0"/>
        <w:snapToGrid w:val="0"/>
        <w:spacing w:line="60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三、主要财务数据</w:t>
      </w:r>
    </w:p>
    <w:p>
      <w:pPr>
        <w:adjustRightInd w:val="0"/>
        <w:snapToGrid w:val="0"/>
        <w:spacing w:line="600" w:lineRule="exact"/>
        <w:ind w:firstLine="636"/>
        <w:rPr>
          <w:rFonts w:hint="eastAsia" w:ascii="仿宋_GB2312" w:hAnsi="仿宋_GB2312" w:eastAsia="仿宋_GB2312"/>
          <w:sz w:val="32"/>
          <w:szCs w:val="32"/>
        </w:rPr>
      </w:pPr>
      <w:r>
        <w:rPr>
          <w:rFonts w:hint="eastAsia" w:ascii="楷体_GB2312" w:hAnsi="楷体_GB2312" w:eastAsia="楷体_GB2312" w:cs="楷体_GB2312"/>
          <w:b/>
          <w:sz w:val="32"/>
          <w:szCs w:val="32"/>
        </w:rPr>
        <w:t>（一）业务收入。</w:t>
      </w:r>
      <w:r>
        <w:rPr>
          <w:rFonts w:ascii="仿宋_GB2312" w:hAnsi="仿宋_GB2312" w:eastAsia="仿宋_GB2312"/>
          <w:sz w:val="32"/>
          <w:szCs w:val="32"/>
          <w:lang w:val="en"/>
        </w:rPr>
        <w:t>2023</w:t>
      </w:r>
      <w:r>
        <w:rPr>
          <w:rFonts w:hint="eastAsia" w:ascii="仿宋_GB2312" w:hAnsi="仿宋_GB2312" w:eastAsia="仿宋_GB2312"/>
          <w:sz w:val="32"/>
          <w:szCs w:val="32"/>
        </w:rPr>
        <w:t>年，业务收入773343.39万元，同比增长7.43%。其中，存款利息130915.69万元，委托贷款利息642216.63万元，国债利息143.03万元，其他68.04万元。</w:t>
      </w:r>
    </w:p>
    <w:p>
      <w:pPr>
        <w:adjustRightInd w:val="0"/>
        <w:snapToGrid w:val="0"/>
        <w:spacing w:line="600" w:lineRule="exact"/>
        <w:ind w:left="10" w:leftChars="5" w:firstLine="601" w:firstLineChars="187"/>
        <w:rPr>
          <w:rFonts w:hint="eastAsia" w:ascii="仿宋_GB2312" w:hAnsi="仿宋_GB2312" w:eastAsia="仿宋_GB2312"/>
          <w:sz w:val="32"/>
          <w:szCs w:val="32"/>
        </w:rPr>
      </w:pPr>
      <w:r>
        <w:rPr>
          <w:rFonts w:hint="eastAsia" w:ascii="楷体_GB2312" w:hAnsi="楷体_GB2312" w:eastAsia="楷体_GB2312" w:cs="楷体_GB2312"/>
          <w:b/>
          <w:sz w:val="32"/>
          <w:szCs w:val="32"/>
        </w:rPr>
        <w:t>（二）业务支出。</w:t>
      </w:r>
      <w:r>
        <w:rPr>
          <w:rFonts w:ascii="仿宋_GB2312" w:hAnsi="仿宋_GB2312" w:eastAsia="仿宋_GB2312"/>
          <w:sz w:val="32"/>
          <w:szCs w:val="32"/>
          <w:lang w:val="en"/>
        </w:rPr>
        <w:t>2023</w:t>
      </w:r>
      <w:r>
        <w:rPr>
          <w:rFonts w:hint="eastAsia" w:ascii="仿宋_GB2312" w:hAnsi="仿宋_GB2312" w:eastAsia="仿宋_GB2312"/>
          <w:sz w:val="32"/>
          <w:szCs w:val="32"/>
        </w:rPr>
        <w:t>年，业务支出416600.86万元，同比增长9.46%。其中，支付职工住房公积金利息371903.53万元，归集手续费17362.71万元，委托贷款手续费21529.93万元，其他5804.69万元。</w:t>
      </w:r>
    </w:p>
    <w:p>
      <w:pPr>
        <w:adjustRightInd w:val="0"/>
        <w:snapToGrid w:val="0"/>
        <w:spacing w:line="60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（三）增值收益。</w:t>
      </w:r>
      <w:r>
        <w:rPr>
          <w:rFonts w:ascii="仿宋_GB2312" w:hAnsi="仿宋_GB2312" w:eastAsia="仿宋_GB2312"/>
          <w:sz w:val="32"/>
          <w:szCs w:val="32"/>
          <w:lang w:val="en"/>
        </w:rPr>
        <w:t>2023</w:t>
      </w:r>
      <w:r>
        <w:rPr>
          <w:rFonts w:hint="eastAsia" w:ascii="仿宋_GB2312" w:hAnsi="仿宋_GB2312" w:eastAsia="仿宋_GB2312"/>
          <w:sz w:val="32"/>
          <w:szCs w:val="32"/>
        </w:rPr>
        <w:t>年，增值收益356742.54万元，同比增长5.16%；增值收益率1.42%，比上年减少0.09个百分点。</w:t>
      </w:r>
    </w:p>
    <w:p>
      <w:pPr>
        <w:adjustRightInd w:val="0"/>
        <w:snapToGrid w:val="0"/>
        <w:spacing w:line="600" w:lineRule="exact"/>
        <w:ind w:firstLine="63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（四）增值收益分配。</w:t>
      </w:r>
    </w:p>
    <w:p>
      <w:pPr>
        <w:adjustRightInd w:val="0"/>
        <w:snapToGrid w:val="0"/>
        <w:spacing w:line="600" w:lineRule="exact"/>
        <w:ind w:firstLine="636"/>
        <w:rPr>
          <w:rFonts w:hint="eastAsia" w:ascii="仿宋_GB2312" w:hAnsi="仿宋_GB2312" w:eastAsia="仿宋_GB2312"/>
          <w:sz w:val="32"/>
          <w:szCs w:val="32"/>
        </w:rPr>
      </w:pPr>
      <w:r>
        <w:rPr>
          <w:rFonts w:ascii="仿宋_GB2312" w:hAnsi="仿宋_GB2312" w:eastAsia="仿宋_GB2312"/>
          <w:sz w:val="32"/>
          <w:szCs w:val="32"/>
          <w:lang w:val="en"/>
        </w:rPr>
        <w:t>2023</w:t>
      </w:r>
      <w:r>
        <w:rPr>
          <w:rFonts w:hint="eastAsia" w:ascii="仿宋_GB2312" w:hAnsi="仿宋_GB2312" w:eastAsia="仿宋_GB2312"/>
          <w:sz w:val="32"/>
          <w:szCs w:val="32"/>
        </w:rPr>
        <w:t>年，提取贷款风险准备金71118.40万元，提取管理费用50628.14万元，提取城市廉租住房（公共租赁住房）建设补充资金234523.38万元。</w:t>
      </w:r>
    </w:p>
    <w:p>
      <w:pPr>
        <w:adjustRightInd w:val="0"/>
        <w:snapToGrid w:val="0"/>
        <w:spacing w:line="600" w:lineRule="exact"/>
        <w:ind w:firstLine="636"/>
        <w:rPr>
          <w:rFonts w:hint="eastAsia" w:ascii="仿宋_GB2312" w:hAnsi="仿宋_GB2312" w:eastAsia="仿宋_GB2312"/>
          <w:sz w:val="32"/>
          <w:szCs w:val="32"/>
        </w:rPr>
      </w:pPr>
      <w:r>
        <w:rPr>
          <w:rFonts w:ascii="仿宋_GB2312" w:hAnsi="仿宋_GB2312" w:eastAsia="仿宋_GB2312"/>
          <w:sz w:val="32"/>
          <w:szCs w:val="32"/>
          <w:lang w:val="en"/>
        </w:rPr>
        <w:t>2023</w:t>
      </w:r>
      <w:r>
        <w:rPr>
          <w:rFonts w:hint="eastAsia" w:ascii="仿宋_GB2312" w:hAnsi="仿宋_GB2312" w:eastAsia="仿宋_GB2312"/>
          <w:sz w:val="32"/>
          <w:szCs w:val="32"/>
        </w:rPr>
        <w:t>年，上交财政管理费用42033.2万元，上缴财政城市廉租住房（公共租赁住房）建设补充资金210727.55万元。</w:t>
      </w:r>
    </w:p>
    <w:p>
      <w:pPr>
        <w:adjustRightInd w:val="0"/>
        <w:snapToGrid w:val="0"/>
        <w:spacing w:line="600" w:lineRule="exact"/>
        <w:ind w:firstLine="636"/>
        <w:rPr>
          <w:rFonts w:hint="eastAsia" w:ascii="仿宋_GB2312" w:hAnsi="仿宋_GB2312" w:eastAsia="仿宋_GB2312"/>
          <w:spacing w:val="-4"/>
          <w:sz w:val="32"/>
          <w:szCs w:val="32"/>
        </w:rPr>
      </w:pPr>
      <w:r>
        <w:rPr>
          <w:rFonts w:ascii="仿宋_GB2312" w:hAnsi="仿宋_GB2312" w:eastAsia="仿宋_GB2312"/>
          <w:spacing w:val="-4"/>
          <w:sz w:val="32"/>
          <w:szCs w:val="32"/>
          <w:lang w:val="en"/>
        </w:rPr>
        <w:t>2023</w:t>
      </w:r>
      <w:r>
        <w:rPr>
          <w:rFonts w:hint="eastAsia" w:ascii="仿宋_GB2312" w:hAnsi="仿宋_GB2312" w:eastAsia="仿宋_GB2312"/>
          <w:spacing w:val="-4"/>
          <w:sz w:val="32"/>
          <w:szCs w:val="32"/>
        </w:rPr>
        <w:t>年末，贷款风险准备金余额484821.73万元，累计提取城市廉租住房（公共租赁住房）建设补充资金1691986.39万元。</w:t>
      </w:r>
    </w:p>
    <w:p>
      <w:pPr>
        <w:adjustRightInd w:val="0"/>
        <w:snapToGrid w:val="0"/>
        <w:spacing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表4  </w:t>
      </w:r>
      <w:r>
        <w:rPr>
          <w:rFonts w:ascii="仿宋_GB2312" w:hAnsi="宋体" w:eastAsia="仿宋_GB2312" w:cs="宋体"/>
          <w:b/>
          <w:bCs/>
          <w:kern w:val="0"/>
          <w:sz w:val="30"/>
          <w:szCs w:val="30"/>
          <w:lang w:val="en"/>
        </w:rPr>
        <w:t>2023</w:t>
      </w:r>
      <w:r>
        <w:rPr>
          <w:rFonts w:hint="eastAsia" w:ascii="仿宋_GB2312" w:hAnsi="宋体" w:eastAsia="仿宋_GB2312" w:cs="宋体"/>
          <w:b/>
          <w:bCs/>
          <w:kern w:val="0"/>
          <w:sz w:val="30"/>
          <w:szCs w:val="30"/>
        </w:rPr>
        <w:t>年分城市住房公积金增值收益及分配情况</w:t>
      </w:r>
    </w:p>
    <w:tbl>
      <w:tblPr>
        <w:tblStyle w:val="4"/>
        <w:tblW w:w="95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58"/>
        <w:gridCol w:w="1092"/>
        <w:gridCol w:w="1134"/>
        <w:gridCol w:w="1096"/>
        <w:gridCol w:w="1092"/>
        <w:gridCol w:w="1091"/>
        <w:gridCol w:w="13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90" w:type="dxa"/>
            <w:tcBorders>
              <w:top w:val="single" w:color="auto" w:sz="8" w:space="0"/>
              <w:left w:val="nil"/>
              <w:bottom w:val="single" w:color="auto" w:sz="8" w:space="0"/>
              <w:right w:val="single" w:color="auto" w:sz="8" w:space="0"/>
            </w:tcBorders>
            <w:noWrap w:val="0"/>
            <w:vAlign w:val="center"/>
          </w:tcPr>
          <w:p>
            <w:pPr>
              <w:widowControl/>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058"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业务</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收入</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092"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业务</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支出</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134"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增值收益（亿元）</w:t>
            </w:r>
          </w:p>
        </w:tc>
        <w:tc>
          <w:tcPr>
            <w:tcW w:w="1096"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增值收益率（%）</w:t>
            </w:r>
          </w:p>
        </w:tc>
        <w:tc>
          <w:tcPr>
            <w:tcW w:w="1092"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提取贷款风险准备金（亿元）</w:t>
            </w:r>
          </w:p>
        </w:tc>
        <w:tc>
          <w:tcPr>
            <w:tcW w:w="1091"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提取管理费用</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392"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提取公租房（廉租房）建设补充资金（亿元）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0" w:type="dxa"/>
            <w:tcBorders>
              <w:top w:val="single" w:color="auto" w:sz="8"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058" w:type="dxa"/>
            <w:tcBorders>
              <w:top w:val="single" w:color="auto" w:sz="8"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77.33</w:t>
            </w:r>
          </w:p>
        </w:tc>
        <w:tc>
          <w:tcPr>
            <w:tcW w:w="1092"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41.66</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35.67</w:t>
            </w:r>
          </w:p>
        </w:tc>
        <w:tc>
          <w:tcPr>
            <w:tcW w:w="1096"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 xml:space="preserve">1.42 </w:t>
            </w:r>
          </w:p>
        </w:tc>
        <w:tc>
          <w:tcPr>
            <w:tcW w:w="1092"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7.11</w:t>
            </w:r>
          </w:p>
        </w:tc>
        <w:tc>
          <w:tcPr>
            <w:tcW w:w="1091"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5.06</w:t>
            </w:r>
          </w:p>
        </w:tc>
        <w:tc>
          <w:tcPr>
            <w:tcW w:w="1392"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23.45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45.21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25.41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19.81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1.37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2.22</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1.49</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4.37</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2.17</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1.53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0.54</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0.33</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4.76</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2.26</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1.43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0.18</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0.63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1.75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0.04</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0.49</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4.04</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1.74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1.65</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0.22</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1.40</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1.15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0.10</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1.03</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6.69</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3.15</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1.38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1.91</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0.60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1.46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0.00</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2.25</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1.09</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1.46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0.03</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0.16</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2.05</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 xml:space="preserve">1.85 </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0.44</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0.15</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0.54</w:t>
            </w:r>
          </w:p>
        </w:tc>
      </w:tr>
    </w:tbl>
    <w:p>
      <w:pPr>
        <w:adjustRightInd w:val="0"/>
        <w:snapToGrid w:val="0"/>
        <w:spacing w:line="600" w:lineRule="exact"/>
        <w:ind w:firstLine="643" w:firstLineChars="200"/>
        <w:rPr>
          <w:rFonts w:ascii="仿宋_GB2312" w:hAnsi="仿宋_GB2312" w:eastAsia="仿宋_GB2312"/>
          <w:color w:val="FF0000"/>
          <w:sz w:val="32"/>
          <w:szCs w:val="32"/>
        </w:rPr>
      </w:pPr>
      <w:r>
        <w:rPr>
          <w:rFonts w:hint="eastAsia" w:ascii="楷体_GB2312" w:hAnsi="楷体_GB2312" w:eastAsia="楷体_GB2312" w:cs="楷体_GB2312"/>
          <w:b/>
          <w:sz w:val="32"/>
          <w:szCs w:val="32"/>
        </w:rPr>
        <w:t>（五）管理费用支出。</w:t>
      </w:r>
      <w:r>
        <w:rPr>
          <w:rFonts w:ascii="仿宋_GB2312" w:hAnsi="仿宋_GB2312" w:eastAsia="仿宋_GB2312"/>
          <w:sz w:val="32"/>
          <w:szCs w:val="32"/>
          <w:lang w:val="en"/>
        </w:rPr>
        <w:t>2023</w:t>
      </w:r>
      <w:r>
        <w:rPr>
          <w:rFonts w:hint="eastAsia" w:ascii="仿宋_GB2312" w:hAnsi="仿宋_GB2312" w:eastAsia="仿宋_GB2312"/>
          <w:sz w:val="32"/>
          <w:szCs w:val="32"/>
        </w:rPr>
        <w:t>年，管理费用支出34788.72万元，同比增长5.73%。其中，人员经费21113.81万元，公用经费1961.25万元，专项经费11713.66万元。</w:t>
      </w:r>
    </w:p>
    <w:p>
      <w:pPr>
        <w:adjustRightInd w:val="0"/>
        <w:snapToGrid w:val="0"/>
        <w:spacing w:line="600" w:lineRule="exact"/>
        <w:ind w:firstLine="636"/>
        <w:rPr>
          <w:rFonts w:hint="eastAsia" w:ascii="方正黑体简体" w:hAnsi="仿宋" w:eastAsia="方正黑体简体"/>
          <w:b/>
          <w:sz w:val="32"/>
          <w:szCs w:val="32"/>
        </w:rPr>
      </w:pPr>
      <w:r>
        <w:rPr>
          <w:rFonts w:hint="eastAsia" w:ascii="方正黑体简体" w:hAnsi="黑体" w:eastAsia="方正黑体简体"/>
          <w:bCs/>
          <w:sz w:val="32"/>
          <w:szCs w:val="32"/>
        </w:rPr>
        <w:t>四、资产风险状况</w:t>
      </w:r>
    </w:p>
    <w:p>
      <w:pPr>
        <w:adjustRightInd w:val="0"/>
        <w:snapToGrid w:val="0"/>
        <w:spacing w:line="600" w:lineRule="exact"/>
        <w:ind w:firstLine="630"/>
        <w:rPr>
          <w:rFonts w:hint="eastAsia" w:ascii="仿宋_GB2312" w:hAnsi="仿宋_GB2312" w:eastAsia="仿宋_GB2312"/>
          <w:sz w:val="32"/>
          <w:szCs w:val="32"/>
        </w:rPr>
      </w:pPr>
      <w:r>
        <w:rPr>
          <w:rFonts w:hint="eastAsia" w:ascii="楷体_GB2312" w:hAnsi="楷体_GB2312" w:eastAsia="楷体_GB2312" w:cs="楷体_GB2312"/>
          <w:b/>
          <w:sz w:val="32"/>
          <w:szCs w:val="32"/>
        </w:rPr>
        <w:t>（一）个人住房贷款。</w:t>
      </w:r>
      <w:r>
        <w:rPr>
          <w:rFonts w:ascii="仿宋_GB2312" w:hAnsi="仿宋_GB2312" w:eastAsia="仿宋_GB2312"/>
          <w:sz w:val="32"/>
          <w:szCs w:val="32"/>
          <w:lang w:val="en"/>
        </w:rPr>
        <w:t>2023</w:t>
      </w:r>
      <w:r>
        <w:rPr>
          <w:rFonts w:hint="eastAsia" w:ascii="仿宋_GB2312" w:hAnsi="仿宋_GB2312" w:eastAsia="仿宋_GB2312"/>
          <w:sz w:val="32"/>
          <w:szCs w:val="32"/>
        </w:rPr>
        <w:t>年末，个人住房贷款逾期额1971.79万元，逾期率0.09‰，个人贷款风险准备金余额483533.73万元。</w:t>
      </w:r>
      <w:r>
        <w:rPr>
          <w:rFonts w:ascii="仿宋_GB2312" w:hAnsi="仿宋_GB2312" w:eastAsia="仿宋_GB2312"/>
          <w:sz w:val="32"/>
          <w:szCs w:val="32"/>
          <w:lang w:val="en"/>
        </w:rPr>
        <w:t>2023</w:t>
      </w:r>
      <w:r>
        <w:rPr>
          <w:rFonts w:hint="eastAsia" w:ascii="仿宋_GB2312" w:hAnsi="仿宋_GB2312" w:eastAsia="仿宋_GB2312"/>
          <w:sz w:val="32"/>
          <w:szCs w:val="32"/>
        </w:rPr>
        <w:t>年，使用个人贷款风险准备金核销呆坏账0万元。</w:t>
      </w:r>
    </w:p>
    <w:p>
      <w:pPr>
        <w:adjustRightInd w:val="0"/>
        <w:snapToGrid w:val="0"/>
        <w:spacing w:line="60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（二）住房公积金支持保障性住房建设项目贷款。</w:t>
      </w:r>
      <w:r>
        <w:rPr>
          <w:rFonts w:ascii="仿宋_GB2312" w:hAnsi="仿宋_GB2312" w:eastAsia="仿宋_GB2312"/>
          <w:sz w:val="32"/>
          <w:szCs w:val="32"/>
          <w:lang w:val="en"/>
        </w:rPr>
        <w:t>2023</w:t>
      </w:r>
      <w:r>
        <w:rPr>
          <w:rFonts w:hint="eastAsia" w:ascii="仿宋_GB2312" w:hAnsi="仿宋_GB2312" w:eastAsia="仿宋_GB2312"/>
          <w:sz w:val="32"/>
          <w:szCs w:val="32"/>
        </w:rPr>
        <w:t>年末，逾期项目贷款0万元，逾期率为0‰，项目贷款风险准备金余额1288万元。</w:t>
      </w:r>
      <w:r>
        <w:rPr>
          <w:rFonts w:ascii="仿宋_GB2312" w:hAnsi="仿宋_GB2312" w:eastAsia="仿宋_GB2312"/>
          <w:sz w:val="32"/>
          <w:szCs w:val="32"/>
          <w:lang w:val="en"/>
        </w:rPr>
        <w:t>2023</w:t>
      </w:r>
      <w:r>
        <w:rPr>
          <w:rFonts w:hint="eastAsia" w:ascii="仿宋_GB2312" w:hAnsi="仿宋_GB2312" w:eastAsia="仿宋_GB2312"/>
          <w:sz w:val="32"/>
          <w:szCs w:val="32"/>
        </w:rPr>
        <w:t>年，使用项目贷款风险准备金核销呆坏账0万元。</w:t>
      </w:r>
    </w:p>
    <w:p>
      <w:pPr>
        <w:adjustRightInd w:val="0"/>
        <w:snapToGrid w:val="0"/>
        <w:spacing w:line="60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五、社会经济效益</w:t>
      </w:r>
    </w:p>
    <w:p>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（一）缴存业务。</w:t>
      </w:r>
    </w:p>
    <w:p>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缴存职工中，国家机关和事业单位占32.54%，国有企业占29.97%，城镇集体企业占0.86%，外商投资企业占4.71%，城镇私营企业及其他城镇企业占24.05%，民办非企业单位和社会团体占1.85%，灵活就业人员占1.17%，其他占4.85%；中、低收入占97.27%，高收入占2.73%。</w:t>
      </w:r>
    </w:p>
    <w:p>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新开户职工中，国家机关和事业单位占15.74%，国有企业占18.66%，城镇集体企业占0.94%，外商投资企业占8.15%，城镇私营企业及其他城镇企业占45.33%，民办非企业单位和社会团体占3.16%，灵活就业人员占4.00%，其他占4.02%；中、低收入占99.53%，高收入占0.47%。</w:t>
      </w:r>
    </w:p>
    <w:p>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（二）提取业务。</w:t>
      </w:r>
    </w:p>
    <w:p>
      <w:pPr>
        <w:adjustRightInd w:val="0"/>
        <w:snapToGrid w:val="0"/>
        <w:spacing w:line="600" w:lineRule="exact"/>
        <w:ind w:firstLine="627"/>
        <w:rPr>
          <w:rFonts w:hint="eastAsia" w:ascii="仿宋_GB2312" w:hAnsi="仿宋_GB2312" w:eastAsia="仿宋_GB2312"/>
          <w:sz w:val="32"/>
          <w:szCs w:val="32"/>
        </w:rPr>
      </w:pPr>
      <w:r>
        <w:rPr>
          <w:rFonts w:hint="eastAsia" w:ascii="仿宋_GB2312" w:hAnsi="仿宋_GB2312" w:eastAsia="仿宋_GB2312"/>
          <w:sz w:val="32"/>
          <w:szCs w:val="32"/>
        </w:rPr>
        <w:t>提取金额中，购买、建造、翻建、大修自住住房占27.53%，偿还购房贷款本息占37.68%，租赁住房占6.63%，支持老旧小区改造提取占0.02%；离休和退休提取占20.55%，完全丧失劳动能力并与单位终止劳动关系提取占1.09%，出境定居占0.66%，其他占5.84%。提取职工中，中、低收入占91.22%，高收入占8.78%。</w:t>
      </w:r>
    </w:p>
    <w:p>
      <w:pPr>
        <w:adjustRightInd w:val="0"/>
        <w:snapToGrid w:val="0"/>
        <w:spacing w:line="600" w:lineRule="exact"/>
        <w:rPr>
          <w:rFonts w:hint="eastAsia" w:ascii="楷体_GB2312" w:hAnsi="仿宋_GB2312" w:eastAsia="楷体_GB2312"/>
          <w:sz w:val="32"/>
          <w:szCs w:val="32"/>
        </w:rPr>
      </w:pPr>
      <w:r>
        <w:rPr>
          <w:rFonts w:hint="eastAsia" w:ascii="楷体_GB2312" w:hAnsi="仿宋_GB2312" w:eastAsia="楷体_GB2312"/>
          <w:color w:val="FF0000"/>
          <w:sz w:val="32"/>
          <w:szCs w:val="32"/>
        </w:rPr>
        <w:t xml:space="preserve">   </w:t>
      </w:r>
      <w:r>
        <w:rPr>
          <w:rFonts w:hint="eastAsia" w:ascii="楷体_GB2312" w:hAnsi="仿宋_GB2312" w:eastAsia="楷体_GB2312"/>
          <w:sz w:val="32"/>
          <w:szCs w:val="32"/>
        </w:rPr>
        <w:t xml:space="preserve"> </w:t>
      </w:r>
      <w:r>
        <w:rPr>
          <w:rFonts w:hint="eastAsia" w:ascii="楷体_GB2312" w:hAnsi="楷体_GB2312" w:eastAsia="楷体_GB2312" w:cs="楷体_GB2312"/>
          <w:b/>
          <w:sz w:val="32"/>
          <w:szCs w:val="32"/>
        </w:rPr>
        <w:t>（三）贷款业务。</w:t>
      </w:r>
    </w:p>
    <w:p>
      <w:pPr>
        <w:adjustRightInd w:val="0"/>
        <w:snapToGrid w:val="0"/>
        <w:spacing w:line="600" w:lineRule="exact"/>
        <w:ind w:firstLine="630" w:firstLineChars="196"/>
        <w:rPr>
          <w:rFonts w:hint="eastAsia" w:ascii="仿宋_GB2312" w:hAnsi="仿宋_GB2312" w:eastAsia="仿宋_GB2312"/>
          <w:sz w:val="32"/>
          <w:szCs w:val="32"/>
        </w:rPr>
      </w:pPr>
      <w:r>
        <w:rPr>
          <w:rFonts w:hint="eastAsia" w:ascii="仿宋_GB2312" w:hAnsi="仿宋_GB2312" w:eastAsia="仿宋_GB2312"/>
          <w:b/>
          <w:bCs/>
          <w:sz w:val="32"/>
          <w:szCs w:val="32"/>
        </w:rPr>
        <w:t>1.个人住房贷款。</w:t>
      </w:r>
      <w:r>
        <w:rPr>
          <w:rFonts w:hint="eastAsia" w:ascii="仿宋_GB2312" w:hAnsi="仿宋_GB2312" w:eastAsia="仿宋_GB2312"/>
          <w:sz w:val="32"/>
          <w:szCs w:val="32"/>
        </w:rPr>
        <w:t xml:space="preserve"> </w:t>
      </w:r>
    </w:p>
    <w:p>
      <w:pPr>
        <w:adjustRightInd w:val="0"/>
        <w:snapToGrid w:val="0"/>
        <w:spacing w:line="600" w:lineRule="exact"/>
        <w:ind w:firstLine="627" w:firstLineChars="196"/>
        <w:rPr>
          <w:rFonts w:hint="eastAsia" w:ascii="仿宋_GB2312" w:hAnsi="仿宋_GB2312" w:eastAsia="仿宋_GB2312"/>
          <w:sz w:val="32"/>
          <w:szCs w:val="32"/>
        </w:rPr>
      </w:pPr>
      <w:r>
        <w:rPr>
          <w:rFonts w:hint="eastAsia" w:ascii="仿宋_GB2312" w:hAnsi="仿宋_GB2312" w:eastAsia="仿宋_GB2312"/>
          <w:sz w:val="32"/>
          <w:szCs w:val="32"/>
        </w:rPr>
        <w:t>职工贷款笔数中，购房建筑面积90（含）平方米以下占11.83%，90-144（含）平方米占77.48%，144平方米以上占10.69%。购买新房占68.41%（其中购买保障性住房占1.07%），购买二手房占28.31%，建造、翻建、大修自住住房占0.38%，其他占2.90%。</w:t>
      </w:r>
    </w:p>
    <w:p>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职工贷款笔数中，单缴存职工申请贷款占50.19%，双缴存职工申请贷款占49.72%，三人及以上缴存职工共同申请贷款占0.09%。</w:t>
      </w:r>
    </w:p>
    <w:p>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贷款职工中，30岁（含）以下占36.91%，30岁-40岁（含）占45.22%，40岁-50岁（含）占14.73%，50岁以上占3.14%；购买首套住房申请贷款占89.99%，购买二套及以上申请贷款占10.01%；中、低收入占95.73%，高收入占4.27%。</w:t>
      </w:r>
    </w:p>
    <w:p>
      <w:pPr>
        <w:adjustRightInd w:val="0"/>
        <w:snapToGrid w:val="0"/>
        <w:spacing w:line="600" w:lineRule="exact"/>
        <w:ind w:right="25" w:rightChars="12"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2.住房公积金支持保障性住房建设项目贷款。</w:t>
      </w:r>
      <w:r>
        <w:rPr>
          <w:rFonts w:ascii="仿宋_GB2312" w:hAnsi="仿宋_GB2312" w:eastAsia="仿宋_GB2312"/>
          <w:sz w:val="32"/>
          <w:szCs w:val="32"/>
          <w:lang w:val="en"/>
        </w:rPr>
        <w:t>2023</w:t>
      </w:r>
      <w:r>
        <w:rPr>
          <w:rFonts w:hint="eastAsia" w:ascii="仿宋_GB2312" w:hAnsi="仿宋_GB2312" w:eastAsia="仿宋_GB2312"/>
          <w:sz w:val="32"/>
          <w:szCs w:val="32"/>
        </w:rPr>
        <w:t>年末，全省（区）有住房公积金试点城市4个，试点项目27个，贷款额度83.10亿元，建筑面积629.83万平方米，可解决66542户中低收入职工家庭的住房问题。26个试点项目贷款资金已发放并还清贷款本息。</w:t>
      </w:r>
    </w:p>
    <w:p>
      <w:pPr>
        <w:adjustRightInd w:val="0"/>
        <w:snapToGrid w:val="0"/>
        <w:spacing w:line="600" w:lineRule="exact"/>
        <w:rPr>
          <w:rFonts w:hint="eastAsia" w:ascii="仿宋_GB2312" w:hAnsi="仿宋_GB2312" w:eastAsia="仿宋_GB2312"/>
          <w:sz w:val="32"/>
          <w:szCs w:val="32"/>
        </w:rPr>
      </w:pPr>
      <w:r>
        <w:rPr>
          <w:rFonts w:hint="eastAsia" w:ascii="楷体_GB2312" w:hAnsi="仿宋_GB2312" w:eastAsia="楷体_GB2312"/>
          <w:sz w:val="32"/>
          <w:szCs w:val="32"/>
        </w:rPr>
        <w:t xml:space="preserve">   </w:t>
      </w:r>
      <w:r>
        <w:rPr>
          <w:rFonts w:hint="eastAsia" w:ascii="楷体_GB2312" w:hAnsi="楷体_GB2312" w:eastAsia="楷体_GB2312" w:cs="楷体_GB2312"/>
          <w:b/>
          <w:sz w:val="32"/>
          <w:szCs w:val="32"/>
        </w:rPr>
        <w:t xml:space="preserve"> （四）住房贡献率。</w:t>
      </w:r>
      <w:r>
        <w:rPr>
          <w:rFonts w:ascii="仿宋_GB2312" w:hAnsi="仿宋_GB2312" w:eastAsia="仿宋_GB2312"/>
          <w:sz w:val="32"/>
          <w:szCs w:val="32"/>
          <w:lang w:val="en"/>
        </w:rPr>
        <w:t>2023</w:t>
      </w:r>
      <w:r>
        <w:rPr>
          <w:rFonts w:hint="eastAsia" w:ascii="仿宋_GB2312" w:hAnsi="仿宋_GB2312" w:eastAsia="仿宋_GB2312"/>
          <w:sz w:val="32"/>
          <w:szCs w:val="32"/>
        </w:rPr>
        <w:t>年，个人住房贷款发放额、公转商贴息贷款发放额、项目贷款发放额、住房消费提取额的总和与当年缴存额的比率为115.26%，比上年增长16.26个百分点。</w:t>
      </w:r>
    </w:p>
    <w:p>
      <w:pPr>
        <w:adjustRightInd w:val="0"/>
        <w:snapToGrid w:val="0"/>
        <w:spacing w:line="600" w:lineRule="exact"/>
        <w:ind w:firstLine="640" w:firstLineChars="200"/>
        <w:rPr>
          <w:rFonts w:hint="eastAsia" w:ascii="方正黑体简体" w:hAnsi="黑体" w:eastAsia="方正黑体简体"/>
          <w:bCs/>
          <w:sz w:val="32"/>
          <w:szCs w:val="32"/>
        </w:rPr>
      </w:pPr>
      <w:r>
        <w:rPr>
          <w:rFonts w:hint="eastAsia" w:ascii="方正黑体简体" w:hAnsi="黑体" w:eastAsia="方正黑体简体"/>
          <w:bCs/>
          <w:sz w:val="32"/>
          <w:szCs w:val="32"/>
        </w:rPr>
        <w:t>六、其他重要事项</w:t>
      </w:r>
    </w:p>
    <w:p>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（一）当年开展监督检查情况。</w:t>
      </w:r>
    </w:p>
    <w:p>
      <w:pPr>
        <w:spacing w:line="600" w:lineRule="exact"/>
        <w:ind w:firstLine="643" w:firstLineChars="200"/>
        <w:rPr>
          <w:rFonts w:hint="eastAsia" w:ascii="仿宋_GB2312" w:hAnsi="仿宋_GB2312" w:eastAsia="仿宋_GB2312" w:cs="仿宋_GB2312"/>
          <w:color w:val="FF0000"/>
          <w:sz w:val="32"/>
          <w:szCs w:val="32"/>
        </w:rPr>
      </w:pPr>
      <w:r>
        <w:rPr>
          <w:rStyle w:val="6"/>
          <w:rFonts w:hint="eastAsia" w:ascii="仿宋_GB2312" w:hAnsi="仿宋_GB2312" w:eastAsia="仿宋_GB2312"/>
          <w:b/>
          <w:bCs/>
          <w:sz w:val="32"/>
          <w:szCs w:val="32"/>
        </w:rPr>
        <w:t>1.创新实施监管机制。</w:t>
      </w:r>
      <w:r>
        <w:rPr>
          <w:rFonts w:hint="eastAsia" w:ascii="仿宋_GB2312" w:eastAsia="仿宋_GB2312"/>
          <w:bCs/>
          <w:kern w:val="0"/>
          <w:sz w:val="32"/>
          <w:szCs w:val="32"/>
        </w:rPr>
        <w:t>创新实施的“‘12345+’工作法”在全国住房公积金工作会上交流推广，被中共陕西省委全面深化改革委员会办公室评选为“2023年全省改革创新示范案例”。</w:t>
      </w:r>
      <w:r>
        <w:rPr>
          <w:rFonts w:hint="eastAsia" w:ascii="仿宋_GB2312" w:hAnsi="仿宋_GB2312" w:eastAsia="仿宋_GB2312"/>
          <w:sz w:val="32"/>
          <w:szCs w:val="32"/>
        </w:rPr>
        <w:t>实行重大事项备案、信息披露、年度考核、约谈、定期通报和审计六项工作制度，常态化开展监督检查工作，提高管理正规化、科学化、精细化水平。</w:t>
      </w:r>
    </w:p>
    <w:p>
      <w:pPr>
        <w:spacing w:line="600" w:lineRule="exact"/>
        <w:ind w:firstLine="643" w:firstLineChars="200"/>
        <w:rPr>
          <w:rFonts w:hint="eastAsia" w:ascii="仿宋_GB2312" w:hAnsi="仿宋" w:eastAsia="仿宋_GB2312" w:cs="仿宋"/>
          <w:sz w:val="32"/>
          <w:szCs w:val="32"/>
          <w:lang w:val="zh-TW"/>
        </w:rPr>
      </w:pPr>
      <w:r>
        <w:rPr>
          <w:rStyle w:val="6"/>
          <w:rFonts w:hint="eastAsia" w:ascii="仿宋_GB2312" w:hAnsi="仿宋_GB2312" w:eastAsia="仿宋_GB2312"/>
          <w:b/>
          <w:bCs/>
          <w:sz w:val="32"/>
          <w:szCs w:val="32"/>
        </w:rPr>
        <w:t>2.组织开展体检评估工作。</w:t>
      </w:r>
      <w:r>
        <w:rPr>
          <w:rFonts w:hint="eastAsia" w:ascii="仿宋_GB2312" w:hAnsi="仿宋" w:eastAsia="仿宋_GB2312" w:cs="仿宋"/>
          <w:sz w:val="32"/>
          <w:szCs w:val="32"/>
          <w:lang w:val="zh-TW"/>
        </w:rPr>
        <w:t>全省</w:t>
      </w:r>
      <w:r>
        <w:rPr>
          <w:rFonts w:hint="eastAsia" w:ascii="仿宋_GB2312" w:hAnsi="仿宋" w:eastAsia="仿宋_GB2312" w:cs="仿宋"/>
          <w:sz w:val="32"/>
          <w:szCs w:val="32"/>
        </w:rPr>
        <w:t>14个管理中心（分中心）参加</w:t>
      </w:r>
      <w:r>
        <w:rPr>
          <w:rFonts w:hint="eastAsia" w:ascii="仿宋_GB2312" w:hAnsi="仿宋" w:eastAsia="仿宋_GB2312" w:cs="仿宋"/>
          <w:sz w:val="32"/>
          <w:szCs w:val="32"/>
          <w:lang w:val="zh-TW" w:eastAsia="zh-TW"/>
        </w:rPr>
        <w:t>住房和城乡建设部</w:t>
      </w:r>
      <w:r>
        <w:rPr>
          <w:rFonts w:hint="eastAsia" w:ascii="仿宋_GB2312" w:hAnsi="仿宋" w:eastAsia="仿宋_GB2312" w:cs="仿宋"/>
          <w:sz w:val="32"/>
          <w:szCs w:val="32"/>
          <w:lang w:val="zh-TW"/>
        </w:rPr>
        <w:t>开展的体检评估工作，围绕发展绩效、管理规范化、数字化发展、风险防控、服务能力、年度工作等工作情况，量化工作成效和管理服务水平，发现并改进有关问题。</w:t>
      </w:r>
      <w:r>
        <w:rPr>
          <w:rFonts w:hint="eastAsia" w:ascii="仿宋_GB2312" w:hAnsi="仿宋" w:eastAsia="仿宋_GB2312" w:cs="仿宋"/>
          <w:sz w:val="32"/>
          <w:szCs w:val="32"/>
        </w:rPr>
        <w:t>陕西</w:t>
      </w:r>
      <w:r>
        <w:rPr>
          <w:rFonts w:hint="eastAsia" w:ascii="仿宋_GB2312" w:hAnsi="仿宋" w:eastAsia="仿宋_GB2312" w:cs="仿宋"/>
          <w:sz w:val="32"/>
          <w:szCs w:val="32"/>
          <w:lang w:val="zh-TW"/>
        </w:rPr>
        <w:t>省住房和城乡建设厅在管理中心完成自评的基础上，开展管理中心交叉评、审计机构重点评、行业专家综合评，形成一整套体检结果应用、共性问题研究、创新经验推广机制，推动全省整体服务效能提升。</w:t>
      </w:r>
    </w:p>
    <w:p>
      <w:pPr>
        <w:spacing w:line="600" w:lineRule="exact"/>
        <w:ind w:firstLine="643" w:firstLineChars="200"/>
        <w:rPr>
          <w:rFonts w:hint="eastAsia" w:ascii="仿宋_GB2312" w:hAnsi="仿宋_GB2312" w:eastAsia="仿宋_GB2312" w:cs="仿宋_GB2312"/>
          <w:color w:val="FF0000"/>
          <w:sz w:val="32"/>
          <w:szCs w:val="32"/>
        </w:rPr>
      </w:pPr>
      <w:r>
        <w:rPr>
          <w:rFonts w:hint="eastAsia" w:ascii="仿宋_GB2312" w:hAnsi="仿宋" w:eastAsia="仿宋_GB2312" w:cs="仿宋"/>
          <w:b/>
          <w:bCs/>
          <w:sz w:val="32"/>
          <w:szCs w:val="32"/>
        </w:rPr>
        <w:t>3.开展第三方审计工作。</w:t>
      </w:r>
      <w:r>
        <w:rPr>
          <w:rFonts w:hint="eastAsia" w:ascii="仿宋_GB2312" w:hAnsi="仿宋" w:eastAsia="仿宋_GB2312" w:cs="仿宋"/>
          <w:sz w:val="32"/>
          <w:szCs w:val="32"/>
          <w:lang w:val="zh-TW"/>
        </w:rPr>
        <w:t>陕西省住房和城乡建设厅每年选择3-5个管理中心</w:t>
      </w:r>
      <w:r>
        <w:rPr>
          <w:rFonts w:hint="eastAsia" w:ascii="仿宋_GB2312" w:hAnsi="仿宋_GB2312" w:eastAsia="仿宋_GB2312" w:cs="仿宋_GB2312"/>
          <w:sz w:val="32"/>
          <w:szCs w:val="32"/>
        </w:rPr>
        <w:t>开展第三方审计工作，重点审查各中心执行国家住房公积金政策法规、资金存储及财务收支、增值收益及其分配情况，审查各级审计、巡视巡察和各类专项检查反馈问题的整改情况等。对已经完成审计工作的管理中心开展审计整改回头看，持续指导各管理中心全面纠正违规行为，彻底解决不合规现象，并举一反三健全长效机制。</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（二）当年服务改进情况。</w:t>
      </w:r>
    </w:p>
    <w:p>
      <w:pPr>
        <w:spacing w:line="600" w:lineRule="exact"/>
        <w:ind w:firstLine="664" w:firstLineChars="200"/>
        <w:rPr>
          <w:rStyle w:val="6"/>
          <w:rFonts w:hint="eastAsia" w:ascii="仿宋_GB2312" w:hAnsi="仿宋_GB2312" w:eastAsia="仿宋_GB2312"/>
          <w:spacing w:val="6"/>
          <w:sz w:val="32"/>
          <w:szCs w:val="32"/>
        </w:rPr>
      </w:pPr>
      <w:r>
        <w:rPr>
          <w:rFonts w:hint="eastAsia" w:ascii="仿宋_GB2312" w:hAnsi="仿宋" w:eastAsia="仿宋_GB2312" w:cs="仿宋"/>
          <w:spacing w:val="6"/>
          <w:sz w:val="32"/>
          <w:szCs w:val="32"/>
        </w:rPr>
        <w:t>全省住房公积金系统认真践行“我为群众办实事”，</w:t>
      </w:r>
      <w:r>
        <w:rPr>
          <w:rFonts w:hint="eastAsia" w:ascii="仿宋_GB2312" w:hAnsi="仿宋" w:eastAsia="仿宋_GB2312" w:cs="仿宋"/>
          <w:spacing w:val="6"/>
          <w:sz w:val="32"/>
          <w:szCs w:val="32"/>
          <w:lang w:val="zh-TW"/>
        </w:rPr>
        <w:t>积极开展</w:t>
      </w:r>
      <w:r>
        <w:rPr>
          <w:rFonts w:hint="eastAsia" w:ascii="仿宋_GB2312" w:hAnsi="仿宋" w:eastAsia="仿宋_GB2312" w:cs="仿宋"/>
          <w:spacing w:val="6"/>
          <w:sz w:val="32"/>
          <w:szCs w:val="32"/>
        </w:rPr>
        <w:t>“惠民公积金 服务暖人心”活动，着力解决群众“急难愁盼”问题。重点支持新市民、青年人租房提取住房公积金解决住房问题，推行“缴多少、提多少”政策，共提取38.97亿元满足37.22万缴存人租房需求。</w:t>
      </w:r>
      <w:r>
        <w:rPr>
          <w:rFonts w:hint="eastAsia" w:ascii="仿宋" w:hAnsi="仿宋" w:eastAsia="仿宋"/>
          <w:sz w:val="32"/>
          <w:szCs w:val="32"/>
        </w:rPr>
        <w:t>全年累计为408位缴存人办理了提取住房公积金2892.84万元用于老旧小区加装电梯。</w:t>
      </w:r>
      <w:r>
        <w:rPr>
          <w:rFonts w:hint="eastAsia" w:ascii="仿宋_GB2312" w:eastAsia="仿宋_GB2312"/>
          <w:bCs/>
          <w:kern w:val="0"/>
          <w:sz w:val="32"/>
          <w:szCs w:val="32"/>
        </w:rPr>
        <w:t>推动13项高频服务事项实现“跨省通办”、4项事项实现“一件事一次办”、3项事项实现“亮码可办”。</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（三）当年信息化建设情况。</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印发了《陕西省住房和城乡建设厅关于加快推进全省住房公积金数字化发展工作的通知》（</w:t>
      </w:r>
      <w:r>
        <w:rPr>
          <w:rFonts w:ascii="仿宋_GB2312" w:hAnsi="宋体" w:eastAsia="仿宋_GB2312" w:cs="仿宋_GB2312"/>
          <w:kern w:val="0"/>
          <w:sz w:val="31"/>
          <w:szCs w:val="31"/>
          <w:lang w:bidi="ar"/>
        </w:rPr>
        <w:t>陕建金发</w:t>
      </w:r>
      <w:r>
        <w:rPr>
          <w:rFonts w:hint="eastAsia" w:ascii="仿宋_GB2312" w:hAnsi="宋体" w:eastAsia="仿宋_GB2312" w:cs="仿宋_GB2312"/>
          <w:kern w:val="0"/>
          <w:sz w:val="31"/>
          <w:szCs w:val="31"/>
          <w:lang w:bidi="ar"/>
        </w:rPr>
        <w:t>〔2023〕</w:t>
      </w:r>
      <w:r>
        <w:rPr>
          <w:rFonts w:ascii="仿宋_GB2312" w:hAnsi="宋体" w:eastAsia="仿宋_GB2312" w:cs="仿宋_GB2312"/>
          <w:kern w:val="0"/>
          <w:sz w:val="31"/>
          <w:szCs w:val="31"/>
          <w:lang w:bidi="ar"/>
        </w:rPr>
        <w:t>4号</w:t>
      </w:r>
      <w:r>
        <w:rPr>
          <w:rFonts w:hint="eastAsia" w:ascii="仿宋_GB2312" w:hAnsi="仿宋_GB2312" w:eastAsia="仿宋_GB2312" w:cs="仿宋_GB2312"/>
          <w:sz w:val="32"/>
          <w:szCs w:val="32"/>
        </w:rPr>
        <w:t>），明确了我省数字化发展三年行动方案，组建陕西省住房公积金系统数字化发展咨询服务团队，加快推进全省住房公积金数字化建设。邀请住房城乡建设部数字化发展专家组赴各管理中心现场指导，加快数据治理，提升数据质量。14个管理中心</w:t>
      </w:r>
      <w:r>
        <w:rPr>
          <w:rFonts w:hint="eastAsia" w:ascii="仿宋_GB2312" w:hAnsi="仿宋" w:eastAsia="仿宋_GB2312" w:cs="仿宋"/>
          <w:sz w:val="32"/>
          <w:szCs w:val="32"/>
        </w:rPr>
        <w:t>（分中心）</w:t>
      </w:r>
      <w:r>
        <w:rPr>
          <w:rFonts w:hint="eastAsia" w:ascii="仿宋_GB2312" w:hAnsi="仿宋_GB2312" w:eastAsia="仿宋_GB2312" w:cs="仿宋_GB2312"/>
          <w:sz w:val="32"/>
          <w:szCs w:val="32"/>
        </w:rPr>
        <w:t>贷款数据全量接入人行征信系统，促进形成“诚信受益，失信惩戒”的良好环境，更好地建设社会信用体系。</w:t>
      </w:r>
    </w:p>
    <w:p>
      <w:pPr>
        <w:spacing w:line="600" w:lineRule="exact"/>
        <w:ind w:firstLine="667" w:firstLineChars="200"/>
        <w:rPr>
          <w:rFonts w:hint="eastAsia" w:ascii="楷体_GB2312" w:hAnsi="楷体_GB2312" w:eastAsia="楷体_GB2312" w:cs="楷体_GB2312"/>
          <w:b/>
          <w:spacing w:val="6"/>
          <w:sz w:val="32"/>
          <w:szCs w:val="32"/>
        </w:rPr>
      </w:pPr>
      <w:r>
        <w:rPr>
          <w:rFonts w:hint="eastAsia" w:ascii="楷体_GB2312" w:hAnsi="楷体_GB2312" w:eastAsia="楷体_GB2312" w:cs="楷体_GB2312"/>
          <w:b/>
          <w:spacing w:val="6"/>
          <w:sz w:val="32"/>
          <w:szCs w:val="32"/>
        </w:rPr>
        <w:t>（四）当年住房公积金机构及从业人员所获荣誉情况。</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2023</w:t>
      </w:r>
      <w:r>
        <w:rPr>
          <w:rFonts w:hint="eastAsia" w:ascii="仿宋_GB2312" w:hAnsi="仿宋_GB2312" w:eastAsia="仿宋_GB2312" w:cs="仿宋_GB2312"/>
          <w:sz w:val="32"/>
          <w:szCs w:val="32"/>
        </w:rPr>
        <w:t>年1个管理中心获得“全国青年文明号”；省部级文明单位（行业、窗口）2个，先进集体和个人1个，其他荣誉称号3个；地市级文明单位（行业、窗口）1个，青年文明号3个，</w:t>
      </w:r>
      <w:r>
        <w:rPr>
          <w:rFonts w:hint="eastAsia" w:ascii="仿宋_GB2312" w:hAnsi="仿宋_GB2312" w:eastAsia="仿宋_GB2312"/>
          <w:sz w:val="32"/>
          <w:szCs w:val="32"/>
        </w:rPr>
        <w:t>五一劳动奖章（劳动模范）2个，</w:t>
      </w:r>
      <w:r>
        <w:rPr>
          <w:rFonts w:hint="eastAsia" w:ascii="仿宋_GB2312" w:hAnsi="仿宋_GB2312" w:eastAsia="仿宋_GB2312" w:cs="仿宋_GB2312"/>
          <w:sz w:val="32"/>
          <w:szCs w:val="32"/>
        </w:rPr>
        <w:t>先进集体和个人29个，其他荣誉称号40个。</w:t>
      </w:r>
    </w:p>
    <w:p>
      <w:pPr>
        <w:spacing w:line="600" w:lineRule="exact"/>
        <w:ind w:firstLine="667" w:firstLineChars="200"/>
        <w:rPr>
          <w:rFonts w:hint="eastAsia" w:ascii="楷体_GB2312" w:hAnsi="楷体_GB2312" w:eastAsia="楷体_GB2312" w:cs="楷体_GB2312"/>
          <w:b/>
          <w:spacing w:val="6"/>
          <w:sz w:val="32"/>
          <w:szCs w:val="32"/>
        </w:rPr>
      </w:pPr>
      <w:r>
        <w:rPr>
          <w:rFonts w:hint="eastAsia" w:ascii="楷体_GB2312" w:hAnsi="楷体_GB2312" w:eastAsia="楷体_GB2312" w:cs="楷体_GB2312"/>
          <w:b/>
          <w:spacing w:val="6"/>
          <w:sz w:val="32"/>
          <w:szCs w:val="32"/>
        </w:rPr>
        <w:t>（五）其他需要披露的情况。</w:t>
      </w:r>
    </w:p>
    <w:p>
      <w:pPr>
        <w:ind w:firstLine="640" w:firstLineChars="200"/>
        <w:rPr>
          <w:rFonts w:hint="eastAsia"/>
        </w:rPr>
      </w:pPr>
      <w:r>
        <w:rPr>
          <w:rFonts w:hint="eastAsia" w:ascii="仿宋_GB2312" w:hAnsi="仿宋_GB2312" w:eastAsia="仿宋_GB2312" w:cs="仿宋_GB2312"/>
          <w:sz w:val="32"/>
          <w:szCs w:val="32"/>
        </w:rPr>
        <w:t>西安、汉中、安康、渭南、铜川、宝鸡、商洛7个城市将缴存公积金纳入《劳动合同示范文本》，其余管理中心正在加紧推进，此举将切实增强企业依法用工意识，依法保障劳动者合法权益。</w:t>
      </w:r>
    </w:p>
    <w:p>
      <w:pPr>
        <w:widowControl w:val="0"/>
        <w:jc w:val="both"/>
        <w:rPr>
          <w:rFonts w:ascii="Calibri" w:hAnsi="Calibri" w:eastAsia="仿宋_GB2312" w:cs="Times New Roman"/>
          <w:b/>
          <w:bCs/>
          <w:color w:val="FF0000"/>
          <w:kern w:val="2"/>
          <w:sz w:val="21"/>
          <w:szCs w:val="24"/>
          <w:lang w:val="en-US" w:eastAsia="zh-CN" w:bidi="ar-SA"/>
        </w:rPr>
      </w:pPr>
    </w:p>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2"/>
      <w:numFmt w:val="chineseCounting"/>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3581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b/>
      <w:bCs/>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2024-04-29T02:52:59Z</dcterms:created>
  <dc:creator>Administrator</dc:creator>
  <cp:lastModifiedBy>〰</cp:lastModifiedBy>
  <dcterms:modified xsi:type="dcterms:W3CDTF">2024-04-29T02:58:24Z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D6214AF20F0D4BED9CECF8077444AF48_12</vt:lpwstr>
  </property>
</Properties>
</file>