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0D971">
      <w:pPr>
        <w:jc w:val="both"/>
        <w:rPr>
          <w:rFonts w:hint="default" w:ascii="黑体" w:hAnsi="黑体" w:eastAsia="黑体" w:cs="黑体"/>
          <w:bCs/>
          <w:sz w:val="32"/>
          <w:szCs w:val="32"/>
          <w:highlight w:val="none"/>
          <w:lang w:val="en-US"/>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1</w:t>
      </w:r>
    </w:p>
    <w:p w14:paraId="66CBA737">
      <w:pPr>
        <w:jc w:val="center"/>
        <w:rPr>
          <w:rFonts w:hint="eastAsia" w:ascii="宋体" w:hAnsi="宋体"/>
          <w:bCs/>
          <w:sz w:val="52"/>
          <w:highlight w:val="none"/>
        </w:rPr>
      </w:pPr>
    </w:p>
    <w:p w14:paraId="49E065E7">
      <w:pPr>
        <w:jc w:val="center"/>
        <w:rPr>
          <w:rFonts w:hint="eastAsia" w:ascii="宋体" w:hAnsi="宋体"/>
          <w:bCs/>
          <w:sz w:val="52"/>
          <w:highlight w:val="none"/>
        </w:rPr>
      </w:pPr>
    </w:p>
    <w:p w14:paraId="7EB0D329">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14:paraId="24786D3A">
      <w:pPr>
        <w:rPr>
          <w:rFonts w:ascii="宋体" w:hAnsi="宋体"/>
          <w:b/>
          <w:bCs/>
          <w:spacing w:val="40"/>
          <w:sz w:val="24"/>
          <w:highlight w:val="none"/>
        </w:rPr>
      </w:pPr>
    </w:p>
    <w:p w14:paraId="08D0AF3D">
      <w:pPr>
        <w:rPr>
          <w:rFonts w:ascii="宋体" w:hAnsi="宋体"/>
          <w:highlight w:val="none"/>
        </w:rPr>
      </w:pPr>
    </w:p>
    <w:p w14:paraId="1AC54A21">
      <w:pPr>
        <w:jc w:val="center"/>
        <w:rPr>
          <w:rFonts w:ascii="宋体" w:hAnsi="宋体"/>
          <w:sz w:val="44"/>
          <w:szCs w:val="44"/>
          <w:highlight w:val="none"/>
        </w:rPr>
      </w:pPr>
    </w:p>
    <w:p w14:paraId="0D6A74C2">
      <w:pPr>
        <w:rPr>
          <w:rFonts w:ascii="宋体" w:hAnsi="宋体"/>
          <w:highlight w:val="none"/>
        </w:rPr>
      </w:pPr>
    </w:p>
    <w:p w14:paraId="587F7855">
      <w:pPr>
        <w:rPr>
          <w:rFonts w:ascii="宋体" w:hAnsi="宋体"/>
          <w:highlight w:val="none"/>
        </w:rPr>
      </w:pPr>
    </w:p>
    <w:p w14:paraId="39B25BD4">
      <w:pPr>
        <w:rPr>
          <w:rFonts w:ascii="宋体" w:hAnsi="宋体"/>
          <w:highlight w:val="none"/>
        </w:rPr>
      </w:pPr>
    </w:p>
    <w:p w14:paraId="39A576C1">
      <w:pPr>
        <w:rPr>
          <w:rFonts w:ascii="宋体" w:hAnsi="宋体"/>
          <w:highlight w:val="none"/>
        </w:rPr>
      </w:pPr>
    </w:p>
    <w:p w14:paraId="3D4155F3">
      <w:pPr>
        <w:rPr>
          <w:rFonts w:ascii="宋体" w:hAnsi="宋体"/>
          <w:highlight w:val="none"/>
        </w:rPr>
      </w:pPr>
    </w:p>
    <w:p w14:paraId="7376C8DF">
      <w:pPr>
        <w:rPr>
          <w:rFonts w:ascii="宋体" w:hAnsi="宋体"/>
          <w:highlight w:val="none"/>
        </w:rPr>
      </w:pPr>
    </w:p>
    <w:p w14:paraId="0E7A0684">
      <w:pPr>
        <w:rPr>
          <w:rFonts w:ascii="宋体" w:hAnsi="宋体"/>
          <w:highlight w:val="none"/>
        </w:rPr>
      </w:pPr>
    </w:p>
    <w:p w14:paraId="52ABA5AA">
      <w:pPr>
        <w:rPr>
          <w:rFonts w:ascii="宋体" w:hAnsi="宋体"/>
          <w:highlight w:val="none"/>
        </w:rPr>
      </w:pPr>
    </w:p>
    <w:p w14:paraId="3564DE9A">
      <w:pPr>
        <w:rPr>
          <w:rFonts w:ascii="宋体" w:hAnsi="宋体"/>
          <w:highlight w:val="none"/>
        </w:rPr>
      </w:pPr>
    </w:p>
    <w:p w14:paraId="73CFD7D7">
      <w:pPr>
        <w:rPr>
          <w:rFonts w:ascii="宋体" w:hAnsi="宋体"/>
          <w:highlight w:val="none"/>
        </w:rPr>
      </w:pPr>
    </w:p>
    <w:p w14:paraId="61A1B8AE">
      <w:pPr>
        <w:rPr>
          <w:rFonts w:ascii="宋体" w:hAnsi="宋体"/>
          <w:highlight w:val="none"/>
        </w:rPr>
      </w:pPr>
    </w:p>
    <w:p w14:paraId="137FB170">
      <w:pPr>
        <w:rPr>
          <w:rFonts w:ascii="宋体" w:hAnsi="宋体"/>
          <w:highlight w:val="none"/>
        </w:rPr>
      </w:pPr>
    </w:p>
    <w:p w14:paraId="6F444E60">
      <w:pPr>
        <w:rPr>
          <w:rFonts w:ascii="宋体" w:hAnsi="宋体"/>
          <w:highlight w:val="none"/>
        </w:rPr>
      </w:pPr>
    </w:p>
    <w:p w14:paraId="62BCA3E5">
      <w:pPr>
        <w:rPr>
          <w:rFonts w:ascii="宋体" w:hAnsi="宋体"/>
          <w:highlight w:val="none"/>
        </w:rPr>
      </w:pPr>
    </w:p>
    <w:p w14:paraId="54918006">
      <w:pPr>
        <w:rPr>
          <w:rFonts w:ascii="宋体" w:hAnsi="宋体"/>
          <w:highlight w:val="none"/>
        </w:rPr>
      </w:pPr>
    </w:p>
    <w:p w14:paraId="2809AC76">
      <w:pPr>
        <w:rPr>
          <w:rFonts w:ascii="宋体" w:hAnsi="宋体"/>
          <w:highlight w:val="none"/>
        </w:rPr>
      </w:pPr>
    </w:p>
    <w:p w14:paraId="3DCC2D1A">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14:paraId="62DA3AD6">
      <w:pPr>
        <w:spacing w:line="600" w:lineRule="exact"/>
        <w:ind w:left="2940" w:leftChars="1400" w:right="2940" w:rightChars="1400"/>
        <w:jc w:val="distribute"/>
        <w:rPr>
          <w:rFonts w:ascii="宋体" w:hAnsi="宋体"/>
          <w:b/>
          <w:bCs/>
          <w:sz w:val="32"/>
          <w:szCs w:val="32"/>
          <w:highlight w:val="none"/>
        </w:rPr>
      </w:pPr>
      <w:r>
        <w:rPr>
          <w:rFonts w:hint="eastAsia"/>
          <w:b/>
          <w:bCs/>
          <w:snapToGrid w:val="0"/>
          <w:color w:val="auto"/>
          <w:kern w:val="0"/>
          <w:sz w:val="32"/>
          <w:szCs w:val="32"/>
        </w:rPr>
        <w:t>国家统计局批准</w:t>
      </w:r>
    </w:p>
    <w:p w14:paraId="177A7692">
      <w:pPr>
        <w:spacing w:line="600" w:lineRule="exact"/>
        <w:jc w:val="center"/>
        <w:rPr>
          <w:rFonts w:ascii="宋体" w:hAnsi="宋体"/>
          <w:b/>
          <w:bCs/>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14:paraId="4A7AEC25">
      <w:pPr>
        <w:spacing w:line="600" w:lineRule="exact"/>
        <w:rPr>
          <w:rFonts w:ascii="宋体" w:hAnsi="宋体"/>
          <w:sz w:val="32"/>
          <w:szCs w:val="32"/>
          <w:highlight w:val="none"/>
        </w:rPr>
      </w:pPr>
    </w:p>
    <w:p w14:paraId="04D4211C">
      <w:pPr>
        <w:rPr>
          <w:rFonts w:hint="eastAsia" w:ascii="宋体" w:hAnsi="宋体"/>
          <w:highlight w:val="none"/>
        </w:rPr>
      </w:pPr>
    </w:p>
    <w:p w14:paraId="2BB60C35">
      <w:pPr>
        <w:spacing w:line="400" w:lineRule="exact"/>
        <w:jc w:val="center"/>
        <w:rPr>
          <w:rFonts w:hint="eastAsia" w:ascii="宋体" w:hAnsi="宋体"/>
          <w:sz w:val="32"/>
          <w:szCs w:val="32"/>
          <w:highlight w:val="none"/>
        </w:rPr>
        <w:sectPr>
          <w:footerReference r:id="rId3" w:type="default"/>
          <w:pgSz w:w="11906" w:h="16838"/>
          <w:pgMar w:top="2098" w:right="1304" w:bottom="1984" w:left="1304" w:header="851" w:footer="992" w:gutter="0"/>
          <w:pgBorders>
            <w:top w:val="none" w:sz="0" w:space="0"/>
            <w:left w:val="none" w:sz="0" w:space="0"/>
            <w:bottom w:val="none" w:sz="0" w:space="0"/>
            <w:right w:val="none" w:sz="0" w:space="0"/>
          </w:pgBorders>
          <w:pgNumType w:fmt="decimal" w:start="1"/>
          <w:cols w:space="0" w:num="1"/>
          <w:rtlGutter w:val="0"/>
          <w:docGrid w:type="linesAndChars" w:linePitch="312" w:charSpace="0"/>
        </w:sectPr>
      </w:pPr>
    </w:p>
    <w:p w14:paraId="0B823F15">
      <w:pPr>
        <w:spacing w:line="400" w:lineRule="exact"/>
        <w:jc w:val="both"/>
        <w:rPr>
          <w:rFonts w:hint="eastAsia" w:ascii="宋体" w:hAnsi="宋体"/>
          <w:sz w:val="32"/>
          <w:szCs w:val="32"/>
          <w:highlight w:val="none"/>
        </w:rPr>
      </w:pPr>
    </w:p>
    <w:p w14:paraId="12A690CB">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14:paraId="3B7DC54C">
      <w:pPr>
        <w:spacing w:line="400" w:lineRule="exact"/>
        <w:ind w:firstLine="560" w:firstLineChars="200"/>
        <w:rPr>
          <w:rFonts w:hint="eastAsia" w:ascii="宋体" w:hAnsi="宋体"/>
          <w:sz w:val="28"/>
          <w:highlight w:val="none"/>
        </w:rPr>
      </w:pPr>
    </w:p>
    <w:p w14:paraId="131A1ADA">
      <w:pPr>
        <w:spacing w:line="400" w:lineRule="exact"/>
        <w:ind w:firstLine="560" w:firstLineChars="200"/>
        <w:rPr>
          <w:rFonts w:hint="eastAsia" w:ascii="宋体" w:hAnsi="宋体"/>
          <w:sz w:val="28"/>
          <w:highlight w:val="none"/>
        </w:rPr>
      </w:pPr>
    </w:p>
    <w:p w14:paraId="4014034D">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6062801A">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14:paraId="551DFBF0">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14:paraId="3BC90A6E">
      <w:pPr>
        <w:ind w:firstLine="520" w:firstLineChars="200"/>
        <w:rPr>
          <w:rFonts w:hint="eastAsia" w:ascii="宋体" w:hAnsi="宋体"/>
          <w:snapToGrid w:val="0"/>
          <w:spacing w:val="-10"/>
          <w:kern w:val="0"/>
          <w:sz w:val="28"/>
          <w:szCs w:val="28"/>
          <w:highlight w:val="none"/>
        </w:rPr>
      </w:pPr>
    </w:p>
    <w:p w14:paraId="6737BE2A">
      <w:pPr>
        <w:ind w:firstLine="520" w:firstLineChars="200"/>
        <w:rPr>
          <w:rFonts w:hint="eastAsia" w:ascii="宋体" w:hAnsi="宋体"/>
          <w:snapToGrid w:val="0"/>
          <w:spacing w:val="-10"/>
          <w:kern w:val="0"/>
          <w:sz w:val="28"/>
          <w:szCs w:val="28"/>
          <w:highlight w:val="none"/>
        </w:rPr>
      </w:pPr>
    </w:p>
    <w:p w14:paraId="05B083DE">
      <w:pPr>
        <w:ind w:firstLine="520" w:firstLineChars="200"/>
        <w:rPr>
          <w:rFonts w:hint="eastAsia" w:ascii="宋体" w:hAnsi="宋体"/>
          <w:snapToGrid w:val="0"/>
          <w:spacing w:val="-10"/>
          <w:kern w:val="0"/>
          <w:sz w:val="28"/>
          <w:szCs w:val="28"/>
          <w:highlight w:val="none"/>
        </w:rPr>
      </w:pPr>
    </w:p>
    <w:p w14:paraId="65EAED70">
      <w:pPr>
        <w:ind w:firstLine="520" w:firstLineChars="200"/>
        <w:rPr>
          <w:rFonts w:hint="eastAsia" w:ascii="宋体" w:hAnsi="宋体"/>
          <w:snapToGrid w:val="0"/>
          <w:spacing w:val="-10"/>
          <w:kern w:val="0"/>
          <w:sz w:val="28"/>
          <w:szCs w:val="28"/>
          <w:highlight w:val="none"/>
        </w:rPr>
      </w:pPr>
    </w:p>
    <w:p w14:paraId="15197339">
      <w:pPr>
        <w:ind w:firstLine="520" w:firstLineChars="200"/>
        <w:rPr>
          <w:rFonts w:hint="eastAsia" w:ascii="宋体" w:hAnsi="宋体"/>
          <w:snapToGrid w:val="0"/>
          <w:spacing w:val="-10"/>
          <w:kern w:val="0"/>
          <w:sz w:val="28"/>
          <w:szCs w:val="28"/>
          <w:highlight w:val="none"/>
        </w:rPr>
      </w:pPr>
    </w:p>
    <w:p w14:paraId="3ED1C277">
      <w:pPr>
        <w:ind w:firstLine="520" w:firstLineChars="200"/>
        <w:rPr>
          <w:rFonts w:hint="eastAsia" w:ascii="宋体" w:hAnsi="宋体"/>
          <w:snapToGrid w:val="0"/>
          <w:spacing w:val="-10"/>
          <w:kern w:val="0"/>
          <w:sz w:val="28"/>
          <w:szCs w:val="28"/>
          <w:highlight w:val="none"/>
        </w:rPr>
      </w:pPr>
    </w:p>
    <w:p w14:paraId="4FD648BC">
      <w:pPr>
        <w:ind w:firstLine="520" w:firstLineChars="200"/>
        <w:rPr>
          <w:rFonts w:hint="eastAsia" w:ascii="宋体" w:hAnsi="宋体"/>
          <w:snapToGrid w:val="0"/>
          <w:spacing w:val="-10"/>
          <w:kern w:val="0"/>
          <w:sz w:val="28"/>
          <w:szCs w:val="28"/>
          <w:highlight w:val="none"/>
        </w:rPr>
      </w:pPr>
    </w:p>
    <w:p w14:paraId="314EB2F8">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6E1878AD">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14:paraId="5A704BF6">
      <w:pPr>
        <w:spacing w:after="156" w:afterLines="50"/>
        <w:jc w:val="center"/>
        <w:rPr>
          <w:rFonts w:hint="eastAsia" w:ascii="宋体" w:hAnsi="宋体"/>
          <w:b/>
          <w:bCs/>
          <w:sz w:val="18"/>
          <w:szCs w:val="18"/>
          <w:highlight w:val="none"/>
        </w:rPr>
      </w:pPr>
    </w:p>
    <w:p w14:paraId="115CDF46">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14:paraId="360A17E7">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14:paraId="2D6C1385">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14:paraId="02B6E932">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14:paraId="6CEB730B">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14:paraId="105A9A66">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14:paraId="4B4EB098">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14:paraId="3861425E">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14:paraId="65F31351">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14:paraId="689C43BB">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14:paraId="334F0AAD">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14:paraId="695AB55B">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14:paraId="1353EBE9">
      <w:pPr>
        <w:tabs>
          <w:tab w:val="left" w:pos="210"/>
        </w:tabs>
        <w:spacing w:after="156" w:afterLines="50" w:line="400" w:lineRule="exact"/>
        <w:jc w:val="center"/>
        <w:rPr>
          <w:rFonts w:hint="eastAsia" w:ascii="宋体" w:hAnsi="宋体" w:cs="宋体"/>
          <w:color w:val="auto"/>
          <w:szCs w:val="21"/>
          <w:lang w:val="en-US" w:eastAsia="zh-CN"/>
        </w:rPr>
      </w:pPr>
    </w:p>
    <w:p w14:paraId="0561C475">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14:paraId="55083F60">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2F856052">
      <w:pPr>
        <w:pStyle w:val="3"/>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14:paraId="60D55823">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14:paraId="548CD831">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14:paraId="51E60B2D">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14:paraId="35C09EDB">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14:paraId="720812AE">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14:paraId="41CBA828">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14:paraId="6124FB17">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14:paraId="7B052EC0">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14:paraId="65ADFF97">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14:paraId="5230A940">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14:paraId="1B224ACA">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14:paraId="45D1DD6B">
      <w:pPr>
        <w:spacing w:line="400" w:lineRule="exact"/>
        <w:ind w:firstLine="420" w:firstLineChars="200"/>
        <w:jc w:val="both"/>
        <w:rPr>
          <w:rFonts w:ascii="宋体" w:hAnsi="宋体"/>
          <w:sz w:val="21"/>
          <w:szCs w:val="21"/>
          <w:highlight w:val="none"/>
        </w:rPr>
      </w:pPr>
    </w:p>
    <w:p w14:paraId="3CC4D8F6">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2612C854">
      <w:pPr>
        <w:pStyle w:val="3"/>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14:paraId="070B0D5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14:paraId="1D00BC5E">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14:paraId="01E2B81C">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14:paraId="53C3B99E">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14:paraId="6BA940E6">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14:paraId="586CA8B4">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14:paraId="1124952D">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14:paraId="21174997">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14:paraId="375163E3">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14:paraId="30A5B16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14:paraId="780B2521">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14:paraId="70F1F2CE">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14:paraId="74FBE270">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14:paraId="2A73F5C5">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14:paraId="15F1F56A">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14:paraId="060EC770">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14:paraId="343A5697">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14:paraId="7CC323E9">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14:paraId="4FD63D34">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14:paraId="271DA618">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14:paraId="50E7F9F6">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14:paraId="3E4D18AE">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14:paraId="6FEF178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14:paraId="20C35452">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14:paraId="7EE4878A">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14:paraId="14B09ACD">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4B59AC18">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5296D278">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1BCFC196">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799D506A">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14:paraId="68DF455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14:paraId="77E76DB4">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14:paraId="27457AA4">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14:paraId="1EF38771">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5F82996B">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50E7A910">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312F2A4E">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255E79A9">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14:paraId="6F96C50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14:paraId="335292F3">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14:paraId="62A929BA">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14:paraId="2AD451DA">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14:paraId="24BD3F17">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14:paraId="60DC2738">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14:paraId="7613EBBD">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58895245">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14:paraId="53CDB029">
      <w:pPr>
        <w:pStyle w:val="3"/>
        <w:jc w:val="center"/>
        <w:rPr>
          <w:rFonts w:ascii="黑体" w:hAnsi="黑体" w:eastAsia="黑体"/>
          <w:sz w:val="32"/>
          <w:highlight w:val="none"/>
        </w:rPr>
      </w:pPr>
    </w:p>
    <w:p w14:paraId="2EBF4B47">
      <w:pPr>
        <w:pStyle w:val="3"/>
        <w:jc w:val="center"/>
        <w:rPr>
          <w:rFonts w:ascii="黑体" w:hAnsi="黑体" w:eastAsia="黑体"/>
          <w:sz w:val="32"/>
          <w:highlight w:val="none"/>
        </w:rPr>
      </w:pPr>
    </w:p>
    <w:p w14:paraId="6D76E478">
      <w:pPr>
        <w:pStyle w:val="3"/>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14:paraId="68A45DD6">
      <w:pPr>
        <w:pStyle w:val="4"/>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14:paraId="32BA5697">
      <w:pPr>
        <w:spacing w:line="320" w:lineRule="exact"/>
        <w:ind w:firstLine="5580"/>
        <w:rPr>
          <w:rFonts w:ascii="宋体" w:hAnsi="宋体"/>
          <w:bCs/>
          <w:highlight w:val="none"/>
        </w:rPr>
      </w:pPr>
    </w:p>
    <w:p w14:paraId="375B6610">
      <w:pPr>
        <w:spacing w:line="320" w:lineRule="exact"/>
        <w:ind w:firstLine="5580"/>
        <w:rPr>
          <w:rFonts w:hint="eastAsia" w:ascii="宋体" w:hAnsi="宋体"/>
          <w:bCs/>
          <w:highlight w:val="none"/>
        </w:rPr>
      </w:pPr>
    </w:p>
    <w:p w14:paraId="798DD176">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14:paraId="75A2B884">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1138E6B4">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00A9FBB4">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3B9E3B2B">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14:paraId="3D916209">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14:paraId="0A06BE41">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3A01254B">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6CF783E1">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14:paraId="257486D9">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14:paraId="3DE1E11B">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29DE5641">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5B079D77">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14:paraId="30ACF51C">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706F562B">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14:paraId="6A2951C9">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14:paraId="4318C371">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14:paraId="1A11B336">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14:paraId="5B44D3F0">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14:paraId="081355F4">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00A768A7">
      <w:pPr>
        <w:spacing w:line="320" w:lineRule="exact"/>
        <w:rPr>
          <w:rFonts w:hint="eastAsia" w:ascii="宋体" w:hAnsi="宋体" w:cs="宋体"/>
          <w:sz w:val="18"/>
          <w:szCs w:val="18"/>
          <w:highlight w:val="none"/>
        </w:rPr>
      </w:pPr>
    </w:p>
    <w:p w14:paraId="71EB894E">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4"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ID0WYTo&#10;AQAA3AMAAA4AAAAAAAAAAQAgAAAAIgEAAGRycy9lMm9Eb2MueG1sUEsFBgAAAAAGAAYAWQEAAHwF&#10;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14:paraId="3B89F83F">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14:paraId="0AEA6AE4">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27A8D294">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46CF1FE7">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5D1F14EC">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14:paraId="057D941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14:paraId="192EB56C">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14:paraId="7547C559">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14:paraId="6280DC44">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14:paraId="4F48B5AF">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3C07F20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14:paraId="2C34BA16">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14:paraId="17D1251C">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14:paraId="4DC7BA0D">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14:paraId="3182A81B">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67629B0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14:paraId="2FD7CA4A">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14:paraId="7553F8CB">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14:paraId="75C467F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14:paraId="762D6E6F">
            <w:pPr>
              <w:spacing w:line="320" w:lineRule="exact"/>
              <w:jc w:val="center"/>
              <w:rPr>
                <w:rFonts w:ascii="宋体" w:hAnsi="宋体"/>
                <w:sz w:val="18"/>
                <w:szCs w:val="18"/>
                <w:highlight w:val="none"/>
              </w:rPr>
            </w:pPr>
          </w:p>
        </w:tc>
      </w:tr>
      <w:tr w14:paraId="474705B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5360570">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14:paraId="7FAA09C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992996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14:paraId="0FF26D1D">
            <w:pPr>
              <w:spacing w:line="320" w:lineRule="exact"/>
              <w:jc w:val="center"/>
              <w:rPr>
                <w:rFonts w:ascii="宋体" w:hAnsi="宋体" w:eastAsia="宋体" w:cs="Times New Roman"/>
                <w:kern w:val="2"/>
                <w:sz w:val="18"/>
                <w:szCs w:val="18"/>
                <w:highlight w:val="none"/>
                <w:lang w:val="en-US" w:eastAsia="zh-CN" w:bidi="ar-SA"/>
              </w:rPr>
            </w:pPr>
          </w:p>
        </w:tc>
      </w:tr>
      <w:tr w14:paraId="207CE03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B6DCA9A">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14:paraId="2BAAC355">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C1F14B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14:paraId="383BE577">
            <w:pPr>
              <w:spacing w:line="320" w:lineRule="exact"/>
              <w:jc w:val="center"/>
              <w:rPr>
                <w:rFonts w:ascii="宋体" w:hAnsi="宋体" w:eastAsia="宋体" w:cs="Times New Roman"/>
                <w:kern w:val="2"/>
                <w:sz w:val="18"/>
                <w:szCs w:val="18"/>
                <w:highlight w:val="none"/>
                <w:lang w:val="en-US" w:eastAsia="zh-CN" w:bidi="ar-SA"/>
              </w:rPr>
            </w:pPr>
          </w:p>
        </w:tc>
      </w:tr>
      <w:tr w14:paraId="4EA804D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083C0E2">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14:paraId="2E4FA759">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C85DF9B">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14:paraId="706DFF23">
            <w:pPr>
              <w:spacing w:line="320" w:lineRule="exact"/>
              <w:jc w:val="center"/>
              <w:rPr>
                <w:rFonts w:ascii="宋体" w:hAnsi="宋体" w:eastAsia="宋体" w:cs="Times New Roman"/>
                <w:kern w:val="2"/>
                <w:sz w:val="18"/>
                <w:szCs w:val="18"/>
                <w:highlight w:val="none"/>
                <w:lang w:val="en-US" w:eastAsia="zh-CN" w:bidi="ar-SA"/>
              </w:rPr>
            </w:pPr>
          </w:p>
        </w:tc>
      </w:tr>
      <w:tr w14:paraId="48EAB8A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24179AD">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14:paraId="2D7FDA30">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7EA7F0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14:paraId="5AA9708F">
            <w:pPr>
              <w:spacing w:line="320" w:lineRule="exact"/>
              <w:jc w:val="center"/>
              <w:rPr>
                <w:rFonts w:ascii="宋体" w:hAnsi="宋体" w:eastAsia="宋体" w:cs="Times New Roman"/>
                <w:kern w:val="2"/>
                <w:sz w:val="18"/>
                <w:szCs w:val="18"/>
                <w:highlight w:val="none"/>
                <w:lang w:val="en-US" w:eastAsia="zh-CN" w:bidi="ar-SA"/>
              </w:rPr>
            </w:pPr>
          </w:p>
        </w:tc>
      </w:tr>
      <w:tr w14:paraId="175E1FC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ADE2FEE">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14:paraId="6094FC2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4B4D2C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14:paraId="07CF69A9">
            <w:pPr>
              <w:spacing w:line="320" w:lineRule="exact"/>
              <w:jc w:val="center"/>
              <w:rPr>
                <w:rFonts w:ascii="宋体" w:hAnsi="宋体" w:eastAsia="宋体" w:cs="Times New Roman"/>
                <w:kern w:val="2"/>
                <w:sz w:val="18"/>
                <w:szCs w:val="18"/>
                <w:highlight w:val="none"/>
                <w:lang w:val="en-US" w:eastAsia="zh-CN" w:bidi="ar-SA"/>
              </w:rPr>
            </w:pPr>
          </w:p>
        </w:tc>
      </w:tr>
      <w:tr w14:paraId="662337B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DD6FB6F">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14:paraId="626CB7B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5309781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14:paraId="53D886CD">
            <w:pPr>
              <w:spacing w:line="320" w:lineRule="exact"/>
              <w:jc w:val="center"/>
              <w:rPr>
                <w:rFonts w:ascii="宋体" w:hAnsi="宋体" w:eastAsia="宋体" w:cs="Times New Roman"/>
                <w:kern w:val="2"/>
                <w:sz w:val="18"/>
                <w:szCs w:val="18"/>
                <w:highlight w:val="none"/>
                <w:lang w:val="en-US" w:eastAsia="zh-CN" w:bidi="ar-SA"/>
              </w:rPr>
            </w:pPr>
          </w:p>
        </w:tc>
      </w:tr>
      <w:tr w14:paraId="491B6E3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75E12D3">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14:paraId="5658555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D91AF77">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14:paraId="20DDD040">
            <w:pPr>
              <w:spacing w:line="320" w:lineRule="exact"/>
              <w:jc w:val="center"/>
              <w:rPr>
                <w:rFonts w:ascii="宋体" w:hAnsi="宋体" w:eastAsia="宋体" w:cs="Times New Roman"/>
                <w:kern w:val="2"/>
                <w:sz w:val="18"/>
                <w:szCs w:val="18"/>
                <w:highlight w:val="none"/>
                <w:lang w:val="en-US" w:eastAsia="zh-CN" w:bidi="ar-SA"/>
              </w:rPr>
            </w:pPr>
          </w:p>
        </w:tc>
      </w:tr>
      <w:tr w14:paraId="14D8A7F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F8B0702">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14:paraId="1DFF0BA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2B5B2F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14:paraId="45A8C0F6">
            <w:pPr>
              <w:spacing w:line="320" w:lineRule="exact"/>
              <w:jc w:val="center"/>
              <w:rPr>
                <w:rFonts w:ascii="宋体" w:hAnsi="宋体" w:eastAsia="宋体" w:cs="Times New Roman"/>
                <w:kern w:val="2"/>
                <w:sz w:val="18"/>
                <w:szCs w:val="18"/>
                <w:highlight w:val="none"/>
                <w:lang w:val="en-US" w:eastAsia="zh-CN" w:bidi="ar-SA"/>
              </w:rPr>
            </w:pPr>
          </w:p>
        </w:tc>
      </w:tr>
      <w:tr w14:paraId="49D015D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DADA353">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14:paraId="024FD1A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7141D6A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14:paraId="309D3BFA">
            <w:pPr>
              <w:spacing w:line="320" w:lineRule="exact"/>
              <w:jc w:val="center"/>
              <w:rPr>
                <w:rFonts w:ascii="宋体" w:hAnsi="宋体" w:eastAsia="宋体" w:cs="Times New Roman"/>
                <w:kern w:val="2"/>
                <w:sz w:val="18"/>
                <w:szCs w:val="18"/>
                <w:highlight w:val="none"/>
                <w:lang w:val="en-US" w:eastAsia="zh-CN" w:bidi="ar-SA"/>
              </w:rPr>
            </w:pPr>
          </w:p>
        </w:tc>
      </w:tr>
      <w:tr w14:paraId="2F447CA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5F974CE">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14:paraId="40E3491A">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155556D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14:paraId="5A23985B">
            <w:pPr>
              <w:spacing w:line="320" w:lineRule="exact"/>
              <w:jc w:val="center"/>
              <w:rPr>
                <w:rFonts w:ascii="宋体" w:hAnsi="宋体" w:eastAsia="宋体" w:cs="Times New Roman"/>
                <w:kern w:val="2"/>
                <w:sz w:val="18"/>
                <w:szCs w:val="18"/>
                <w:highlight w:val="none"/>
                <w:lang w:val="en-US" w:eastAsia="zh-CN" w:bidi="ar-SA"/>
              </w:rPr>
            </w:pPr>
          </w:p>
        </w:tc>
      </w:tr>
      <w:tr w14:paraId="6EE9174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3479741">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7BAAE69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67225D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14:paraId="4AB80F2B">
            <w:pPr>
              <w:spacing w:line="320" w:lineRule="exact"/>
              <w:jc w:val="center"/>
              <w:rPr>
                <w:rFonts w:ascii="宋体" w:hAnsi="宋体" w:eastAsia="宋体" w:cs="Times New Roman"/>
                <w:kern w:val="2"/>
                <w:sz w:val="18"/>
                <w:szCs w:val="18"/>
                <w:highlight w:val="none"/>
                <w:lang w:val="en-US" w:eastAsia="zh-CN" w:bidi="ar-SA"/>
              </w:rPr>
            </w:pPr>
          </w:p>
        </w:tc>
      </w:tr>
      <w:tr w14:paraId="3970083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00B6E30">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2C037998">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8F9A8A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14:paraId="1BF3F05B">
            <w:pPr>
              <w:spacing w:line="320" w:lineRule="exact"/>
              <w:jc w:val="center"/>
              <w:rPr>
                <w:rFonts w:ascii="宋体" w:hAnsi="宋体" w:eastAsia="宋体" w:cs="Times New Roman"/>
                <w:kern w:val="2"/>
                <w:sz w:val="18"/>
                <w:szCs w:val="18"/>
                <w:highlight w:val="none"/>
                <w:lang w:val="en-US" w:eastAsia="zh-CN" w:bidi="ar-SA"/>
              </w:rPr>
            </w:pPr>
          </w:p>
        </w:tc>
      </w:tr>
      <w:tr w14:paraId="6AD1E42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1F0F9CE">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069D86A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1CB5A0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14:paraId="706E2E36">
            <w:pPr>
              <w:spacing w:line="320" w:lineRule="exact"/>
              <w:jc w:val="center"/>
              <w:rPr>
                <w:rFonts w:ascii="宋体" w:hAnsi="宋体" w:eastAsia="宋体" w:cs="Times New Roman"/>
                <w:kern w:val="2"/>
                <w:sz w:val="18"/>
                <w:szCs w:val="18"/>
                <w:highlight w:val="none"/>
                <w:lang w:val="en-US" w:eastAsia="zh-CN" w:bidi="ar-SA"/>
              </w:rPr>
            </w:pPr>
          </w:p>
        </w:tc>
      </w:tr>
      <w:tr w14:paraId="3852BCF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1F330BE">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11FBA2D1">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B94317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14:paraId="51ACD461">
            <w:pPr>
              <w:spacing w:line="320" w:lineRule="exact"/>
              <w:jc w:val="center"/>
              <w:rPr>
                <w:rFonts w:ascii="宋体" w:hAnsi="宋体" w:eastAsia="宋体" w:cs="Times New Roman"/>
                <w:kern w:val="2"/>
                <w:sz w:val="18"/>
                <w:szCs w:val="18"/>
                <w:highlight w:val="none"/>
                <w:lang w:val="en-US" w:eastAsia="zh-CN" w:bidi="ar-SA"/>
              </w:rPr>
            </w:pPr>
          </w:p>
        </w:tc>
      </w:tr>
      <w:tr w14:paraId="335DCDC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53348E0">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14:paraId="2995E48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71B49D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14:paraId="06F1D82D">
            <w:pPr>
              <w:spacing w:line="320" w:lineRule="exact"/>
              <w:jc w:val="center"/>
              <w:rPr>
                <w:rFonts w:ascii="宋体" w:hAnsi="宋体" w:eastAsia="宋体" w:cs="Times New Roman"/>
                <w:kern w:val="2"/>
                <w:sz w:val="18"/>
                <w:szCs w:val="18"/>
                <w:highlight w:val="none"/>
                <w:lang w:val="en-US" w:eastAsia="zh-CN" w:bidi="ar-SA"/>
              </w:rPr>
            </w:pPr>
          </w:p>
        </w:tc>
      </w:tr>
      <w:tr w14:paraId="13A16D1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2750D9A">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7EF8209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41580C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14:paraId="0AF09F59">
            <w:pPr>
              <w:spacing w:line="320" w:lineRule="exact"/>
              <w:jc w:val="center"/>
              <w:rPr>
                <w:rFonts w:ascii="宋体" w:hAnsi="宋体" w:eastAsia="宋体" w:cs="Times New Roman"/>
                <w:kern w:val="2"/>
                <w:sz w:val="18"/>
                <w:szCs w:val="18"/>
                <w:highlight w:val="none"/>
                <w:lang w:val="en-US" w:eastAsia="zh-CN" w:bidi="ar-SA"/>
              </w:rPr>
            </w:pPr>
          </w:p>
        </w:tc>
      </w:tr>
      <w:tr w14:paraId="0BAD354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5743ECD">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053D48A7">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F9B531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14:paraId="2A33764F">
            <w:pPr>
              <w:spacing w:line="320" w:lineRule="exact"/>
              <w:jc w:val="center"/>
              <w:rPr>
                <w:rFonts w:ascii="宋体" w:hAnsi="宋体" w:eastAsia="宋体" w:cs="Times New Roman"/>
                <w:kern w:val="2"/>
                <w:sz w:val="18"/>
                <w:szCs w:val="18"/>
                <w:highlight w:val="none"/>
                <w:lang w:val="en-US" w:eastAsia="zh-CN" w:bidi="ar-SA"/>
              </w:rPr>
            </w:pPr>
          </w:p>
        </w:tc>
      </w:tr>
      <w:tr w14:paraId="45BE2F9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EFE7EE6">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6E598C7F">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B73786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14:paraId="2F3ACD8B">
            <w:pPr>
              <w:spacing w:line="320" w:lineRule="exact"/>
              <w:jc w:val="center"/>
              <w:rPr>
                <w:rFonts w:ascii="宋体" w:hAnsi="宋体" w:eastAsia="宋体" w:cs="Times New Roman"/>
                <w:kern w:val="2"/>
                <w:sz w:val="18"/>
                <w:szCs w:val="18"/>
                <w:highlight w:val="none"/>
                <w:lang w:val="en-US" w:eastAsia="zh-CN" w:bidi="ar-SA"/>
              </w:rPr>
            </w:pPr>
          </w:p>
        </w:tc>
      </w:tr>
      <w:tr w14:paraId="2ACDF92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B54E7E9">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4901D2A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5E13EF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14:paraId="6B13671F">
            <w:pPr>
              <w:spacing w:line="320" w:lineRule="exact"/>
              <w:jc w:val="center"/>
              <w:rPr>
                <w:rFonts w:ascii="宋体" w:hAnsi="宋体" w:eastAsia="宋体" w:cs="Times New Roman"/>
                <w:kern w:val="2"/>
                <w:sz w:val="18"/>
                <w:szCs w:val="18"/>
                <w:highlight w:val="none"/>
                <w:lang w:val="en-US" w:eastAsia="zh-CN" w:bidi="ar-SA"/>
              </w:rPr>
            </w:pPr>
          </w:p>
        </w:tc>
      </w:tr>
      <w:tr w14:paraId="7F87ACF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84D5C45">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14:paraId="2570444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7315CBE">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14:paraId="5D363886">
            <w:pPr>
              <w:spacing w:line="320" w:lineRule="exact"/>
              <w:jc w:val="center"/>
              <w:rPr>
                <w:rFonts w:ascii="宋体" w:hAnsi="宋体" w:eastAsia="宋体" w:cs="Times New Roman"/>
                <w:kern w:val="2"/>
                <w:sz w:val="18"/>
                <w:szCs w:val="18"/>
                <w:highlight w:val="none"/>
                <w:lang w:val="en-US" w:eastAsia="zh-CN" w:bidi="ar-SA"/>
              </w:rPr>
            </w:pPr>
          </w:p>
        </w:tc>
      </w:tr>
      <w:tr w14:paraId="286374C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C1A24A2">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3AF83288">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6BD976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14:paraId="44124CB6">
            <w:pPr>
              <w:spacing w:line="320" w:lineRule="exact"/>
              <w:jc w:val="center"/>
              <w:rPr>
                <w:rFonts w:ascii="宋体" w:hAnsi="宋体"/>
                <w:sz w:val="18"/>
                <w:szCs w:val="18"/>
                <w:highlight w:val="none"/>
              </w:rPr>
            </w:pPr>
          </w:p>
        </w:tc>
      </w:tr>
      <w:tr w14:paraId="4ACA9A8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944F642">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14:paraId="6A58FC3F">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EC4BA2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14:paraId="0B2596B4">
            <w:pPr>
              <w:spacing w:line="320" w:lineRule="exact"/>
              <w:jc w:val="center"/>
              <w:rPr>
                <w:rFonts w:ascii="宋体" w:hAnsi="宋体"/>
                <w:sz w:val="18"/>
                <w:szCs w:val="18"/>
                <w:highlight w:val="none"/>
              </w:rPr>
            </w:pPr>
          </w:p>
        </w:tc>
      </w:tr>
      <w:tr w14:paraId="4D4C47B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E2B1BEA">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469831CD">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D7597B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14:paraId="2E35DC65">
            <w:pPr>
              <w:spacing w:line="320" w:lineRule="exact"/>
              <w:jc w:val="center"/>
              <w:rPr>
                <w:rFonts w:ascii="宋体" w:hAnsi="宋体"/>
                <w:sz w:val="18"/>
                <w:szCs w:val="18"/>
                <w:highlight w:val="none"/>
              </w:rPr>
            </w:pPr>
          </w:p>
        </w:tc>
      </w:tr>
      <w:tr w14:paraId="7292EB0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BDA56A8">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14:paraId="7005797E">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4AB5CA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14:paraId="75729EAD">
            <w:pPr>
              <w:spacing w:line="320" w:lineRule="exact"/>
              <w:jc w:val="center"/>
              <w:rPr>
                <w:rFonts w:ascii="宋体" w:hAnsi="宋体"/>
                <w:sz w:val="18"/>
                <w:szCs w:val="18"/>
                <w:highlight w:val="none"/>
              </w:rPr>
            </w:pPr>
          </w:p>
        </w:tc>
      </w:tr>
      <w:tr w14:paraId="34B6546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19051B4">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14:paraId="53AF6687">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E5D3EC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14:paraId="1F5B5D0B">
            <w:pPr>
              <w:spacing w:line="320" w:lineRule="exact"/>
              <w:jc w:val="center"/>
              <w:rPr>
                <w:rFonts w:ascii="宋体" w:hAnsi="宋体"/>
                <w:sz w:val="18"/>
                <w:szCs w:val="18"/>
                <w:highlight w:val="none"/>
              </w:rPr>
            </w:pPr>
          </w:p>
        </w:tc>
      </w:tr>
      <w:tr w14:paraId="0109CDD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B7956DD">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14:paraId="4777B0F7">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5D7BA6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14:paraId="29A65FAF">
            <w:pPr>
              <w:spacing w:line="320" w:lineRule="exact"/>
              <w:jc w:val="center"/>
              <w:rPr>
                <w:rFonts w:ascii="宋体" w:hAnsi="宋体"/>
                <w:sz w:val="18"/>
                <w:szCs w:val="18"/>
                <w:highlight w:val="none"/>
              </w:rPr>
            </w:pPr>
          </w:p>
        </w:tc>
      </w:tr>
      <w:tr w14:paraId="42A2CE5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CEA83DB">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14:paraId="7BC52BE1">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487F5969">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14:paraId="26004D6C">
            <w:pPr>
              <w:spacing w:line="320" w:lineRule="exact"/>
              <w:jc w:val="center"/>
              <w:rPr>
                <w:rFonts w:ascii="宋体" w:hAnsi="宋体"/>
                <w:sz w:val="18"/>
                <w:szCs w:val="18"/>
                <w:highlight w:val="none"/>
              </w:rPr>
            </w:pPr>
          </w:p>
        </w:tc>
      </w:tr>
      <w:tr w14:paraId="4FEEF1E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6209A5C">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14:paraId="17B77A05">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A76A965">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14:paraId="148077DA">
            <w:pPr>
              <w:spacing w:line="320" w:lineRule="exact"/>
              <w:jc w:val="center"/>
              <w:rPr>
                <w:rFonts w:ascii="宋体" w:hAnsi="宋体"/>
                <w:sz w:val="18"/>
                <w:szCs w:val="18"/>
                <w:highlight w:val="none"/>
              </w:rPr>
            </w:pPr>
          </w:p>
        </w:tc>
      </w:tr>
      <w:tr w14:paraId="0EE89DC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14:paraId="20D7272A">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14:paraId="3DD5634F">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14:paraId="7A670DF2">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14:paraId="13704E3F">
            <w:pPr>
              <w:spacing w:line="320" w:lineRule="exact"/>
              <w:jc w:val="center"/>
              <w:rPr>
                <w:rFonts w:ascii="宋体" w:hAnsi="宋体"/>
                <w:sz w:val="18"/>
                <w:szCs w:val="18"/>
                <w:highlight w:val="none"/>
              </w:rPr>
            </w:pPr>
          </w:p>
        </w:tc>
      </w:tr>
    </w:tbl>
    <w:p w14:paraId="773A5573">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442EC37E">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13969BA1">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14:paraId="05C34B46">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14:paraId="0C84B078">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14:paraId="1072CAFD">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14:paraId="79BC7B02">
      <w:pPr>
        <w:spacing w:line="400" w:lineRule="exact"/>
        <w:jc w:val="center"/>
        <w:rPr>
          <w:rFonts w:hint="eastAsia" w:ascii="宋体" w:hAnsi="宋体" w:eastAsia="宋体" w:cs="宋体"/>
          <w:b/>
          <w:kern w:val="0"/>
          <w:sz w:val="36"/>
          <w:szCs w:val="36"/>
          <w:highlight w:val="none"/>
          <w:lang w:val="en-US" w:eastAsia="zh-CN" w:bidi="ar"/>
        </w:rPr>
      </w:pPr>
    </w:p>
    <w:p w14:paraId="2C609DA2">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14:paraId="4C080587">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1008E5E2">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6A7BAA10">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69FECA0E">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14:paraId="5E412D9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5DBBBD5C">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14:paraId="2C4D5CF2">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14:paraId="7806C3B0">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4E213DA9">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0FD4AFA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6FFA7C64">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14:paraId="04FD96B8">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14:paraId="2043D07F">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6270771D">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3EF7B50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14:paraId="064D41AE">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14:paraId="588A4380">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14:paraId="7CAAA7BD">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14:paraId="04F0FD6B">
            <w:pPr>
              <w:spacing w:line="0" w:lineRule="atLeast"/>
              <w:jc w:val="center"/>
              <w:rPr>
                <w:rFonts w:hint="eastAsia" w:ascii="宋体" w:hAnsi="宋体"/>
                <w:sz w:val="18"/>
                <w:szCs w:val="18"/>
                <w:highlight w:val="none"/>
              </w:rPr>
            </w:pPr>
          </w:p>
        </w:tc>
      </w:tr>
      <w:tr w14:paraId="7E8D49E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6F624BD">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14:paraId="0E7AA8D5">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35C232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14:paraId="70466B66">
            <w:pPr>
              <w:spacing w:line="320" w:lineRule="exact"/>
              <w:jc w:val="center"/>
              <w:rPr>
                <w:rFonts w:ascii="宋体" w:hAnsi="宋体"/>
                <w:sz w:val="18"/>
                <w:szCs w:val="18"/>
                <w:highlight w:val="none"/>
              </w:rPr>
            </w:pPr>
          </w:p>
        </w:tc>
      </w:tr>
      <w:tr w14:paraId="71688C4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F6F4FBF">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14:paraId="489759CE">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14:paraId="324E02EF">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14:paraId="4D70EAE8">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14:paraId="51731E3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6636BB">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14:paraId="7754F549">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651428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14:paraId="0ED19A22">
            <w:pPr>
              <w:spacing w:line="320" w:lineRule="exact"/>
              <w:jc w:val="center"/>
              <w:rPr>
                <w:rFonts w:ascii="宋体" w:hAnsi="宋体"/>
                <w:sz w:val="18"/>
                <w:szCs w:val="18"/>
                <w:highlight w:val="none"/>
              </w:rPr>
            </w:pPr>
          </w:p>
        </w:tc>
      </w:tr>
      <w:tr w14:paraId="1F4E155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3B563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14:paraId="3B942C1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2FE2379">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14:paraId="60C3C2B0">
            <w:pPr>
              <w:spacing w:line="320" w:lineRule="exact"/>
              <w:jc w:val="center"/>
              <w:rPr>
                <w:rFonts w:ascii="宋体" w:hAnsi="宋体"/>
                <w:sz w:val="18"/>
                <w:szCs w:val="18"/>
                <w:highlight w:val="none"/>
              </w:rPr>
            </w:pPr>
          </w:p>
        </w:tc>
      </w:tr>
      <w:tr w14:paraId="7A20264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ED4B271">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14:paraId="3176BBB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40F836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14:paraId="4C5503CC">
            <w:pPr>
              <w:spacing w:line="320" w:lineRule="exact"/>
              <w:jc w:val="center"/>
              <w:rPr>
                <w:rFonts w:ascii="宋体" w:hAnsi="宋体"/>
                <w:sz w:val="18"/>
                <w:szCs w:val="18"/>
                <w:highlight w:val="none"/>
              </w:rPr>
            </w:pPr>
          </w:p>
        </w:tc>
      </w:tr>
      <w:tr w14:paraId="3DAC878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7F0F6CB">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14:paraId="7CE3A287">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DDDC40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14:paraId="07AFA9F9">
            <w:pPr>
              <w:spacing w:line="320" w:lineRule="exact"/>
              <w:jc w:val="center"/>
              <w:rPr>
                <w:rFonts w:ascii="宋体" w:hAnsi="宋体"/>
                <w:sz w:val="18"/>
                <w:szCs w:val="18"/>
                <w:highlight w:val="none"/>
              </w:rPr>
            </w:pPr>
          </w:p>
        </w:tc>
      </w:tr>
      <w:tr w14:paraId="518A829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20FF737">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14:paraId="28E9A49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00412F5">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14:paraId="3FB928EF">
            <w:pPr>
              <w:spacing w:line="320" w:lineRule="exact"/>
              <w:jc w:val="center"/>
              <w:rPr>
                <w:rFonts w:ascii="宋体" w:hAnsi="宋体"/>
                <w:sz w:val="18"/>
                <w:szCs w:val="18"/>
                <w:highlight w:val="none"/>
              </w:rPr>
            </w:pPr>
          </w:p>
        </w:tc>
      </w:tr>
      <w:tr w14:paraId="5BE68B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928E3AB">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14:paraId="5F2C99D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6ED15E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14:paraId="29705AC3">
            <w:pPr>
              <w:spacing w:line="320" w:lineRule="exact"/>
              <w:jc w:val="center"/>
              <w:rPr>
                <w:rFonts w:ascii="宋体" w:hAnsi="宋体"/>
                <w:sz w:val="18"/>
                <w:szCs w:val="18"/>
                <w:highlight w:val="none"/>
              </w:rPr>
            </w:pPr>
          </w:p>
        </w:tc>
      </w:tr>
      <w:tr w14:paraId="69D91CD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149AD85">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14:paraId="5D1CF44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549CAD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14:paraId="60E8D447">
            <w:pPr>
              <w:spacing w:line="320" w:lineRule="exact"/>
              <w:jc w:val="center"/>
              <w:rPr>
                <w:rFonts w:ascii="宋体" w:hAnsi="宋体"/>
                <w:sz w:val="18"/>
                <w:szCs w:val="18"/>
                <w:highlight w:val="none"/>
              </w:rPr>
            </w:pPr>
          </w:p>
        </w:tc>
      </w:tr>
      <w:tr w14:paraId="5258C1D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F45F484">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14:paraId="7D197F4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28278CE">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14:paraId="240B7F46">
            <w:pPr>
              <w:spacing w:line="320" w:lineRule="exact"/>
              <w:jc w:val="center"/>
              <w:rPr>
                <w:rFonts w:ascii="宋体" w:hAnsi="宋体"/>
                <w:sz w:val="18"/>
                <w:szCs w:val="18"/>
                <w:highlight w:val="none"/>
              </w:rPr>
            </w:pPr>
          </w:p>
        </w:tc>
      </w:tr>
      <w:tr w14:paraId="640A092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28A091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14:paraId="03A29F0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DE0910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14:paraId="2D059232">
            <w:pPr>
              <w:spacing w:line="320" w:lineRule="exact"/>
              <w:jc w:val="center"/>
              <w:rPr>
                <w:rFonts w:ascii="宋体" w:hAnsi="宋体"/>
                <w:sz w:val="18"/>
                <w:szCs w:val="18"/>
                <w:highlight w:val="none"/>
              </w:rPr>
            </w:pPr>
          </w:p>
        </w:tc>
      </w:tr>
      <w:tr w14:paraId="600B8F8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5ADAE56">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14:paraId="124F88A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52273E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14:paraId="3E328690">
            <w:pPr>
              <w:spacing w:line="320" w:lineRule="exact"/>
              <w:jc w:val="center"/>
              <w:rPr>
                <w:rFonts w:ascii="宋体" w:hAnsi="宋体"/>
                <w:sz w:val="18"/>
                <w:szCs w:val="18"/>
                <w:highlight w:val="none"/>
              </w:rPr>
            </w:pPr>
          </w:p>
        </w:tc>
      </w:tr>
      <w:tr w14:paraId="249219E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65D7C49">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14:paraId="365C8EA4">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B738B78">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14:paraId="5DA18C7E">
            <w:pPr>
              <w:spacing w:line="320" w:lineRule="exact"/>
              <w:jc w:val="center"/>
              <w:rPr>
                <w:rFonts w:ascii="宋体" w:hAnsi="宋体"/>
                <w:sz w:val="18"/>
                <w:szCs w:val="18"/>
                <w:highlight w:val="none"/>
              </w:rPr>
            </w:pPr>
          </w:p>
        </w:tc>
      </w:tr>
      <w:tr w14:paraId="68D31E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262921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14:paraId="7AA5AF4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D12692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14:paraId="1B57E6CD">
            <w:pPr>
              <w:spacing w:line="320" w:lineRule="exact"/>
              <w:jc w:val="center"/>
              <w:rPr>
                <w:rFonts w:ascii="宋体" w:hAnsi="宋体"/>
                <w:sz w:val="18"/>
                <w:szCs w:val="18"/>
                <w:highlight w:val="none"/>
              </w:rPr>
            </w:pPr>
          </w:p>
        </w:tc>
      </w:tr>
      <w:tr w14:paraId="624F905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D6DDAEF">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14:paraId="18B26D1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4105D5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14:paraId="7F5639BF">
            <w:pPr>
              <w:spacing w:line="320" w:lineRule="exact"/>
              <w:jc w:val="center"/>
              <w:rPr>
                <w:rFonts w:ascii="宋体" w:hAnsi="宋体"/>
                <w:sz w:val="18"/>
                <w:szCs w:val="18"/>
                <w:highlight w:val="none"/>
              </w:rPr>
            </w:pPr>
          </w:p>
        </w:tc>
      </w:tr>
      <w:tr w14:paraId="2B5F698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05279E8">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14:paraId="304E76A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DAE769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14:paraId="2326F0B9">
            <w:pPr>
              <w:spacing w:line="320" w:lineRule="exact"/>
              <w:jc w:val="center"/>
              <w:rPr>
                <w:rFonts w:ascii="宋体" w:hAnsi="宋体"/>
                <w:sz w:val="18"/>
                <w:szCs w:val="18"/>
                <w:highlight w:val="none"/>
              </w:rPr>
            </w:pPr>
          </w:p>
        </w:tc>
      </w:tr>
      <w:tr w14:paraId="62D3E66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41E0E55">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14:paraId="52FD3B0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6A0C11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14:paraId="3221C45B">
            <w:pPr>
              <w:spacing w:line="320" w:lineRule="exact"/>
              <w:jc w:val="center"/>
              <w:rPr>
                <w:rFonts w:ascii="宋体" w:hAnsi="宋体"/>
                <w:sz w:val="18"/>
                <w:szCs w:val="18"/>
                <w:highlight w:val="none"/>
              </w:rPr>
            </w:pPr>
          </w:p>
        </w:tc>
      </w:tr>
      <w:tr w14:paraId="62EB442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3F29214">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14:paraId="764EFD7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227E784">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14:paraId="51C76299">
            <w:pPr>
              <w:spacing w:line="320" w:lineRule="exact"/>
              <w:jc w:val="center"/>
              <w:rPr>
                <w:rFonts w:ascii="宋体" w:hAnsi="宋体"/>
                <w:sz w:val="18"/>
                <w:szCs w:val="18"/>
                <w:highlight w:val="none"/>
              </w:rPr>
            </w:pPr>
          </w:p>
        </w:tc>
      </w:tr>
      <w:tr w14:paraId="48996CD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CC0F33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14:paraId="59E7F2A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EB38AEA">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14:paraId="68DA2ABC">
            <w:pPr>
              <w:spacing w:line="320" w:lineRule="exact"/>
              <w:jc w:val="center"/>
              <w:rPr>
                <w:rFonts w:ascii="宋体" w:hAnsi="宋体"/>
                <w:sz w:val="18"/>
                <w:szCs w:val="18"/>
                <w:highlight w:val="none"/>
              </w:rPr>
            </w:pPr>
          </w:p>
        </w:tc>
      </w:tr>
      <w:tr w14:paraId="22EC11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7481777">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14:paraId="0C5AE2F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F7DF4F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14:paraId="2BD3A5CB">
            <w:pPr>
              <w:spacing w:line="320" w:lineRule="exact"/>
              <w:jc w:val="center"/>
              <w:rPr>
                <w:rFonts w:ascii="宋体" w:hAnsi="宋体"/>
                <w:sz w:val="18"/>
                <w:szCs w:val="18"/>
                <w:highlight w:val="none"/>
              </w:rPr>
            </w:pPr>
          </w:p>
        </w:tc>
      </w:tr>
      <w:tr w14:paraId="20EABFC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3842E9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14:paraId="7024BCB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1CE17E4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14:paraId="6E72EAA2">
            <w:pPr>
              <w:spacing w:line="320" w:lineRule="exact"/>
              <w:jc w:val="center"/>
              <w:rPr>
                <w:rFonts w:ascii="宋体" w:hAnsi="宋体"/>
                <w:sz w:val="18"/>
                <w:szCs w:val="18"/>
                <w:highlight w:val="none"/>
              </w:rPr>
            </w:pPr>
          </w:p>
        </w:tc>
      </w:tr>
      <w:tr w14:paraId="4C37486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EEF58C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14:paraId="76CD628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FF026B8">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14:paraId="2041B457">
            <w:pPr>
              <w:spacing w:line="320" w:lineRule="exact"/>
              <w:jc w:val="center"/>
              <w:rPr>
                <w:rFonts w:ascii="宋体" w:hAnsi="宋体"/>
                <w:sz w:val="18"/>
                <w:szCs w:val="18"/>
                <w:highlight w:val="none"/>
              </w:rPr>
            </w:pPr>
          </w:p>
        </w:tc>
      </w:tr>
      <w:tr w14:paraId="3A6C159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4B9AD08">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14:paraId="4315CF49">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A4105C2">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14:paraId="37D847AE">
            <w:pPr>
              <w:spacing w:line="320" w:lineRule="exact"/>
              <w:jc w:val="center"/>
              <w:rPr>
                <w:rFonts w:ascii="宋体" w:hAnsi="宋体"/>
                <w:sz w:val="18"/>
                <w:szCs w:val="18"/>
                <w:highlight w:val="none"/>
              </w:rPr>
            </w:pPr>
          </w:p>
        </w:tc>
      </w:tr>
      <w:tr w14:paraId="7FD6E61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1D06C3A">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14:paraId="3054D887">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82D8B01">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14:paraId="720283A5">
            <w:pPr>
              <w:spacing w:line="320" w:lineRule="exact"/>
              <w:jc w:val="center"/>
              <w:rPr>
                <w:rFonts w:ascii="宋体" w:hAnsi="宋体"/>
                <w:sz w:val="18"/>
                <w:szCs w:val="18"/>
                <w:highlight w:val="none"/>
              </w:rPr>
            </w:pPr>
          </w:p>
        </w:tc>
      </w:tr>
      <w:tr w14:paraId="63E2ED9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14:paraId="1D530434">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14:paraId="1A521CE1">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14:paraId="6064BA70">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14:paraId="2222643E">
            <w:pPr>
              <w:spacing w:line="320" w:lineRule="exact"/>
              <w:jc w:val="center"/>
              <w:rPr>
                <w:rFonts w:ascii="宋体" w:hAnsi="宋体"/>
                <w:sz w:val="18"/>
                <w:szCs w:val="18"/>
                <w:highlight w:val="none"/>
              </w:rPr>
            </w:pPr>
          </w:p>
        </w:tc>
      </w:tr>
      <w:tr w14:paraId="4B127B1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14:paraId="47A0990D">
            <w:pPr>
              <w:spacing w:line="320" w:lineRule="exact"/>
              <w:rPr>
                <w:rFonts w:hint="eastAsia" w:ascii="宋体" w:hAnsi="宋体"/>
                <w:sz w:val="18"/>
                <w:szCs w:val="18"/>
                <w:highlight w:val="none"/>
              </w:rPr>
            </w:pPr>
          </w:p>
          <w:p w14:paraId="1359B6D9">
            <w:pPr>
              <w:spacing w:line="320" w:lineRule="exact"/>
              <w:rPr>
                <w:rFonts w:hint="eastAsia" w:ascii="宋体" w:hAnsi="宋体"/>
                <w:sz w:val="18"/>
                <w:szCs w:val="18"/>
                <w:highlight w:val="none"/>
              </w:rPr>
            </w:pPr>
          </w:p>
          <w:p w14:paraId="2EA6AFC5">
            <w:pPr>
              <w:spacing w:line="320" w:lineRule="exact"/>
              <w:rPr>
                <w:rFonts w:hint="eastAsia" w:ascii="宋体" w:hAnsi="宋体"/>
                <w:sz w:val="18"/>
                <w:szCs w:val="18"/>
                <w:highlight w:val="none"/>
              </w:rPr>
            </w:pPr>
          </w:p>
          <w:p w14:paraId="4E13E37F">
            <w:pPr>
              <w:spacing w:line="320" w:lineRule="exact"/>
              <w:rPr>
                <w:rFonts w:hint="eastAsia" w:ascii="宋体" w:hAnsi="宋体"/>
                <w:sz w:val="18"/>
                <w:szCs w:val="18"/>
                <w:highlight w:val="none"/>
              </w:rPr>
            </w:pPr>
          </w:p>
          <w:p w14:paraId="085A87E7">
            <w:pPr>
              <w:pStyle w:val="2"/>
              <w:rPr>
                <w:rFonts w:hint="eastAsia" w:ascii="宋体" w:hAnsi="宋体"/>
                <w:sz w:val="18"/>
                <w:szCs w:val="18"/>
                <w:highlight w:val="none"/>
              </w:rPr>
            </w:pPr>
          </w:p>
          <w:p w14:paraId="2966DE4B">
            <w:pPr>
              <w:pStyle w:val="2"/>
              <w:rPr>
                <w:rFonts w:hint="eastAsia" w:ascii="宋体" w:hAnsi="宋体"/>
                <w:sz w:val="18"/>
                <w:szCs w:val="18"/>
                <w:highlight w:val="none"/>
              </w:rPr>
            </w:pPr>
          </w:p>
          <w:p w14:paraId="65BA062F">
            <w:pPr>
              <w:spacing w:line="320" w:lineRule="exact"/>
              <w:rPr>
                <w:rFonts w:hint="eastAsia" w:ascii="宋体" w:hAnsi="宋体"/>
                <w:sz w:val="18"/>
                <w:szCs w:val="18"/>
                <w:highlight w:val="none"/>
              </w:rPr>
            </w:pPr>
          </w:p>
          <w:p w14:paraId="52BB2FD8">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14:paraId="6932347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000F7169">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14:paraId="6F7DBE43">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14:paraId="4E7C14C3">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75ED3D6C">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75181C8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621BD938">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14:paraId="2CBD327C">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14:paraId="6C62096D">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79E36A62">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487A6F3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B985AA8">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14:paraId="19E33C3B">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14:paraId="595E0225">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14:paraId="44B29124">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14:paraId="483B1BE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7535C87">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14:paraId="7D05BB37">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17996BE">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14:paraId="08C8F67C">
            <w:pPr>
              <w:spacing w:line="320" w:lineRule="exact"/>
              <w:jc w:val="center"/>
              <w:rPr>
                <w:rFonts w:ascii="宋体" w:hAnsi="宋体"/>
                <w:sz w:val="18"/>
                <w:szCs w:val="18"/>
                <w:highlight w:val="none"/>
              </w:rPr>
            </w:pPr>
          </w:p>
        </w:tc>
      </w:tr>
      <w:tr w14:paraId="711A8FC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C384C10">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14:paraId="28EB1750">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BA667A6">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14:paraId="11EEAE63">
            <w:pPr>
              <w:spacing w:line="320" w:lineRule="exact"/>
              <w:jc w:val="center"/>
              <w:rPr>
                <w:rFonts w:ascii="宋体" w:hAnsi="宋体"/>
                <w:sz w:val="18"/>
                <w:szCs w:val="18"/>
                <w:highlight w:val="none"/>
              </w:rPr>
            </w:pPr>
          </w:p>
        </w:tc>
      </w:tr>
      <w:tr w14:paraId="0B8BA27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83CDA34">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14:paraId="0CBFD7B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4DC6A73">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14:paraId="7FF58549">
            <w:pPr>
              <w:spacing w:line="320" w:lineRule="exact"/>
              <w:jc w:val="center"/>
              <w:rPr>
                <w:rFonts w:ascii="宋体" w:hAnsi="宋体"/>
                <w:sz w:val="18"/>
                <w:szCs w:val="18"/>
                <w:highlight w:val="none"/>
              </w:rPr>
            </w:pPr>
          </w:p>
        </w:tc>
      </w:tr>
      <w:tr w14:paraId="7DDC6CA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4912D78">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14:paraId="3FBAB1F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18B7A08C">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14:paraId="5572177F">
            <w:pPr>
              <w:spacing w:line="320" w:lineRule="exact"/>
              <w:jc w:val="center"/>
              <w:rPr>
                <w:rFonts w:ascii="宋体" w:hAnsi="宋体"/>
                <w:sz w:val="18"/>
                <w:szCs w:val="18"/>
                <w:highlight w:val="none"/>
              </w:rPr>
            </w:pPr>
          </w:p>
        </w:tc>
      </w:tr>
      <w:tr w14:paraId="6FEF0B4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7545DAD">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14:paraId="6A9610F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0A401F8">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14:paraId="2AD86052">
            <w:pPr>
              <w:spacing w:line="320" w:lineRule="exact"/>
              <w:jc w:val="center"/>
              <w:rPr>
                <w:rFonts w:ascii="宋体" w:hAnsi="宋体"/>
                <w:sz w:val="18"/>
                <w:szCs w:val="18"/>
                <w:highlight w:val="none"/>
              </w:rPr>
            </w:pPr>
          </w:p>
        </w:tc>
      </w:tr>
      <w:tr w14:paraId="0CA41FF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C08F361">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14:paraId="3F2E940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A0D6778">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14:paraId="6EBC6F61">
            <w:pPr>
              <w:spacing w:line="320" w:lineRule="exact"/>
              <w:jc w:val="center"/>
              <w:rPr>
                <w:rFonts w:ascii="宋体" w:hAnsi="宋体"/>
                <w:sz w:val="18"/>
                <w:szCs w:val="18"/>
                <w:highlight w:val="none"/>
              </w:rPr>
            </w:pPr>
          </w:p>
        </w:tc>
      </w:tr>
      <w:tr w14:paraId="515559B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EFFF426">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14:paraId="09E20FE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25A52B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14:paraId="2C388090">
            <w:pPr>
              <w:spacing w:line="320" w:lineRule="exact"/>
              <w:jc w:val="center"/>
              <w:rPr>
                <w:rFonts w:ascii="宋体" w:hAnsi="宋体" w:eastAsia="宋体" w:cs="Times New Roman"/>
                <w:kern w:val="2"/>
                <w:sz w:val="18"/>
                <w:szCs w:val="18"/>
                <w:highlight w:val="none"/>
                <w:lang w:val="en-US" w:eastAsia="zh-CN" w:bidi="ar-SA"/>
              </w:rPr>
            </w:pPr>
          </w:p>
        </w:tc>
      </w:tr>
      <w:tr w14:paraId="1ADD19D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32656F5">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14:paraId="45737540">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7AF3ADE">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14:paraId="3B1C1191">
            <w:pPr>
              <w:spacing w:line="320" w:lineRule="exact"/>
              <w:jc w:val="center"/>
              <w:rPr>
                <w:rFonts w:ascii="宋体" w:hAnsi="宋体" w:eastAsia="宋体" w:cs="Times New Roman"/>
                <w:kern w:val="2"/>
                <w:sz w:val="18"/>
                <w:szCs w:val="18"/>
                <w:highlight w:val="none"/>
                <w:lang w:val="en-US" w:eastAsia="zh-CN" w:bidi="ar-SA"/>
              </w:rPr>
            </w:pPr>
          </w:p>
        </w:tc>
      </w:tr>
      <w:tr w14:paraId="29C896D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5BE2397">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14:paraId="24EC306B">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7CFFBA8">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14:paraId="0751E73A">
            <w:pPr>
              <w:spacing w:line="320" w:lineRule="exact"/>
              <w:jc w:val="center"/>
              <w:rPr>
                <w:rFonts w:ascii="宋体" w:hAnsi="宋体" w:eastAsia="宋体" w:cs="Times New Roman"/>
                <w:kern w:val="2"/>
                <w:sz w:val="18"/>
                <w:szCs w:val="18"/>
                <w:highlight w:val="none"/>
                <w:lang w:val="en-US" w:eastAsia="zh-CN" w:bidi="ar-SA"/>
              </w:rPr>
            </w:pPr>
          </w:p>
        </w:tc>
      </w:tr>
      <w:tr w14:paraId="47C3A1D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AAC8F94">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14:paraId="3FE8BB92">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1FE7F8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14:paraId="0A223225">
            <w:pPr>
              <w:spacing w:line="320" w:lineRule="exact"/>
              <w:jc w:val="center"/>
              <w:rPr>
                <w:rFonts w:ascii="宋体" w:hAnsi="宋体" w:eastAsia="宋体" w:cs="Times New Roman"/>
                <w:kern w:val="2"/>
                <w:sz w:val="18"/>
                <w:szCs w:val="18"/>
                <w:highlight w:val="none"/>
                <w:lang w:val="en-US" w:eastAsia="zh-CN" w:bidi="ar-SA"/>
              </w:rPr>
            </w:pPr>
          </w:p>
        </w:tc>
      </w:tr>
      <w:tr w14:paraId="1BBD46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8E68DFB">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14:paraId="23371733">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CB57DD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14:paraId="15F44028">
            <w:pPr>
              <w:spacing w:line="320" w:lineRule="exact"/>
              <w:jc w:val="center"/>
              <w:rPr>
                <w:rFonts w:ascii="宋体" w:hAnsi="宋体" w:eastAsia="宋体" w:cs="Times New Roman"/>
                <w:kern w:val="2"/>
                <w:sz w:val="18"/>
                <w:szCs w:val="18"/>
                <w:highlight w:val="none"/>
                <w:lang w:val="en-US" w:eastAsia="zh-CN" w:bidi="ar-SA"/>
              </w:rPr>
            </w:pPr>
          </w:p>
        </w:tc>
      </w:tr>
      <w:tr w14:paraId="6AE5A9C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16CA0E8">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14:paraId="50E0FAB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A3A376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14:paraId="5DF94046">
            <w:pPr>
              <w:spacing w:line="320" w:lineRule="exact"/>
              <w:jc w:val="center"/>
              <w:rPr>
                <w:rFonts w:ascii="宋体" w:hAnsi="宋体" w:eastAsia="宋体" w:cs="Times New Roman"/>
                <w:kern w:val="2"/>
                <w:sz w:val="18"/>
                <w:szCs w:val="18"/>
                <w:highlight w:val="none"/>
                <w:lang w:val="en-US" w:eastAsia="zh-CN" w:bidi="ar-SA"/>
              </w:rPr>
            </w:pPr>
          </w:p>
        </w:tc>
      </w:tr>
      <w:tr w14:paraId="0204CCE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C1826E8">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14:paraId="25F2D175">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B802D87">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14:paraId="6749F485">
            <w:pPr>
              <w:spacing w:line="320" w:lineRule="exact"/>
              <w:jc w:val="center"/>
              <w:rPr>
                <w:rFonts w:ascii="宋体" w:hAnsi="宋体" w:eastAsia="宋体" w:cs="Times New Roman"/>
                <w:kern w:val="2"/>
                <w:sz w:val="18"/>
                <w:szCs w:val="18"/>
                <w:highlight w:val="none"/>
                <w:lang w:val="en-US" w:eastAsia="zh-CN" w:bidi="ar-SA"/>
              </w:rPr>
            </w:pPr>
          </w:p>
        </w:tc>
      </w:tr>
      <w:tr w14:paraId="0C1794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752C5D3">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14:paraId="4F0A0AC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668C0BB">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14:paraId="151FD1BD">
            <w:pPr>
              <w:spacing w:line="320" w:lineRule="exact"/>
              <w:jc w:val="center"/>
              <w:rPr>
                <w:rFonts w:ascii="宋体" w:hAnsi="宋体" w:eastAsia="宋体" w:cs="Times New Roman"/>
                <w:kern w:val="2"/>
                <w:sz w:val="18"/>
                <w:szCs w:val="18"/>
                <w:highlight w:val="none"/>
                <w:lang w:val="en-US" w:eastAsia="zh-CN" w:bidi="ar-SA"/>
              </w:rPr>
            </w:pPr>
          </w:p>
        </w:tc>
      </w:tr>
      <w:tr w14:paraId="334464B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2663054">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14:paraId="509FE9B2">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7BD3C37">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14:paraId="486996E9">
            <w:pPr>
              <w:spacing w:line="320" w:lineRule="exact"/>
              <w:jc w:val="center"/>
              <w:rPr>
                <w:rFonts w:ascii="宋体" w:hAnsi="宋体" w:eastAsia="宋体" w:cs="Times New Roman"/>
                <w:kern w:val="2"/>
                <w:sz w:val="18"/>
                <w:szCs w:val="18"/>
                <w:highlight w:val="none"/>
                <w:lang w:val="en-US" w:eastAsia="zh-CN" w:bidi="ar-SA"/>
              </w:rPr>
            </w:pPr>
          </w:p>
        </w:tc>
      </w:tr>
      <w:tr w14:paraId="676FB39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34229DB">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14:paraId="19F7836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CF6A44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14:paraId="2A5F1806">
            <w:pPr>
              <w:spacing w:line="320" w:lineRule="exact"/>
              <w:jc w:val="center"/>
              <w:rPr>
                <w:rFonts w:ascii="宋体" w:hAnsi="宋体" w:eastAsia="宋体" w:cs="Times New Roman"/>
                <w:kern w:val="2"/>
                <w:sz w:val="18"/>
                <w:szCs w:val="18"/>
                <w:highlight w:val="none"/>
                <w:lang w:val="en-US" w:eastAsia="zh-CN" w:bidi="ar-SA"/>
              </w:rPr>
            </w:pPr>
          </w:p>
        </w:tc>
      </w:tr>
      <w:tr w14:paraId="4639390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7959860">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14:paraId="0B6ADC25">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38B0328">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14:paraId="2960EE70">
            <w:pPr>
              <w:spacing w:line="320" w:lineRule="exact"/>
              <w:jc w:val="center"/>
              <w:rPr>
                <w:rFonts w:ascii="宋体" w:hAnsi="宋体" w:eastAsia="宋体" w:cs="Times New Roman"/>
                <w:kern w:val="2"/>
                <w:sz w:val="18"/>
                <w:szCs w:val="18"/>
                <w:highlight w:val="none"/>
                <w:lang w:val="en-US" w:eastAsia="zh-CN" w:bidi="ar-SA"/>
              </w:rPr>
            </w:pPr>
          </w:p>
        </w:tc>
      </w:tr>
      <w:tr w14:paraId="16D39C1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14:paraId="7923D509">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14:paraId="1C785D6D">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14:paraId="5644F30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14:paraId="5336B010">
            <w:pPr>
              <w:spacing w:line="320" w:lineRule="exact"/>
              <w:jc w:val="center"/>
              <w:rPr>
                <w:rFonts w:ascii="宋体" w:hAnsi="宋体" w:eastAsia="宋体" w:cs="Times New Roman"/>
                <w:kern w:val="2"/>
                <w:sz w:val="18"/>
                <w:szCs w:val="18"/>
                <w:highlight w:val="none"/>
                <w:lang w:val="en-US" w:eastAsia="zh-CN" w:bidi="ar-SA"/>
              </w:rPr>
            </w:pPr>
          </w:p>
        </w:tc>
      </w:tr>
    </w:tbl>
    <w:p w14:paraId="629D2BD6">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025CCD18">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1712849F">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14:paraId="21905B28">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14:paraId="3054AB37">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14:paraId="35071CBB">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14:paraId="4E4636C7">
      <w:pPr>
        <w:spacing w:line="320" w:lineRule="exact"/>
        <w:ind w:firstLine="5580"/>
        <w:rPr>
          <w:rFonts w:hint="eastAsia" w:ascii="宋体" w:hAnsi="宋体"/>
          <w:bCs/>
          <w:sz w:val="18"/>
          <w:szCs w:val="18"/>
          <w:highlight w:val="none"/>
        </w:rPr>
      </w:pPr>
    </w:p>
    <w:p w14:paraId="2683EDD3">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14:paraId="3BCAD3FA">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1B9D9147">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519B2676">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14:paraId="310B3FCF">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14:paraId="5BBDE77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14:paraId="6C1F5729">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14:paraId="75BC6FE9">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14:paraId="7A8424AB">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14:paraId="53805CBA">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14:paraId="3BB42A1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14:paraId="4AFADAE3">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14:paraId="1E5B40CA">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14:paraId="6E5C24BA">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14:paraId="2243848B">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2DD9D6D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14:paraId="4707A006">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14:paraId="50670486">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14:paraId="3CC5271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14:paraId="53ADEF90">
            <w:pPr>
              <w:spacing w:line="360" w:lineRule="exact"/>
              <w:rPr>
                <w:rFonts w:ascii="宋体" w:hAnsi="宋体"/>
                <w:sz w:val="18"/>
                <w:szCs w:val="18"/>
                <w:highlight w:val="none"/>
              </w:rPr>
            </w:pPr>
          </w:p>
        </w:tc>
      </w:tr>
      <w:tr w14:paraId="6FD023B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14:paraId="1FF9337C">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14:paraId="0725D62C">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14:paraId="2F34FF9E">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B98EC36">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14:paraId="5C65FD42">
            <w:pPr>
              <w:spacing w:line="360" w:lineRule="exact"/>
              <w:rPr>
                <w:rFonts w:ascii="宋体" w:hAnsi="宋体"/>
                <w:sz w:val="18"/>
                <w:szCs w:val="18"/>
                <w:highlight w:val="none"/>
              </w:rPr>
            </w:pPr>
          </w:p>
        </w:tc>
      </w:tr>
      <w:tr w14:paraId="35E7FDB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779FD805">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14:paraId="0A2DF33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1A58D28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14:paraId="11C3E085">
            <w:pPr>
              <w:spacing w:line="360" w:lineRule="exact"/>
              <w:rPr>
                <w:rFonts w:ascii="宋体" w:hAnsi="宋体"/>
                <w:sz w:val="18"/>
                <w:szCs w:val="18"/>
                <w:highlight w:val="none"/>
              </w:rPr>
            </w:pPr>
          </w:p>
        </w:tc>
      </w:tr>
      <w:tr w14:paraId="29852C8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0ADBDADD">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14:paraId="7A4CEFE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4BAAE04A">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14:paraId="2C0A36A1">
            <w:pPr>
              <w:spacing w:line="360" w:lineRule="exact"/>
              <w:rPr>
                <w:rFonts w:ascii="宋体" w:hAnsi="宋体"/>
                <w:sz w:val="18"/>
                <w:szCs w:val="18"/>
                <w:highlight w:val="none"/>
              </w:rPr>
            </w:pPr>
          </w:p>
        </w:tc>
      </w:tr>
      <w:tr w14:paraId="309FB14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0098D3C4">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14:paraId="3C0730A5">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2860172">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14:paraId="1A64E90D">
            <w:pPr>
              <w:spacing w:line="360" w:lineRule="exact"/>
              <w:rPr>
                <w:rFonts w:ascii="宋体" w:hAnsi="宋体"/>
                <w:sz w:val="18"/>
                <w:szCs w:val="18"/>
                <w:highlight w:val="none"/>
              </w:rPr>
            </w:pPr>
          </w:p>
        </w:tc>
      </w:tr>
      <w:tr w14:paraId="1322278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7C6FAEEE">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14:paraId="1ABFB7B5">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BF9108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14:paraId="5AC628C1">
            <w:pPr>
              <w:spacing w:line="360" w:lineRule="exact"/>
              <w:rPr>
                <w:rFonts w:ascii="宋体" w:hAnsi="宋体"/>
                <w:sz w:val="18"/>
                <w:szCs w:val="18"/>
                <w:highlight w:val="none"/>
              </w:rPr>
            </w:pPr>
          </w:p>
        </w:tc>
      </w:tr>
      <w:tr w14:paraId="24277AB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0854BFAD">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14:paraId="7FA17F4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79089B5">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14:paraId="410C3A5A">
            <w:pPr>
              <w:spacing w:line="360" w:lineRule="exact"/>
              <w:rPr>
                <w:rFonts w:ascii="宋体" w:hAnsi="宋体"/>
                <w:sz w:val="18"/>
                <w:szCs w:val="18"/>
                <w:highlight w:val="none"/>
              </w:rPr>
            </w:pPr>
          </w:p>
        </w:tc>
      </w:tr>
      <w:tr w14:paraId="1BE426B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D15EBC1">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14:paraId="4A790C62">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39C81D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14:paraId="29308164">
            <w:pPr>
              <w:spacing w:line="360" w:lineRule="exact"/>
              <w:rPr>
                <w:rFonts w:ascii="宋体" w:hAnsi="宋体"/>
                <w:sz w:val="18"/>
                <w:szCs w:val="18"/>
                <w:highlight w:val="none"/>
              </w:rPr>
            </w:pPr>
          </w:p>
        </w:tc>
      </w:tr>
      <w:tr w14:paraId="1BC1357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4E59F060">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14:paraId="10B81712">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C12854A">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14:paraId="4600EBC5">
            <w:pPr>
              <w:spacing w:line="360" w:lineRule="exact"/>
              <w:rPr>
                <w:rFonts w:ascii="宋体" w:hAnsi="宋体"/>
                <w:sz w:val="18"/>
                <w:szCs w:val="18"/>
                <w:highlight w:val="none"/>
              </w:rPr>
            </w:pPr>
          </w:p>
        </w:tc>
      </w:tr>
      <w:tr w14:paraId="77AA86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225D68B">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14:paraId="2709213B">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925DFBD">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14:paraId="455537D5">
            <w:pPr>
              <w:spacing w:line="360" w:lineRule="exact"/>
              <w:rPr>
                <w:rFonts w:ascii="宋体" w:hAnsi="宋体"/>
                <w:sz w:val="18"/>
                <w:szCs w:val="18"/>
                <w:highlight w:val="none"/>
              </w:rPr>
            </w:pPr>
          </w:p>
        </w:tc>
      </w:tr>
      <w:tr w14:paraId="0EE2C56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84A4C19">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14:paraId="369C555F">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E8E0845">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14:paraId="32209BB1">
            <w:pPr>
              <w:spacing w:line="240" w:lineRule="auto"/>
              <w:rPr>
                <w:rFonts w:ascii="宋体" w:hAnsi="宋体"/>
                <w:sz w:val="18"/>
                <w:szCs w:val="18"/>
                <w:highlight w:val="none"/>
              </w:rPr>
            </w:pPr>
          </w:p>
        </w:tc>
      </w:tr>
      <w:tr w14:paraId="025F273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3C659AD">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14:paraId="68151A54">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D4F7416">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14:paraId="27C376C7">
            <w:pPr>
              <w:spacing w:line="240" w:lineRule="auto"/>
              <w:rPr>
                <w:rFonts w:ascii="宋体" w:hAnsi="宋体"/>
                <w:sz w:val="18"/>
                <w:szCs w:val="18"/>
                <w:highlight w:val="none"/>
              </w:rPr>
            </w:pPr>
          </w:p>
        </w:tc>
      </w:tr>
      <w:tr w14:paraId="0F0F865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6EA190D2">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14:paraId="2B89D399">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4B67240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14:paraId="144C4595">
            <w:pPr>
              <w:spacing w:line="240" w:lineRule="auto"/>
              <w:rPr>
                <w:rFonts w:ascii="宋体" w:hAnsi="宋体"/>
                <w:sz w:val="18"/>
                <w:szCs w:val="18"/>
                <w:highlight w:val="none"/>
              </w:rPr>
            </w:pPr>
          </w:p>
        </w:tc>
      </w:tr>
      <w:tr w14:paraId="64D9B48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3B8C6701">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14:paraId="549936B1">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4DB1C189">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14:paraId="6D5D9E6B">
            <w:pPr>
              <w:spacing w:line="240" w:lineRule="auto"/>
              <w:rPr>
                <w:rFonts w:ascii="宋体" w:hAnsi="宋体"/>
                <w:sz w:val="18"/>
                <w:szCs w:val="18"/>
                <w:highlight w:val="none"/>
              </w:rPr>
            </w:pPr>
          </w:p>
        </w:tc>
      </w:tr>
      <w:tr w14:paraId="5A5E230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0393B0CF">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14:paraId="56A88BFD">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2CBA9A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14:paraId="2519B272">
            <w:pPr>
              <w:spacing w:line="240" w:lineRule="auto"/>
              <w:rPr>
                <w:rFonts w:ascii="宋体" w:hAnsi="宋体"/>
                <w:sz w:val="18"/>
                <w:szCs w:val="18"/>
                <w:highlight w:val="none"/>
              </w:rPr>
            </w:pPr>
          </w:p>
        </w:tc>
      </w:tr>
      <w:tr w14:paraId="1B00D77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1A0BC81D">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14:paraId="315E9758">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A85B13C">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14:paraId="455B95C2">
            <w:pPr>
              <w:spacing w:line="240" w:lineRule="auto"/>
              <w:rPr>
                <w:rFonts w:ascii="宋体" w:hAnsi="宋体"/>
                <w:sz w:val="18"/>
                <w:szCs w:val="18"/>
                <w:highlight w:val="none"/>
              </w:rPr>
            </w:pPr>
          </w:p>
        </w:tc>
      </w:tr>
      <w:tr w14:paraId="499E276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30FFF10E">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14:paraId="38A685EE">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ECD04E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14:paraId="1CDB579F">
            <w:pPr>
              <w:spacing w:line="240" w:lineRule="auto"/>
              <w:rPr>
                <w:rFonts w:ascii="宋体" w:hAnsi="宋体"/>
                <w:sz w:val="18"/>
                <w:szCs w:val="18"/>
                <w:highlight w:val="none"/>
              </w:rPr>
            </w:pPr>
          </w:p>
        </w:tc>
      </w:tr>
      <w:tr w14:paraId="67E1575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11EE4EDF">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14:paraId="01967EF2">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2B2E8C4">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14:paraId="0B0721DE">
            <w:pPr>
              <w:spacing w:line="240" w:lineRule="auto"/>
              <w:rPr>
                <w:rFonts w:ascii="宋体" w:hAnsi="宋体"/>
                <w:sz w:val="18"/>
                <w:szCs w:val="18"/>
                <w:highlight w:val="none"/>
              </w:rPr>
            </w:pPr>
          </w:p>
        </w:tc>
      </w:tr>
      <w:tr w14:paraId="2AE1A01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69381FDE">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14:paraId="08CE9985">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6D0BF89">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14:paraId="39BFF0B4">
            <w:pPr>
              <w:spacing w:line="240" w:lineRule="auto"/>
              <w:rPr>
                <w:rFonts w:ascii="宋体" w:hAnsi="宋体"/>
                <w:sz w:val="18"/>
                <w:szCs w:val="18"/>
                <w:highlight w:val="none"/>
              </w:rPr>
            </w:pPr>
          </w:p>
        </w:tc>
      </w:tr>
      <w:tr w14:paraId="1E3CB99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4F2D2518">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14:paraId="5064620A">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E49E519">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14:paraId="45D8ACB0">
            <w:pPr>
              <w:spacing w:line="240" w:lineRule="auto"/>
              <w:rPr>
                <w:rFonts w:ascii="宋体" w:hAnsi="宋体"/>
                <w:sz w:val="18"/>
                <w:szCs w:val="18"/>
                <w:highlight w:val="none"/>
              </w:rPr>
            </w:pPr>
          </w:p>
        </w:tc>
      </w:tr>
      <w:tr w14:paraId="24BB05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974240F">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14:paraId="0AD283E6">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92CB7F1">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14:paraId="49422E27">
            <w:pPr>
              <w:spacing w:line="240" w:lineRule="auto"/>
              <w:rPr>
                <w:rFonts w:ascii="宋体" w:hAnsi="宋体"/>
                <w:sz w:val="18"/>
                <w:szCs w:val="18"/>
                <w:highlight w:val="none"/>
              </w:rPr>
            </w:pPr>
          </w:p>
        </w:tc>
      </w:tr>
      <w:tr w14:paraId="385158C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14:paraId="6AFEDF0A">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14:paraId="700EBAD7">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2F9E561D">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14:paraId="2D4FFA9D">
            <w:pPr>
              <w:spacing w:line="240" w:lineRule="auto"/>
              <w:rPr>
                <w:rFonts w:ascii="宋体" w:hAnsi="宋体"/>
                <w:sz w:val="18"/>
                <w:szCs w:val="18"/>
                <w:highlight w:val="none"/>
              </w:rPr>
            </w:pPr>
          </w:p>
        </w:tc>
      </w:tr>
      <w:tr w14:paraId="33BA531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14:paraId="03CDA08D">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14:paraId="088F0C63">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5205F6FA">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14:paraId="4736BA9D">
            <w:pPr>
              <w:spacing w:line="240" w:lineRule="auto"/>
              <w:rPr>
                <w:rFonts w:ascii="宋体" w:hAnsi="宋体"/>
                <w:sz w:val="18"/>
                <w:szCs w:val="18"/>
                <w:highlight w:val="none"/>
              </w:rPr>
            </w:pPr>
          </w:p>
        </w:tc>
      </w:tr>
      <w:tr w14:paraId="001E9C6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6A01B4D">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14:paraId="01306CE2">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76B4B2BE">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14:paraId="30165078">
            <w:pPr>
              <w:spacing w:line="240" w:lineRule="auto"/>
              <w:rPr>
                <w:rFonts w:ascii="宋体" w:hAnsi="宋体"/>
                <w:sz w:val="18"/>
                <w:szCs w:val="18"/>
                <w:highlight w:val="none"/>
              </w:rPr>
            </w:pPr>
          </w:p>
        </w:tc>
      </w:tr>
      <w:tr w14:paraId="318EFDE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14:paraId="31F32E61">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14:paraId="5EDB0A5B">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14:paraId="628FF86D">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14:paraId="3C27E820">
            <w:pPr>
              <w:spacing w:line="240" w:lineRule="auto"/>
              <w:rPr>
                <w:rFonts w:ascii="宋体" w:hAnsi="宋体"/>
                <w:sz w:val="18"/>
                <w:szCs w:val="18"/>
                <w:highlight w:val="none"/>
              </w:rPr>
            </w:pPr>
          </w:p>
        </w:tc>
      </w:tr>
    </w:tbl>
    <w:p w14:paraId="62A37B9D">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03A85598">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14:paraId="4B5AFB4E">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14:paraId="5167D540">
      <w:pPr>
        <w:pStyle w:val="3"/>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14:paraId="5DEF1D27">
      <w:pPr>
        <w:pStyle w:val="4"/>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14:paraId="665FF79A">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14:paraId="5CDF9C71">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14:paraId="50463FA1">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14:paraId="358B9D0B">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14:paraId="51FD0B1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14:paraId="0A93400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14:paraId="3374E13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14:paraId="653863FB">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14:paraId="2F2A2A2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14:paraId="00E2149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14:paraId="25A346D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14:paraId="785C4152">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14:paraId="1A4AA4A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14:paraId="397DF20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14:paraId="03A73A7F">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14:paraId="63B4875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14:paraId="5B56342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14:paraId="6D8B82E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14:paraId="171A632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14:paraId="685B258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14:paraId="0274590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14:paraId="7268A7B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14:paraId="11BF4D68">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14:paraId="538067C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14:paraId="7D19D99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14:paraId="5D778FC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14:paraId="401190D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14:paraId="51C52E0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14:paraId="5B4F270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14:paraId="3F748BB0">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14:paraId="2785C8D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14:paraId="5906AC73">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14:paraId="5A44BC8E">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14:paraId="27DB3D6B">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14:paraId="0867DE8A">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14:paraId="227D507C">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14:paraId="05AF67E2">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14:paraId="21E881F5">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14:paraId="515990D2">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14:paraId="2AADE296">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14:paraId="2066BDB0">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14:paraId="05030C82">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14:paraId="24DA195F">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14:paraId="02C28C22">
      <w:pPr>
        <w:pStyle w:val="4"/>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14:paraId="31F42B46">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14:paraId="58C0EE78">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14:paraId="40BE01CE">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14:paraId="338E54A3">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14:paraId="52B7338E">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14:paraId="4E26FC96">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14:paraId="3832C578">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14:paraId="1B3817E9">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14:paraId="22A352E3">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14:paraId="2958826F">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14:paraId="2278AE26">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0AB6772F">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0F7F5D8F">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FD5B1D1">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63468DB">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14E2F60A">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274170E9">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3E5EF58A">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12C9D36B">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6C9194F5">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299B5A6E">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2388FDCF">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7495FAC3">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1FBBF8E0">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14:paraId="795A12E3">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568BF795">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14:paraId="68E13216">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14:paraId="7EE36D44">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14:paraId="233F7C8E">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14:paraId="50A6BF2C">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14:paraId="79697989">
      <w:pPr>
        <w:pStyle w:val="4"/>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14:paraId="4041AA2D">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14:paraId="64D57C3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14:paraId="1779E57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14:paraId="5614624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14:paraId="7ACA6F0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14:paraId="5EE0247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14:paraId="568946E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14:paraId="1CD6F2C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14:paraId="3DB7629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14:paraId="625A08AF">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14:paraId="2CEBB97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14:paraId="5ED7264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14:paraId="57EF6850">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14:paraId="3D1E3191">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14:paraId="20E8C8E4">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14:paraId="2E0EC97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14:paraId="7F43501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14:paraId="165146D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14:paraId="54649C8F">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14:paraId="01CBEC5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14:paraId="4700791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14:paraId="679E3C2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14:paraId="611B69F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14:paraId="0C42AA3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14:paraId="107703C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14:paraId="7D47C756">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14:paraId="408C47A9">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14:paraId="4D2DD12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14:paraId="0FAE30E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07F20FDF">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14:paraId="480C89B4">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14:paraId="3EB17A85">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14:paraId="5E4B744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14:paraId="5E60D609">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14:paraId="4BC3152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14:paraId="5695B93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14:paraId="07A426A9">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14:paraId="1E57298A">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14:paraId="3D9B94F2">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14:paraId="3F5FF04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14:paraId="290621F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2FCB2767">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14:paraId="76D1F63C">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14:paraId="0CFF95AE">
      <w:pPr>
        <w:pStyle w:val="4"/>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14:paraId="6054C71A">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14:paraId="4409D7B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14:paraId="2C01728C">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14:paraId="7342E21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14:paraId="5FF899F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14:paraId="1E3DDFB9">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14:paraId="5D809BA4">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14:paraId="3DDFCFF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14:paraId="3FB5FF1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14:paraId="2E198BC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14:paraId="5D16864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14:paraId="667B947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14:paraId="736631C0">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14:paraId="382C8A76">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14:paraId="1264CBD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14:paraId="31DB5D1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14:paraId="384AE7F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14:paraId="58001FD4">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14:paraId="4014E71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14:paraId="3508687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14:paraId="662EBCEC">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14:paraId="0F049D0F">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14:paraId="410479CD">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14:paraId="45AC8EF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14:paraId="7A0CFE0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14:paraId="33639BB1">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14:paraId="3D40B097">
      <w:pPr>
        <w:pStyle w:val="4"/>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14:paraId="4F0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14:paraId="3D0BBB5F">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14:paraId="58347C3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14:paraId="4EBA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14:paraId="3D97C4C7">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14:paraId="5378966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14:paraId="3B31015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14:paraId="1B74EE0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14:paraId="11537EC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14:paraId="0C644EB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14:paraId="08D0FB4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14:paraId="45AF572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14:paraId="0B852C70">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14:paraId="54FB3EA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14:paraId="488C72F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14:paraId="5A000F2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14:paraId="0565FB4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14:paraId="6910F9E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14:paraId="20548DC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14:paraId="1998062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14:paraId="5031185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14:paraId="2DE9FDD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14:paraId="008D46D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14:paraId="0547AA3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14:paraId="73480A2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14:paraId="1EB0297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14:paraId="2AFE962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14:paraId="2CF2AB4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14:paraId="7DF058C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14:paraId="438CE14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14:paraId="1C70E45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14:paraId="1F8E6B7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14:paraId="390CA98B">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14:paraId="619FAF4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14:paraId="79399CE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14:paraId="3E8ED304">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14:paraId="6C96B6BA">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14:paraId="7D53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677699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14:paraId="4493A9D3">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14:paraId="50AF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DC242B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14:paraId="0DED951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14:paraId="6331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B8D39FF">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14:paraId="7C5634B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14:paraId="273A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A84AB2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14:paraId="74363FC2">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14:paraId="2325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454AFE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14:paraId="4F8D0310">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14:paraId="69C7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219EF3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14:paraId="69FCEB70">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14:paraId="678F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C2836B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14:paraId="7C1898F7">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14:paraId="6CFB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6248FAC">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14:paraId="7E9A93CA">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14:paraId="321A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75AEAEB">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14:paraId="280E761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14:paraId="3728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05ECDE8">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14:paraId="5CAFE0E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14:paraId="14FB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664648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14:paraId="47CE16C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14:paraId="10AA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D4B800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14:paraId="7A8B73EA">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14:paraId="0DAD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5B8665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14:paraId="6F60ACA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14:paraId="7FC6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54D7B22">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14:paraId="0DC5D644">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14:paraId="6417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0790FFE">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14:paraId="12214CF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14:paraId="04D6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C951D99">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14:paraId="2D6D4D0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14:paraId="5DEB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732FD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14:paraId="3B0B82D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14:paraId="504F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B06E5FB">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14:paraId="30909F5F">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14:paraId="7059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8F19361">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14:paraId="4607F98A">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14:paraId="1204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FD89FB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14:paraId="34DA7D6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14:paraId="5BAC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0917B7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14:paraId="63246EC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14:paraId="1C65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49F274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14:paraId="0CCBDDB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14:paraId="4A18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B874A56">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14:paraId="2B6807E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14:paraId="5225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1A2217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14:paraId="3A547ED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14:paraId="33BA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7D5DD5E">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14:paraId="1FD2A543">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14:paraId="26D3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15BF782">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14:paraId="56EF6A9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14:paraId="71DB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AFC763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14:paraId="33C0D38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14:paraId="7C2C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6AFFC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14:paraId="1E456DE4">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14:paraId="75AD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3C3D94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14:paraId="0C3A289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14:paraId="4E18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69F383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14:paraId="61CD8578">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14:paraId="3C43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605374A">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14:paraId="5513417F">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14:paraId="79F4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DB4FE6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14:paraId="6A1DBC79">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14:paraId="7B85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14:paraId="3F7F679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14:paraId="63D7423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14:paraId="47ACC4FF">
      <w:pPr>
        <w:jc w:val="center"/>
        <w:outlineLvl w:val="0"/>
        <w:rPr>
          <w:rFonts w:hint="eastAsia" w:ascii="宋体" w:hAnsi="宋体" w:cs="宋体"/>
          <w:b w:val="0"/>
          <w:bCs/>
          <w:kern w:val="0"/>
          <w:sz w:val="28"/>
          <w:szCs w:val="28"/>
          <w:highlight w:val="none"/>
          <w:lang w:bidi="ar"/>
        </w:rPr>
      </w:pPr>
    </w:p>
    <w:p w14:paraId="15D12524">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14:paraId="44D9BDEE">
      <w:pPr>
        <w:numPr>
          <w:ilvl w:val="0"/>
          <w:numId w:val="0"/>
        </w:numPr>
        <w:tabs>
          <w:tab w:val="left" w:pos="0"/>
        </w:tabs>
        <w:ind w:left="0" w:leftChars="0" w:firstLine="420"/>
        <w:rPr>
          <w:rFonts w:hint="eastAsia" w:ascii="宋体" w:hAnsi="宋体" w:cs="Arial Unicode MS"/>
          <w:highlight w:val="none"/>
          <w:lang w:eastAsia="zh-CN"/>
        </w:rPr>
      </w:pPr>
    </w:p>
    <w:p w14:paraId="5CBE6103">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5DC844B3">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14:paraId="7C3C1AFD">
      <w:pPr>
        <w:numPr>
          <w:ilvl w:val="0"/>
          <w:numId w:val="0"/>
        </w:numPr>
        <w:tabs>
          <w:tab w:val="left" w:pos="0"/>
        </w:tabs>
        <w:spacing w:line="360" w:lineRule="auto"/>
        <w:ind w:left="0" w:leftChars="0" w:firstLine="420"/>
        <w:rPr>
          <w:rFonts w:hint="eastAsia" w:ascii="仿宋" w:hAnsi="仿宋" w:eastAsia="仿宋" w:cs="仿宋"/>
          <w:sz w:val="32"/>
          <w:szCs w:val="32"/>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65589F9F">
      <w:pPr>
        <w:pStyle w:val="2"/>
        <w:rPr>
          <w:rFonts w:hint="eastAsia" w:ascii="仿宋" w:hAnsi="仿宋" w:eastAsia="仿宋" w:cs="仿宋"/>
          <w:sz w:val="32"/>
          <w:szCs w:val="32"/>
          <w:lang w:val="en-US" w:eastAsia="zh-CN"/>
        </w:rPr>
      </w:pPr>
    </w:p>
    <w:p w14:paraId="133C40A0">
      <w:pPr>
        <w:jc w:val="both"/>
        <w:rPr>
          <w:rFonts w:hint="eastAsia" w:ascii="黑体" w:hAnsi="黑体" w:eastAsia="黑体" w:cs="黑体"/>
          <w:b w:val="0"/>
          <w:bCs w:val="0"/>
          <w:sz w:val="32"/>
          <w:szCs w:val="32"/>
          <w:lang w:val="en-US" w:eastAsia="zh-CN"/>
        </w:rPr>
        <w:sectPr>
          <w:footerReference r:id="rId8" w:type="default"/>
          <w:pgSz w:w="11906" w:h="16838"/>
          <w:pgMar w:top="1440" w:right="1800" w:bottom="1440" w:left="1800" w:header="851" w:footer="992" w:gutter="0"/>
          <w:cols w:space="425" w:num="1"/>
          <w:docGrid w:type="lines" w:linePitch="312" w:charSpace="0"/>
        </w:sectPr>
      </w:pPr>
    </w:p>
    <w:tbl>
      <w:tblPr>
        <w:tblW w:w="14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8"/>
        <w:gridCol w:w="803"/>
        <w:gridCol w:w="2470"/>
        <w:gridCol w:w="1597"/>
        <w:gridCol w:w="851"/>
        <w:gridCol w:w="934"/>
        <w:gridCol w:w="851"/>
        <w:gridCol w:w="851"/>
        <w:gridCol w:w="851"/>
        <w:gridCol w:w="721"/>
        <w:gridCol w:w="1076"/>
        <w:gridCol w:w="1655"/>
        <w:gridCol w:w="1172"/>
      </w:tblGrid>
      <w:tr w14:paraId="711B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4340" w:type="dxa"/>
            <w:gridSpan w:val="13"/>
            <w:tcBorders>
              <w:top w:val="nil"/>
              <w:left w:val="nil"/>
              <w:bottom w:val="nil"/>
              <w:right w:val="nil"/>
            </w:tcBorders>
            <w:shd w:val="clear"/>
            <w:noWrap/>
            <w:vAlign w:val="bottom"/>
          </w:tcPr>
          <w:p w14:paraId="242A6CC6">
            <w:pPr>
              <w:keepNext w:val="0"/>
              <w:keepLines w:val="0"/>
              <w:widowControl/>
              <w:suppressLineNumbers w:val="0"/>
              <w:jc w:val="left"/>
              <w:textAlignment w:val="bottom"/>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附件4</w:t>
            </w:r>
          </w:p>
        </w:tc>
      </w:tr>
      <w:tr w14:paraId="56CA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gridSpan w:val="13"/>
            <w:tcBorders>
              <w:top w:val="nil"/>
              <w:left w:val="nil"/>
              <w:bottom w:val="nil"/>
              <w:right w:val="nil"/>
            </w:tcBorders>
            <w:shd w:val="clear"/>
            <w:noWrap/>
            <w:vAlign w:val="center"/>
          </w:tcPr>
          <w:p w14:paraId="2F945F9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2024年度工程造价咨询企业咨询成果年报表</w:t>
            </w:r>
          </w:p>
        </w:tc>
      </w:tr>
      <w:tr w14:paraId="63CD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378" w:type="dxa"/>
            <w:gridSpan w:val="4"/>
            <w:tcBorders>
              <w:top w:val="single" w:color="000000" w:sz="4" w:space="0"/>
              <w:left w:val="single" w:color="000000" w:sz="4" w:space="0"/>
              <w:bottom w:val="single" w:color="000000" w:sz="4" w:space="0"/>
              <w:right w:val="nil"/>
            </w:tcBorders>
            <w:shd w:val="clear"/>
            <w:vAlign w:val="center"/>
          </w:tcPr>
          <w:p w14:paraId="009E0D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单位名称(盖章)：</w:t>
            </w:r>
          </w:p>
        </w:tc>
        <w:tc>
          <w:tcPr>
            <w:tcW w:w="0" w:type="auto"/>
            <w:gridSpan w:val="2"/>
            <w:tcBorders>
              <w:top w:val="single" w:color="000000" w:sz="4" w:space="0"/>
              <w:left w:val="single" w:color="000000" w:sz="4" w:space="0"/>
              <w:bottom w:val="single" w:color="000000" w:sz="4" w:space="0"/>
              <w:right w:val="nil"/>
            </w:tcBorders>
            <w:shd w:val="clear"/>
            <w:noWrap/>
            <w:vAlign w:val="center"/>
          </w:tcPr>
          <w:p w14:paraId="037E1C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联系人：</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4261BF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2CCAFAA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单位：万元</w:t>
            </w:r>
          </w:p>
        </w:tc>
      </w:tr>
      <w:tr w14:paraId="0335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7E9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序号</w:t>
            </w:r>
          </w:p>
        </w:tc>
        <w:tc>
          <w:tcPr>
            <w:tcW w:w="8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655F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成果文件</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标号</w:t>
            </w:r>
          </w:p>
        </w:tc>
        <w:tc>
          <w:tcPr>
            <w:tcW w:w="24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5D7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项目名称</w:t>
            </w:r>
          </w:p>
        </w:tc>
        <w:tc>
          <w:tcPr>
            <w:tcW w:w="159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14DCAC">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bdr w:val="none" w:color="auto" w:sz="0" w:space="0"/>
                <w:lang w:val="en-US" w:eastAsia="zh-CN" w:bidi="ar"/>
              </w:rPr>
              <w:t>项目类型</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799CB2">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bdr w:val="none" w:color="auto" w:sz="0" w:space="0"/>
                <w:lang w:val="en-US" w:eastAsia="zh-CN" w:bidi="ar"/>
              </w:rPr>
              <w:t>专业类型</w:t>
            </w:r>
          </w:p>
        </w:tc>
        <w:tc>
          <w:tcPr>
            <w:tcW w:w="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0D5160">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bdr w:val="none" w:color="auto" w:sz="0" w:space="0"/>
                <w:lang w:val="en-US" w:eastAsia="zh-CN" w:bidi="ar"/>
              </w:rPr>
              <w:t>投资类型</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D7D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咨询费用</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3CDBD6">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bdr w:val="none" w:color="auto" w:sz="0" w:space="0"/>
                <w:lang w:val="en-US" w:eastAsia="zh-CN" w:bidi="ar"/>
              </w:rPr>
              <w:t>项目造价</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9D3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起止时间</w:t>
            </w:r>
          </w:p>
        </w:tc>
        <w:tc>
          <w:tcPr>
            <w:tcW w:w="1797" w:type="dxa"/>
            <w:gridSpan w:val="2"/>
            <w:tcBorders>
              <w:top w:val="single" w:color="000000" w:sz="4" w:space="0"/>
              <w:left w:val="single" w:color="000000" w:sz="4" w:space="0"/>
              <w:bottom w:val="single" w:color="000000" w:sz="4" w:space="0"/>
              <w:right w:val="single" w:color="000000" w:sz="4" w:space="0"/>
            </w:tcBorders>
            <w:shd w:val="clear"/>
            <w:vAlign w:val="center"/>
          </w:tcPr>
          <w:p w14:paraId="61FD2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编制及审核人员</w:t>
            </w:r>
          </w:p>
        </w:tc>
        <w:tc>
          <w:tcPr>
            <w:tcW w:w="16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CC2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委托单位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EC9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备注</w:t>
            </w:r>
          </w:p>
        </w:tc>
      </w:tr>
      <w:tr w14:paraId="5A3C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63C9CA">
            <w:pPr>
              <w:jc w:val="center"/>
              <w:rPr>
                <w:rFonts w:hint="eastAsia" w:ascii="仿宋" w:hAnsi="仿宋" w:eastAsia="仿宋" w:cs="仿宋"/>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B3DB46">
            <w:pPr>
              <w:jc w:val="center"/>
              <w:rPr>
                <w:rFonts w:hint="eastAsia" w:ascii="仿宋" w:hAnsi="仿宋" w:eastAsia="仿宋" w:cs="仿宋"/>
                <w:i w:val="0"/>
                <w:iCs w:val="0"/>
                <w:color w:val="000000"/>
                <w:sz w:val="20"/>
                <w:szCs w:val="20"/>
                <w:u w:val="none"/>
              </w:rPr>
            </w:pPr>
          </w:p>
        </w:tc>
        <w:tc>
          <w:tcPr>
            <w:tcW w:w="24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7A17D2">
            <w:pPr>
              <w:jc w:val="center"/>
              <w:rPr>
                <w:rFonts w:hint="eastAsia" w:ascii="仿宋" w:hAnsi="仿宋" w:eastAsia="仿宋" w:cs="仿宋"/>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DBBBD">
            <w:pPr>
              <w:jc w:val="center"/>
              <w:rPr>
                <w:rFonts w:hint="eastAsia" w:ascii="仿宋" w:hAnsi="仿宋" w:eastAsia="仿宋" w:cs="仿宋"/>
                <w:b/>
                <w:bCs/>
                <w:i w:val="0"/>
                <w:iCs w:val="0"/>
                <w:color w:val="FF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031C1A">
            <w:pPr>
              <w:jc w:val="center"/>
              <w:rPr>
                <w:rFonts w:hint="eastAsia" w:ascii="仿宋" w:hAnsi="仿宋" w:eastAsia="仿宋" w:cs="仿宋"/>
                <w:b/>
                <w:bCs/>
                <w:i w:val="0"/>
                <w:iCs w:val="0"/>
                <w:color w:val="FF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513CCA">
            <w:pPr>
              <w:jc w:val="center"/>
              <w:rPr>
                <w:rFonts w:hint="eastAsia" w:ascii="仿宋" w:hAnsi="仿宋" w:eastAsia="仿宋" w:cs="仿宋"/>
                <w:b/>
                <w:bCs/>
                <w:i w:val="0"/>
                <w:iCs w:val="0"/>
                <w:color w:val="FF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869A97">
            <w:pPr>
              <w:jc w:val="center"/>
              <w:rPr>
                <w:rFonts w:hint="eastAsia" w:ascii="仿宋" w:hAnsi="仿宋" w:eastAsia="仿宋" w:cs="仿宋"/>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7C41B">
            <w:pPr>
              <w:jc w:val="center"/>
              <w:rPr>
                <w:rFonts w:hint="eastAsia" w:ascii="仿宋" w:hAnsi="仿宋" w:eastAsia="仿宋" w:cs="仿宋"/>
                <w:b/>
                <w:bCs/>
                <w:i w:val="0"/>
                <w:iCs w:val="0"/>
                <w:color w:val="FF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3307F1">
            <w:pPr>
              <w:jc w:val="center"/>
              <w:rPr>
                <w:rFonts w:hint="eastAsia" w:ascii="仿宋" w:hAnsi="仿宋" w:eastAsia="仿宋" w:cs="仿宋"/>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vAlign w:val="center"/>
          </w:tcPr>
          <w:p w14:paraId="2D14A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姓名</w:t>
            </w:r>
          </w:p>
        </w:tc>
        <w:tc>
          <w:tcPr>
            <w:tcW w:w="1076" w:type="dxa"/>
            <w:tcBorders>
              <w:top w:val="single" w:color="000000" w:sz="4" w:space="0"/>
              <w:left w:val="single" w:color="000000" w:sz="4" w:space="0"/>
              <w:bottom w:val="single" w:color="000000" w:sz="4" w:space="0"/>
              <w:right w:val="single" w:color="000000" w:sz="4" w:space="0"/>
            </w:tcBorders>
            <w:shd w:val="clear"/>
            <w:vAlign w:val="center"/>
          </w:tcPr>
          <w:p w14:paraId="097E27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注册编号</w:t>
            </w:r>
          </w:p>
        </w:tc>
        <w:tc>
          <w:tcPr>
            <w:tcW w:w="16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38FE63">
            <w:pPr>
              <w:jc w:val="center"/>
              <w:rPr>
                <w:rFonts w:hint="eastAsia" w:ascii="仿宋" w:hAnsi="仿宋" w:eastAsia="仿宋" w:cs="仿宋"/>
                <w:i w:val="0"/>
                <w:iCs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E4363F">
            <w:pPr>
              <w:jc w:val="center"/>
              <w:rPr>
                <w:rFonts w:hint="eastAsia" w:ascii="仿宋" w:hAnsi="仿宋" w:eastAsia="仿宋" w:cs="仿宋"/>
                <w:i w:val="0"/>
                <w:iCs w:val="0"/>
                <w:color w:val="000000"/>
                <w:sz w:val="20"/>
                <w:szCs w:val="20"/>
                <w:u w:val="none"/>
              </w:rPr>
            </w:pPr>
          </w:p>
        </w:tc>
      </w:tr>
      <w:tr w14:paraId="1902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14:paraId="545C1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0A55447B">
            <w:pPr>
              <w:jc w:val="left"/>
              <w:rPr>
                <w:rFonts w:hint="eastAsia" w:ascii="仿宋" w:hAnsi="仿宋" w:eastAsia="仿宋" w:cs="仿宋"/>
                <w:i w:val="0"/>
                <w:iCs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vAlign w:val="center"/>
          </w:tcPr>
          <w:p w14:paraId="62141E69">
            <w:pPr>
              <w:jc w:val="left"/>
              <w:rPr>
                <w:rFonts w:hint="eastAsia" w:ascii="仿宋" w:hAnsi="仿宋" w:eastAsia="仿宋" w:cs="仿宋"/>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vAlign w:val="center"/>
          </w:tcPr>
          <w:p w14:paraId="48FB7080">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32F857E8">
            <w:pPr>
              <w:jc w:val="left"/>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74E2A9EA">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7704CA61">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1846E32D">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0E345D37">
            <w:pPr>
              <w:jc w:val="left"/>
              <w:rPr>
                <w:rFonts w:hint="eastAsia" w:ascii="仿宋" w:hAnsi="仿宋" w:eastAsia="仿宋" w:cs="仿宋"/>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vAlign w:val="center"/>
          </w:tcPr>
          <w:p w14:paraId="311BF5E7">
            <w:pPr>
              <w:jc w:val="left"/>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vAlign w:val="center"/>
          </w:tcPr>
          <w:p w14:paraId="1A1E760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6D8E5E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CD76F62">
            <w:pPr>
              <w:jc w:val="left"/>
              <w:rPr>
                <w:rFonts w:hint="eastAsia" w:ascii="仿宋" w:hAnsi="仿宋" w:eastAsia="仿宋" w:cs="仿宋"/>
                <w:i w:val="0"/>
                <w:iCs w:val="0"/>
                <w:color w:val="000000"/>
                <w:sz w:val="20"/>
                <w:szCs w:val="20"/>
                <w:u w:val="none"/>
              </w:rPr>
            </w:pPr>
          </w:p>
        </w:tc>
      </w:tr>
      <w:tr w14:paraId="7A19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14:paraId="2AC2F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10D0C92D">
            <w:pPr>
              <w:jc w:val="left"/>
              <w:rPr>
                <w:rFonts w:hint="eastAsia" w:ascii="仿宋" w:hAnsi="仿宋" w:eastAsia="仿宋" w:cs="仿宋"/>
                <w:i w:val="0"/>
                <w:iCs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vAlign w:val="center"/>
          </w:tcPr>
          <w:p w14:paraId="69D7F0A1">
            <w:pPr>
              <w:jc w:val="left"/>
              <w:rPr>
                <w:rFonts w:hint="eastAsia" w:ascii="仿宋" w:hAnsi="仿宋" w:eastAsia="仿宋" w:cs="仿宋"/>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vAlign w:val="center"/>
          </w:tcPr>
          <w:p w14:paraId="7BF8D2EB">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55BF1552">
            <w:pPr>
              <w:jc w:val="left"/>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77AA8A1C">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6610C103">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66C32C51">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14:paraId="7D617F55">
            <w:pPr>
              <w:jc w:val="left"/>
              <w:rPr>
                <w:rFonts w:hint="eastAsia" w:ascii="仿宋" w:hAnsi="仿宋" w:eastAsia="仿宋" w:cs="仿宋"/>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vAlign w:val="center"/>
          </w:tcPr>
          <w:p w14:paraId="44B1573C">
            <w:pPr>
              <w:jc w:val="left"/>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vAlign w:val="center"/>
          </w:tcPr>
          <w:p w14:paraId="21436D0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CC61EC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ED62100">
            <w:pPr>
              <w:jc w:val="left"/>
              <w:rPr>
                <w:rFonts w:hint="eastAsia" w:ascii="仿宋" w:hAnsi="仿宋" w:eastAsia="仿宋" w:cs="仿宋"/>
                <w:i w:val="0"/>
                <w:iCs w:val="0"/>
                <w:color w:val="000000"/>
                <w:sz w:val="20"/>
                <w:szCs w:val="20"/>
                <w:u w:val="none"/>
              </w:rPr>
            </w:pPr>
          </w:p>
        </w:tc>
      </w:tr>
      <w:tr w14:paraId="5687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14:paraId="7573A8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0E94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1DF96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4F96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BAEF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183F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A049C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1DC23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24EB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7F54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1919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16EE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D61C66">
            <w:pPr>
              <w:jc w:val="left"/>
              <w:rPr>
                <w:rFonts w:hint="eastAsia" w:ascii="仿宋" w:hAnsi="仿宋" w:eastAsia="仿宋" w:cs="仿宋"/>
                <w:i w:val="0"/>
                <w:iCs w:val="0"/>
                <w:color w:val="000000"/>
                <w:sz w:val="20"/>
                <w:szCs w:val="20"/>
                <w:u w:val="none"/>
              </w:rPr>
            </w:pPr>
          </w:p>
        </w:tc>
      </w:tr>
      <w:tr w14:paraId="64FD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14:paraId="06AA7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164F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EF1D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D0D8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4AA1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46B77">
            <w:pPr>
              <w:jc w:val="left"/>
              <w:rPr>
                <w:rFonts w:hint="eastAsia" w:ascii="仿宋" w:hAnsi="仿宋" w:eastAsia="仿宋" w:cs="仿宋"/>
                <w:i w:val="0"/>
                <w:iCs w:val="0"/>
                <w:color w:val="000000"/>
                <w:sz w:val="20"/>
                <w:szCs w:val="20"/>
                <w:u w:val="none"/>
              </w:rPr>
            </w:pP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94E0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361FF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E4B9A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21FF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0A55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4FA23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2E58543">
            <w:pPr>
              <w:jc w:val="left"/>
              <w:rPr>
                <w:rFonts w:hint="eastAsia" w:ascii="仿宋" w:hAnsi="仿宋" w:eastAsia="仿宋" w:cs="仿宋"/>
                <w:i w:val="0"/>
                <w:iCs w:val="0"/>
                <w:color w:val="000000"/>
                <w:sz w:val="20"/>
                <w:szCs w:val="20"/>
                <w:u w:val="none"/>
              </w:rPr>
            </w:pPr>
          </w:p>
        </w:tc>
      </w:tr>
      <w:tr w14:paraId="4720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14:paraId="54E6D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7CA9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B69F7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86E6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6429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285E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7C0A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5515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1A3E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3398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D995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3EC66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6971E9">
            <w:pPr>
              <w:jc w:val="left"/>
              <w:rPr>
                <w:rFonts w:hint="eastAsia" w:ascii="仿宋" w:hAnsi="仿宋" w:eastAsia="仿宋" w:cs="仿宋"/>
                <w:i w:val="0"/>
                <w:iCs w:val="0"/>
                <w:color w:val="000000"/>
                <w:sz w:val="20"/>
                <w:szCs w:val="20"/>
                <w:u w:val="none"/>
              </w:rPr>
            </w:pPr>
          </w:p>
        </w:tc>
      </w:tr>
      <w:tr w14:paraId="74C7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14:paraId="5CC61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F243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A95A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9FBD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7900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D9F5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D5B7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A5C9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94E48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2DDB5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6A0FB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1D5E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617FE01">
            <w:pPr>
              <w:jc w:val="left"/>
              <w:rPr>
                <w:rFonts w:hint="eastAsia" w:ascii="仿宋" w:hAnsi="仿宋" w:eastAsia="仿宋" w:cs="仿宋"/>
                <w:i w:val="0"/>
                <w:iCs w:val="0"/>
                <w:color w:val="000000"/>
                <w:sz w:val="20"/>
                <w:szCs w:val="20"/>
                <w:u w:val="none"/>
              </w:rPr>
            </w:pPr>
          </w:p>
        </w:tc>
      </w:tr>
      <w:tr w14:paraId="3312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4340" w:type="dxa"/>
            <w:gridSpan w:val="13"/>
            <w:tcBorders>
              <w:top w:val="nil"/>
              <w:left w:val="nil"/>
              <w:bottom w:val="nil"/>
              <w:right w:val="nil"/>
            </w:tcBorders>
            <w:shd w:val="clear"/>
            <w:vAlign w:val="center"/>
          </w:tcPr>
          <w:p w14:paraId="2384110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Style w:val="11"/>
                <w:bdr w:val="none" w:color="auto" w:sz="0" w:space="0"/>
                <w:lang w:val="en-US" w:eastAsia="zh-CN" w:bidi="ar"/>
              </w:rPr>
              <w:t>填表说明：</w:t>
            </w:r>
          </w:p>
        </w:tc>
      </w:tr>
      <w:tr w14:paraId="06EB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vAlign w:val="center"/>
          </w:tcPr>
          <w:p w14:paraId="2221EA0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1.填报范围即在2024年度出具完成的全部成果文件；</w:t>
            </w:r>
          </w:p>
        </w:tc>
      </w:tr>
      <w:tr w14:paraId="64D9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vAlign w:val="center"/>
          </w:tcPr>
          <w:p w14:paraId="0E15C47B">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2.序号须连续填写，一个年度一个总序号；</w:t>
            </w:r>
          </w:p>
        </w:tc>
      </w:tr>
      <w:tr w14:paraId="7049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340" w:type="dxa"/>
            <w:gridSpan w:val="13"/>
            <w:tcBorders>
              <w:top w:val="nil"/>
              <w:left w:val="nil"/>
              <w:bottom w:val="nil"/>
              <w:right w:val="nil"/>
            </w:tcBorders>
            <w:shd w:val="clear"/>
            <w:vAlign w:val="center"/>
          </w:tcPr>
          <w:p w14:paraId="20536AFD">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Style w:val="12"/>
                <w:bdr w:val="none" w:color="auto" w:sz="0" w:space="0"/>
                <w:lang w:val="en-US" w:eastAsia="zh-CN" w:bidi="ar"/>
              </w:rPr>
              <w:t>3.</w:t>
            </w:r>
            <w:r>
              <w:rPr>
                <w:rStyle w:val="11"/>
                <w:bdr w:val="none" w:color="auto" w:sz="0" w:space="0"/>
                <w:lang w:val="en-US" w:eastAsia="zh-CN" w:bidi="ar"/>
              </w:rPr>
              <w:t>项目类型分为：(一)概算编审；（二）施工总承包招标控制价（工程量清单）编审；（三）施工图预算编审；（四）工程总承包招标控制价（项目清单编审）；（五）结算编审；（六）全过程造价咨询；（请下拉菜单选择填写）</w:t>
            </w:r>
          </w:p>
        </w:tc>
      </w:tr>
      <w:tr w14:paraId="7E0D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vAlign w:val="center"/>
          </w:tcPr>
          <w:p w14:paraId="795D20B3">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Style w:val="12"/>
                <w:bdr w:val="none" w:color="auto" w:sz="0" w:space="0"/>
                <w:lang w:val="en-US" w:eastAsia="zh-CN" w:bidi="ar"/>
              </w:rPr>
              <w:t>4.</w:t>
            </w:r>
            <w:r>
              <w:rPr>
                <w:rStyle w:val="11"/>
                <w:bdr w:val="none" w:color="auto" w:sz="0" w:space="0"/>
                <w:lang w:val="en-US" w:eastAsia="zh-CN" w:bidi="ar"/>
              </w:rPr>
              <w:t>专业类型分为：</w:t>
            </w:r>
            <w:r>
              <w:rPr>
                <w:rStyle w:val="12"/>
                <w:bdr w:val="none" w:color="auto" w:sz="0" w:space="0"/>
                <w:lang w:val="en-US" w:eastAsia="zh-CN" w:bidi="ar"/>
              </w:rPr>
              <w:t>建筑、安装、市政、园林、其他；（请下拉菜单选择填写）</w:t>
            </w:r>
          </w:p>
        </w:tc>
      </w:tr>
      <w:tr w14:paraId="7B49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3"/>
            <w:tcBorders>
              <w:top w:val="nil"/>
              <w:left w:val="nil"/>
              <w:bottom w:val="nil"/>
              <w:right w:val="nil"/>
            </w:tcBorders>
            <w:shd w:val="clear"/>
            <w:noWrap/>
            <w:vAlign w:val="center"/>
          </w:tcPr>
          <w:p w14:paraId="7518C52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Style w:val="11"/>
                <w:bdr w:val="none" w:color="auto" w:sz="0" w:space="0"/>
                <w:lang w:val="en-US" w:eastAsia="zh-CN" w:bidi="ar"/>
              </w:rPr>
              <w:t>5.</w:t>
            </w:r>
            <w:r>
              <w:rPr>
                <w:rStyle w:val="13"/>
                <w:rFonts w:eastAsia="仿宋"/>
                <w:bdr w:val="none" w:color="auto" w:sz="0" w:space="0"/>
                <w:lang w:val="en-US" w:eastAsia="zh-CN" w:bidi="ar"/>
              </w:rPr>
              <w:t xml:space="preserve"> </w:t>
            </w:r>
            <w:r>
              <w:rPr>
                <w:rStyle w:val="11"/>
                <w:bdr w:val="none" w:color="auto" w:sz="0" w:space="0"/>
                <w:lang w:val="en-US" w:eastAsia="zh-CN" w:bidi="ar"/>
              </w:rPr>
              <w:t>投资类型：国有投资或非国有投资；（请下拉菜单选择填写）</w:t>
            </w:r>
          </w:p>
        </w:tc>
      </w:tr>
      <w:tr w14:paraId="7AA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3"/>
            <w:tcBorders>
              <w:top w:val="nil"/>
              <w:left w:val="nil"/>
              <w:bottom w:val="nil"/>
              <w:right w:val="nil"/>
            </w:tcBorders>
            <w:shd w:val="clear"/>
            <w:noWrap/>
            <w:vAlign w:val="center"/>
          </w:tcPr>
          <w:p w14:paraId="141FF4F5">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bdr w:val="none" w:color="auto" w:sz="0" w:space="0"/>
                <w:lang w:val="en-US" w:eastAsia="zh-CN" w:bidi="ar"/>
              </w:rPr>
              <w:t>6.起止时间填写从项目承接开始到出具报告止；</w:t>
            </w:r>
          </w:p>
        </w:tc>
      </w:tr>
      <w:tr w14:paraId="01C8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vAlign w:val="center"/>
          </w:tcPr>
          <w:p w14:paraId="7B7E19D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7.编制及审核人员按实际情况填写，可填写多人。</w:t>
            </w:r>
          </w:p>
        </w:tc>
      </w:tr>
    </w:tbl>
    <w:p w14:paraId="4D537B55">
      <w:pPr>
        <w:rPr>
          <w:rFonts w:hint="eastAsia" w:ascii="黑体" w:hAnsi="黑体" w:eastAsia="黑体" w:cs="黑体"/>
          <w:sz w:val="32"/>
          <w:szCs w:val="32"/>
          <w:lang w:val="en-US" w:eastAsia="zh-CN"/>
        </w:rPr>
        <w:sectPr>
          <w:footerReference r:id="rId9" w:type="default"/>
          <w:pgSz w:w="16838" w:h="11906" w:orient="landscape"/>
          <w:pgMar w:top="1800" w:right="1440" w:bottom="1800" w:left="1440" w:header="851" w:footer="992" w:gutter="0"/>
          <w:cols w:space="425" w:num="1"/>
          <w:docGrid w:type="lines" w:linePitch="312" w:charSpace="0"/>
        </w:sectPr>
      </w:pPr>
    </w:p>
    <w:p w14:paraId="261AA3DC">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D722">
    <w:pPr>
      <w:pStyle w:val="5"/>
      <w:rPr>
        <w:rStyle w:val="9"/>
        <w:rFonts w:hint="eastAsia" w:eastAsia="宋体"/>
        <w:lang w:val="en-US" w:eastAsia="zh-CN"/>
      </w:rPr>
    </w:pPr>
  </w:p>
  <w:p w14:paraId="6ED7C3CF">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ACA8">
    <w:pPr>
      <w:pStyle w:val="5"/>
      <w:rPr>
        <w:rStyle w:val="9"/>
        <w:rFonts w:hint="eastAsia" w:eastAsia="宋体"/>
        <w:lang w:val="en-US" w:eastAsia="zh-CN"/>
      </w:rPr>
    </w:pPr>
  </w:p>
  <w:p w14:paraId="6C211BE1">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E659">
    <w:pPr>
      <w:pStyle w:val="5"/>
      <w:rPr>
        <w:rStyle w:val="9"/>
        <w:rFonts w:hint="eastAsia" w:eastAsia="宋体"/>
        <w:lang w:val="en-US" w:eastAsia="zh-CN"/>
      </w:rPr>
    </w:pPr>
  </w:p>
  <w:p w14:paraId="24E8E77E">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D808">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644C1">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5F9644C1">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8EDC">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14:paraId="1D1CA0DF">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4026">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B7E0A">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075B7E0A">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97FA">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5194C"/>
    <w:rsid w:val="107E4C11"/>
    <w:rsid w:val="1AE50CB7"/>
    <w:rsid w:val="2B6E42FF"/>
    <w:rsid w:val="2CB306FF"/>
    <w:rsid w:val="3275194C"/>
    <w:rsid w:val="3F636232"/>
    <w:rsid w:val="51441C42"/>
    <w:rsid w:val="58F074BF"/>
    <w:rsid w:val="5C9953BE"/>
    <w:rsid w:val="63B91ADF"/>
    <w:rsid w:val="6D535020"/>
    <w:rsid w:val="78BF5606"/>
    <w:rsid w:val="7CF9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font01"/>
    <w:basedOn w:val="8"/>
    <w:qFormat/>
    <w:uiPriority w:val="0"/>
    <w:rPr>
      <w:rFonts w:hint="eastAsia" w:ascii="宋体" w:hAnsi="宋体" w:eastAsia="宋体" w:cs="宋体"/>
      <w:color w:val="000000"/>
      <w:sz w:val="24"/>
      <w:szCs w:val="24"/>
      <w:u w:val="none"/>
    </w:rPr>
  </w:style>
  <w:style w:type="character" w:customStyle="1" w:styleId="11">
    <w:name w:val="font51"/>
    <w:basedOn w:val="8"/>
    <w:uiPriority w:val="0"/>
    <w:rPr>
      <w:rFonts w:hint="eastAsia" w:ascii="仿宋" w:hAnsi="仿宋" w:eastAsia="仿宋" w:cs="仿宋"/>
      <w:b/>
      <w:bCs/>
      <w:color w:val="000000"/>
      <w:sz w:val="20"/>
      <w:szCs w:val="20"/>
      <w:u w:val="none"/>
    </w:rPr>
  </w:style>
  <w:style w:type="character" w:customStyle="1" w:styleId="12">
    <w:name w:val="font41"/>
    <w:basedOn w:val="8"/>
    <w:uiPriority w:val="0"/>
    <w:rPr>
      <w:rFonts w:hint="eastAsia" w:ascii="仿宋" w:hAnsi="仿宋" w:eastAsia="仿宋" w:cs="仿宋"/>
      <w:b/>
      <w:bCs/>
      <w:color w:val="FF0000"/>
      <w:sz w:val="20"/>
      <w:szCs w:val="20"/>
      <w:u w:val="none"/>
    </w:rPr>
  </w:style>
  <w:style w:type="character" w:customStyle="1" w:styleId="13">
    <w:name w:val="font61"/>
    <w:basedOn w:val="8"/>
    <w:uiPriority w:val="0"/>
    <w:rPr>
      <w:rFonts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Pages>
  <Words>13010</Words>
  <Characters>13772</Characters>
  <Lines>0</Lines>
  <Paragraphs>0</Paragraphs>
  <TotalTime>28</TotalTime>
  <ScaleCrop>false</ScaleCrop>
  <LinksUpToDate>false</LinksUpToDate>
  <CharactersWithSpaces>15100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2023-12-05T01:37:00Z</dcterms:created>
  <dc:creator>扶摇</dc:creator>
  <cp:lastModifiedBy>Teresa</cp:lastModifiedBy>
  <cp:lastPrinted>2023-12-06T01:44:00Z</cp:lastPrinted>
  <dcterms:modified xsi:type="dcterms:W3CDTF">2025-01-13T06:54:01Z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eyJoZGlkIjoiZmM1YzhmZTUxOTRhNmI1Yjg3NDRjOTJmMDQ5NWVmMmEiLCJ1c2VySWQiOiI3MTk5NTI0ODYifQ==</vt:lpwstr>
  </property>
  <property fmtid="{D5CDD505-2E9C-101B-9397-08002B2CF9AE}" pid="4" name="ICV">
    <vt:lpwstr>79EAE6BF98A34DDBB11B0B6FB4E899BF_12</vt:lpwstr>
  </property>
</Properties>
</file>