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opLinePunct/>
        <w:spacing w:before="100" w:line="224" w:lineRule="auto"/>
        <w:rPr>
          <w:rFonts w:hint="eastAsia" w:ascii="宋体" w:hAnsi="宋体" w:eastAsia="宋体" w:cs="宋体"/>
          <w:sz w:val="31"/>
          <w:szCs w:val="31"/>
          <w:lang w:eastAsia="zh-CN"/>
        </w:rPr>
      </w:pPr>
      <w:r>
        <w:rPr>
          <w:rFonts w:ascii="宋体" w:hAnsi="宋体" w:eastAsia="宋体" w:cs="宋体"/>
          <w:spacing w:val="8"/>
          <w:sz w:val="31"/>
          <w:szCs w:val="31"/>
          <w:lang w:eastAsia="zh-CN"/>
        </w:rPr>
        <w:t>附件</w:t>
      </w:r>
      <w:r>
        <w:rPr>
          <w:rFonts w:hint="eastAsia" w:ascii="宋体" w:hAnsi="宋体" w:eastAsia="宋体" w:cs="宋体"/>
          <w:spacing w:val="8"/>
          <w:sz w:val="31"/>
          <w:szCs w:val="31"/>
          <w:lang w:eastAsia="zh-CN"/>
        </w:rPr>
        <w:t>1</w:t>
      </w:r>
      <w:r>
        <w:rPr>
          <w:rFonts w:ascii="宋体" w:hAnsi="宋体" w:eastAsia="宋体" w:cs="宋体"/>
          <w:spacing w:val="8"/>
          <w:sz w:val="31"/>
          <w:szCs w:val="31"/>
          <w:lang w:eastAsia="zh-CN"/>
        </w:rPr>
        <w:t>:</w:t>
      </w:r>
    </w:p>
    <w:p>
      <w:pPr>
        <w:topLinePunct/>
        <w:spacing w:line="228" w:lineRule="auto"/>
        <w:jc w:val="center"/>
        <w:outlineLvl w:val="0"/>
        <w:rPr>
          <w:rFonts w:hint="eastAsia" w:cs="黑体" w:asciiTheme="minorEastAsia" w:hAnsiTheme="minorEastAsia" w:eastAsiaTheme="minorEastAsia"/>
          <w:b/>
          <w:bCs/>
          <w:spacing w:val="6"/>
          <w:sz w:val="44"/>
          <w:szCs w:val="44"/>
          <w:lang w:eastAsia="zh-CN"/>
        </w:rPr>
      </w:pPr>
      <w:r>
        <w:rPr>
          <w:rFonts w:cs="黑体" w:asciiTheme="minorEastAsia" w:hAnsiTheme="minorEastAsia" w:eastAsiaTheme="minorEastAsia"/>
          <w:b/>
          <w:bCs/>
          <w:spacing w:val="6"/>
          <w:sz w:val="44"/>
          <w:szCs w:val="44"/>
          <w:lang w:eastAsia="zh-CN"/>
        </w:rPr>
        <w:t>陕西省</w:t>
      </w:r>
      <w:r>
        <w:rPr>
          <w:rFonts w:hint="eastAsia" w:cs="黑体" w:asciiTheme="minorEastAsia" w:hAnsiTheme="minorEastAsia" w:eastAsiaTheme="minorEastAsia"/>
          <w:b/>
          <w:bCs/>
          <w:spacing w:val="6"/>
          <w:sz w:val="44"/>
          <w:szCs w:val="44"/>
          <w:lang w:eastAsia="zh-CN"/>
        </w:rPr>
        <w:t>重点</w:t>
      </w:r>
      <w:r>
        <w:rPr>
          <w:rFonts w:cs="黑体" w:asciiTheme="minorEastAsia" w:hAnsiTheme="minorEastAsia" w:eastAsiaTheme="minorEastAsia"/>
          <w:b/>
          <w:bCs/>
          <w:spacing w:val="6"/>
          <w:sz w:val="44"/>
          <w:szCs w:val="44"/>
          <w:lang w:eastAsia="zh-CN"/>
        </w:rPr>
        <w:t>标准征集项目</w:t>
      </w:r>
    </w:p>
    <w:tbl>
      <w:tblPr>
        <w:tblStyle w:val="13"/>
        <w:tblpPr w:leftFromText="180" w:rightFromText="180" w:vertAnchor="text" w:horzAnchor="page" w:tblpXSpec="center" w:tblpY="603"/>
        <w:tblW w:w="14954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9"/>
        <w:gridCol w:w="2065"/>
        <w:gridCol w:w="1337"/>
        <w:gridCol w:w="2097"/>
        <w:gridCol w:w="5000"/>
        <w:gridCol w:w="1926"/>
        <w:gridCol w:w="18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709" w:type="dxa"/>
            <w:vAlign w:val="center"/>
          </w:tcPr>
          <w:p>
            <w:pPr>
              <w:pStyle w:val="14"/>
              <w:topLinePunct/>
              <w:spacing w:before="56" w:line="229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065" w:type="dxa"/>
            <w:vAlign w:val="center"/>
          </w:tcPr>
          <w:p>
            <w:pPr>
              <w:pStyle w:val="14"/>
              <w:topLinePunct/>
              <w:spacing w:before="56" w:line="22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项目名称</w:t>
            </w:r>
          </w:p>
        </w:tc>
        <w:tc>
          <w:tcPr>
            <w:tcW w:w="1337" w:type="dxa"/>
            <w:vAlign w:val="center"/>
          </w:tcPr>
          <w:p>
            <w:pPr>
              <w:pStyle w:val="14"/>
              <w:topLinePunct/>
              <w:spacing w:before="56" w:line="228" w:lineRule="auto"/>
              <w:ind w:left="117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</w:rPr>
              <w:t>标准</w:t>
            </w:r>
            <w:r>
              <w:rPr>
                <w:rFonts w:hint="eastAsia" w:ascii="仿宋" w:hAnsi="仿宋" w:eastAsia="仿宋" w:cs="仿宋"/>
                <w:spacing w:val="7"/>
                <w:sz w:val="28"/>
                <w:szCs w:val="28"/>
                <w:lang w:eastAsia="zh-CN"/>
              </w:rPr>
              <w:t>/设计</w:t>
            </w:r>
          </w:p>
        </w:tc>
        <w:tc>
          <w:tcPr>
            <w:tcW w:w="2097" w:type="dxa"/>
            <w:vAlign w:val="center"/>
          </w:tcPr>
          <w:p>
            <w:pPr>
              <w:pStyle w:val="14"/>
              <w:topLinePunct/>
              <w:spacing w:before="56" w:line="22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9"/>
                <w:sz w:val="28"/>
                <w:szCs w:val="28"/>
                <w:lang w:eastAsia="zh-CN"/>
              </w:rPr>
              <w:t>适用领域</w:t>
            </w:r>
          </w:p>
        </w:tc>
        <w:tc>
          <w:tcPr>
            <w:tcW w:w="5000" w:type="dxa"/>
            <w:vAlign w:val="center"/>
          </w:tcPr>
          <w:p>
            <w:pPr>
              <w:pStyle w:val="14"/>
              <w:topLinePunct/>
              <w:spacing w:before="56" w:line="228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拟解决的</w:t>
            </w: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</w:rPr>
              <w:t>问题</w:t>
            </w:r>
          </w:p>
        </w:tc>
        <w:tc>
          <w:tcPr>
            <w:tcW w:w="1926" w:type="dxa"/>
            <w:vAlign w:val="center"/>
          </w:tcPr>
          <w:p>
            <w:pPr>
              <w:pStyle w:val="14"/>
              <w:topLinePunct/>
              <w:spacing w:before="56" w:line="228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要求完成时限</w:t>
            </w:r>
          </w:p>
        </w:tc>
        <w:tc>
          <w:tcPr>
            <w:tcW w:w="1820" w:type="dxa"/>
            <w:vAlign w:val="center"/>
          </w:tcPr>
          <w:p>
            <w:pPr>
              <w:pStyle w:val="14"/>
              <w:topLinePunct/>
              <w:spacing w:before="56" w:line="228" w:lineRule="auto"/>
              <w:jc w:val="center"/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6"/>
                <w:sz w:val="28"/>
                <w:szCs w:val="28"/>
                <w:lang w:eastAsia="zh-CN"/>
              </w:rPr>
              <w:t>指导单位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6" w:hRule="atLeast"/>
          <w:jc w:val="center"/>
        </w:trPr>
        <w:tc>
          <w:tcPr>
            <w:tcW w:w="709" w:type="dxa"/>
            <w:vAlign w:val="center"/>
          </w:tcPr>
          <w:p>
            <w:pPr>
              <w:topLinePunct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1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既有农房抗震加固技术规程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标准</w:t>
            </w:r>
          </w:p>
        </w:tc>
        <w:tc>
          <w:tcPr>
            <w:tcW w:w="2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适用于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农房质量安全与抗震防灾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规范既有农房抗震鉴定与加固设计、施工及验收，逐步提升我省农房抗震防灾技术水平。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2026年12月31日前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300" w:firstLineChars="100"/>
              <w:jc w:val="both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村镇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建设处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  <w:jc w:val="center"/>
        </w:trPr>
        <w:tc>
          <w:tcPr>
            <w:tcW w:w="709" w:type="dxa"/>
            <w:vAlign w:val="center"/>
          </w:tcPr>
          <w:p>
            <w:pPr>
              <w:topLinePunct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2065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建设工程无人机测量应用技术规程</w:t>
            </w:r>
          </w:p>
        </w:tc>
        <w:tc>
          <w:tcPr>
            <w:tcW w:w="1337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标准</w:t>
            </w:r>
          </w:p>
        </w:tc>
        <w:tc>
          <w:tcPr>
            <w:tcW w:w="2097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适用于建设工程建造中的无人机测量工作</w:t>
            </w:r>
          </w:p>
        </w:tc>
        <w:tc>
          <w:tcPr>
            <w:tcW w:w="500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围绕解决无人机在各类建设工程中应用规范性差、数据可靠度低问题，填补无人机在建设工程测量领域地方标准的空白。</w:t>
            </w:r>
          </w:p>
        </w:tc>
        <w:tc>
          <w:tcPr>
            <w:tcW w:w="1926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2026年12月31日前</w:t>
            </w:r>
          </w:p>
        </w:tc>
        <w:tc>
          <w:tcPr>
            <w:tcW w:w="182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建筑市场监管处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0" w:hRule="atLeast"/>
          <w:jc w:val="center"/>
        </w:trPr>
        <w:tc>
          <w:tcPr>
            <w:tcW w:w="709" w:type="dxa"/>
            <w:vAlign w:val="center"/>
          </w:tcPr>
          <w:p>
            <w:pPr>
              <w:topLinePunct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2065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建设项目全过程工程咨询服务体系标准</w:t>
            </w:r>
          </w:p>
        </w:tc>
        <w:tc>
          <w:tcPr>
            <w:tcW w:w="1337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标准</w:t>
            </w:r>
          </w:p>
        </w:tc>
        <w:tc>
          <w:tcPr>
            <w:tcW w:w="2097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适用于房屋建筑和市政基础设施建设项目全过程工程咨询的范围、方式、内容、流程和要求。</w:t>
            </w:r>
          </w:p>
        </w:tc>
        <w:tc>
          <w:tcPr>
            <w:tcW w:w="500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明晰服务范围，规范服务组合及服务方式、服务流程、过程控制及服务成果，提升成果应用和服务效能，引导业主评价及全咨单位自评和综合能力塑造，进全咨服务综合效能提升。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2026年12月31日前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建筑市场监管处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8" w:hRule="atLeast"/>
          <w:jc w:val="center"/>
        </w:trPr>
        <w:tc>
          <w:tcPr>
            <w:tcW w:w="709" w:type="dxa"/>
            <w:vAlign w:val="center"/>
          </w:tcPr>
          <w:p>
            <w:pPr>
              <w:topLinePunct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城市排水防涝体系建设标准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标准</w:t>
            </w:r>
          </w:p>
        </w:tc>
        <w:tc>
          <w:tcPr>
            <w:tcW w:w="2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适用于全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省范围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城市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内涝防治工作的开展，规定内涝治理工作的全流程内容，提升内涝防治能力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围绕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解决全省各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城市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存在的内涝防治工作开展流程不规范、应急管理能力不强等问题，规范我省内涝治理全流程管理，巩固城市防洪排涝治理体系，规范和完善防汛智能检测及预警系统，提升全省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城市内涝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应急救援能力。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2026年12月31日前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城市管理处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709" w:type="dxa"/>
            <w:vAlign w:val="center"/>
          </w:tcPr>
          <w:p>
            <w:pPr>
              <w:topLinePunct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城镇燃气安全运行与检查技术标准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标准</w:t>
            </w:r>
          </w:p>
        </w:tc>
        <w:tc>
          <w:tcPr>
            <w:tcW w:w="2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城镇燃气经营企业、城镇燃气设施的安全检查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全面提升全省燃气经营企业的安全生产及管理工作水平，规范城镇燃气安全检查程序和内容，切实保护人民群众生命财产安全。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2026年12月31日前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城市管理处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8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建筑光储直柔系统技术标准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标准</w:t>
            </w:r>
          </w:p>
        </w:tc>
        <w:tc>
          <w:tcPr>
            <w:tcW w:w="2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建筑工程中1500V及以下的直流配电建设，为施工单位在深化设计、施工组织方案编制中提供低碳措施指导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针对建筑直流配电系统已有一套完整的设计标准，但暂无相关的建设标准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的现状，解决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高效、稳定、低成本最大化消纳光伏的问题。</w:t>
            </w:r>
          </w:p>
        </w:tc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2026年12月31日前</w:t>
            </w:r>
          </w:p>
        </w:tc>
        <w:tc>
          <w:tcPr>
            <w:tcW w:w="182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建筑节能与科技处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历史建筑修缮工程技术标准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标准</w:t>
            </w:r>
          </w:p>
        </w:tc>
        <w:tc>
          <w:tcPr>
            <w:tcW w:w="2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历史建筑保护修缮领域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baseline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围绕解决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我省历史建筑因无依据、无技术规程而导致的不敢修、不能修问题，为历史建筑保护修缮工程的管理与审批流程提供参考标准，为历史建筑的修缮查勘与检测鉴定提供技术规范，为历史建筑的科学修缮提供设计、施工与竣工验收指导。</w:t>
            </w:r>
          </w:p>
        </w:tc>
        <w:tc>
          <w:tcPr>
            <w:tcW w:w="1926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56" w:line="4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2026年12月31日前</w:t>
            </w:r>
          </w:p>
        </w:tc>
        <w:tc>
          <w:tcPr>
            <w:tcW w:w="182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56"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城市建设处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陕西省住建领域基础库信息数据标准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标准</w:t>
            </w:r>
          </w:p>
        </w:tc>
        <w:tc>
          <w:tcPr>
            <w:tcW w:w="2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住建领域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解决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住建领域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数据无法有效整合和共享的现状，打破数据孤岛现象。由于缺乏统一的数据标准，不同来源的数据在格式、编码、分类等方面存在差异，能够提供统一的数据标准，促进数据的共享互通，解决部分数据在采集、录入过程中存在缺失和错误的问题，提升数据的准确性和可用性。</w:t>
            </w:r>
          </w:p>
        </w:tc>
        <w:tc>
          <w:tcPr>
            <w:tcW w:w="1926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56" w:line="4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2026年12月31日前</w:t>
            </w:r>
          </w:p>
        </w:tc>
        <w:tc>
          <w:tcPr>
            <w:tcW w:w="182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56"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厅电子政务中心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3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206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陕西省房屋建筑赋码标准与基本属性数据标准</w:t>
            </w:r>
          </w:p>
        </w:tc>
        <w:tc>
          <w:tcPr>
            <w:tcW w:w="133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标准</w:t>
            </w:r>
          </w:p>
        </w:tc>
        <w:tc>
          <w:tcPr>
            <w:tcW w:w="209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房屋建筑（城镇住宅、城镇非住宅、农村独立住宅、农村集合住宅、农村非住宅、农村住宅辅助用房）</w:t>
            </w:r>
          </w:p>
        </w:tc>
        <w:tc>
          <w:tcPr>
            <w:tcW w:w="5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房屋建筑数据条块化、衔接难、集成难、互通难、回溯难，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围绕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解决不同部门和管理者之间难以进行信息共享和业务协同的问题，打破信息壁垒；提供统一的建筑赋码身份标识，将房屋建筑的空间关系、属性数据、业务数据等进行准确对应；为房屋建筑数据基本属性提供统一的标准和规范；提升数据标准化程度，为城市管理部门在制定政策和进行决策时提供数据支持。</w:t>
            </w:r>
          </w:p>
        </w:tc>
        <w:tc>
          <w:tcPr>
            <w:tcW w:w="1926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56" w:line="400" w:lineRule="exact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2026年12月31日前</w:t>
            </w:r>
          </w:p>
        </w:tc>
        <w:tc>
          <w:tcPr>
            <w:tcW w:w="1820" w:type="dxa"/>
            <w:vAlign w:val="center"/>
          </w:tcPr>
          <w:p>
            <w:pPr>
              <w:pStyle w:val="1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/>
              <w:autoSpaceDE w:val="0"/>
              <w:autoSpaceDN w:val="0"/>
              <w:bidi w:val="0"/>
              <w:adjustRightInd w:val="0"/>
              <w:snapToGrid w:val="0"/>
              <w:spacing w:before="56" w:line="4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厅电子政务中心</w:t>
            </w:r>
          </w:p>
        </w:tc>
      </w:tr>
    </w:tbl>
    <w:p>
      <w:pPr>
        <w:topLinePunct/>
        <w:spacing w:before="101" w:line="227" w:lineRule="auto"/>
        <w:ind w:left="-210" w:leftChars="-100" w:firstLine="666" w:firstLineChars="200"/>
        <w:jc w:val="left"/>
        <w:outlineLvl w:val="0"/>
        <w:rPr>
          <w:rFonts w:hint="eastAsia" w:ascii="仿宋" w:hAnsi="仿宋" w:eastAsia="仿宋" w:cs="仿宋"/>
          <w:b/>
          <w:bCs/>
          <w:spacing w:val="6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6"/>
          <w:sz w:val="32"/>
          <w:szCs w:val="32"/>
          <w:lang w:eastAsia="zh-CN"/>
        </w:rPr>
        <w:t xml:space="preserve">                                               </w:t>
      </w:r>
    </w:p>
    <w:p>
      <w:pPr>
        <w:pStyle w:val="14"/>
        <w:topLinePunct/>
        <w:spacing w:before="56" w:line="228" w:lineRule="auto"/>
        <w:ind w:firstLine="504" w:firstLineChars="200"/>
        <w:rPr>
          <w:rFonts w:hint="eastAsia"/>
          <w:spacing w:val="6"/>
          <w:lang w:eastAsia="zh-CN"/>
        </w:rPr>
      </w:pPr>
      <w:r>
        <w:rPr>
          <w:rFonts w:hint="eastAsia"/>
          <w:spacing w:val="6"/>
          <w:lang w:eastAsia="zh-CN"/>
        </w:rPr>
        <w:t xml:space="preserve">                                                </w:t>
      </w:r>
    </w:p>
    <w:sectPr>
      <w:footerReference r:id="rId5" w:type="default"/>
      <w:pgSz w:w="16839" w:h="11906"/>
      <w:pgMar w:top="1080" w:right="1440" w:bottom="1080" w:left="1440" w:header="0" w:footer="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Unicode MS">
    <w:altName w:val="DejaVu Sans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EEmdbAaAgAAKA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zYTEzMDlhOTZkMmM1NmY1NWJjM2NlMThmMmJjMTQifQ=="/>
  </w:docVars>
  <w:rsids>
    <w:rsidRoot w:val="004105E1"/>
    <w:rsid w:val="000D05FE"/>
    <w:rsid w:val="000D5CD4"/>
    <w:rsid w:val="00141B7D"/>
    <w:rsid w:val="0017772A"/>
    <w:rsid w:val="00180102"/>
    <w:rsid w:val="00196FB4"/>
    <w:rsid w:val="001F0557"/>
    <w:rsid w:val="002D2472"/>
    <w:rsid w:val="00307AD1"/>
    <w:rsid w:val="00315F40"/>
    <w:rsid w:val="00394A11"/>
    <w:rsid w:val="00403F26"/>
    <w:rsid w:val="004105E1"/>
    <w:rsid w:val="00505B5C"/>
    <w:rsid w:val="005142EB"/>
    <w:rsid w:val="006253E5"/>
    <w:rsid w:val="006B5B87"/>
    <w:rsid w:val="006D5709"/>
    <w:rsid w:val="006F7C4F"/>
    <w:rsid w:val="00774AF7"/>
    <w:rsid w:val="007C457D"/>
    <w:rsid w:val="007E2B49"/>
    <w:rsid w:val="008F1447"/>
    <w:rsid w:val="009451DF"/>
    <w:rsid w:val="00950F42"/>
    <w:rsid w:val="009D2D04"/>
    <w:rsid w:val="00A253F4"/>
    <w:rsid w:val="00B250DB"/>
    <w:rsid w:val="00B251C3"/>
    <w:rsid w:val="00B52BFE"/>
    <w:rsid w:val="00B560F9"/>
    <w:rsid w:val="00B65EAE"/>
    <w:rsid w:val="00B8205E"/>
    <w:rsid w:val="00BC3100"/>
    <w:rsid w:val="00D5395B"/>
    <w:rsid w:val="00D90FAA"/>
    <w:rsid w:val="00DF43A6"/>
    <w:rsid w:val="00E251DF"/>
    <w:rsid w:val="00E62961"/>
    <w:rsid w:val="00EA7818"/>
    <w:rsid w:val="00F0036D"/>
    <w:rsid w:val="00F2434C"/>
    <w:rsid w:val="00FC5B4C"/>
    <w:rsid w:val="00FF3BB2"/>
    <w:rsid w:val="0BF34B35"/>
    <w:rsid w:val="0F522A2E"/>
    <w:rsid w:val="16D18E6E"/>
    <w:rsid w:val="1BD375D5"/>
    <w:rsid w:val="1CC72E14"/>
    <w:rsid w:val="256D0FD8"/>
    <w:rsid w:val="2ACA5F50"/>
    <w:rsid w:val="2AFD91BF"/>
    <w:rsid w:val="2CC17B44"/>
    <w:rsid w:val="370F5659"/>
    <w:rsid w:val="3DFAB4BD"/>
    <w:rsid w:val="3FB7A30E"/>
    <w:rsid w:val="5AB15F4F"/>
    <w:rsid w:val="5BB91F63"/>
    <w:rsid w:val="5DAE6EA0"/>
    <w:rsid w:val="69BE38D8"/>
    <w:rsid w:val="6FFD011D"/>
    <w:rsid w:val="725B11BA"/>
    <w:rsid w:val="73DFEFFC"/>
    <w:rsid w:val="74982A3A"/>
    <w:rsid w:val="76FBDDFA"/>
    <w:rsid w:val="7BBD0D24"/>
    <w:rsid w:val="7FFE0D99"/>
    <w:rsid w:val="B7DEDFB6"/>
    <w:rsid w:val="BD5D0839"/>
    <w:rsid w:val="BFFF7C6E"/>
    <w:rsid w:val="C9CCCF3D"/>
    <w:rsid w:val="CBBF9B12"/>
    <w:rsid w:val="D5E4E9DC"/>
    <w:rsid w:val="D69FB0C7"/>
    <w:rsid w:val="D7CF1E61"/>
    <w:rsid w:val="D97E8C50"/>
    <w:rsid w:val="E6AB488A"/>
    <w:rsid w:val="EF5E14A3"/>
    <w:rsid w:val="EFF36BE1"/>
    <w:rsid w:val="F6FB797A"/>
    <w:rsid w:val="F79AF6EF"/>
    <w:rsid w:val="F7FB3210"/>
    <w:rsid w:val="F8DD2A57"/>
    <w:rsid w:val="FBD5C129"/>
    <w:rsid w:val="FDD92FDC"/>
    <w:rsid w:val="FDDCCD00"/>
    <w:rsid w:val="FDF772A1"/>
    <w:rsid w:val="FDFEB115"/>
    <w:rsid w:val="FEFFE2EC"/>
    <w:rsid w:val="FF9E8AD6"/>
    <w:rsid w:val="FFDEE7E6"/>
    <w:rsid w:val="FFF58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after="160" w:line="278" w:lineRule="auto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semiHidden/>
    <w:qFormat/>
    <w:uiPriority w:val="0"/>
    <w:rPr>
      <w:rFonts w:ascii="Arial Unicode MS" w:hAnsi="Arial Unicode MS" w:eastAsia="Arial Unicode MS" w:cs="Arial Unicode MS"/>
      <w:sz w:val="31"/>
      <w:szCs w:val="31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link w:val="1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Body Text 2"/>
    <w:basedOn w:val="1"/>
    <w:qFormat/>
    <w:uiPriority w:val="0"/>
    <w:pPr>
      <w:jc w:val="center"/>
    </w:pPr>
    <w:rPr>
      <w:rFonts w:ascii="仿宋_GB2312" w:hAnsi="宋体" w:eastAsia="仿宋_GB2312"/>
      <w:b/>
      <w:bCs/>
      <w:sz w:val="44"/>
    </w:rPr>
  </w:style>
  <w:style w:type="paragraph" w:styleId="7">
    <w:name w:val="Normal (Web)"/>
    <w:basedOn w:val="1"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正文文本 字符"/>
    <w:basedOn w:val="10"/>
    <w:link w:val="2"/>
    <w:semiHidden/>
    <w:qFormat/>
    <w:uiPriority w:val="0"/>
    <w:rPr>
      <w:rFonts w:ascii="Arial Unicode MS" w:hAnsi="Arial Unicode MS" w:eastAsia="Arial Unicode MS" w:cs="Arial Unicode MS"/>
      <w:snapToGrid w:val="0"/>
      <w:color w:val="000000"/>
      <w:kern w:val="0"/>
      <w:sz w:val="31"/>
      <w:szCs w:val="31"/>
      <w:lang w:eastAsia="en-US"/>
    </w:rPr>
  </w:style>
  <w:style w:type="character" w:customStyle="1" w:styleId="12">
    <w:name w:val="页脚 字符"/>
    <w:basedOn w:val="10"/>
    <w:link w:val="4"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21"/>
      <w:lang w:eastAsia="en-US"/>
    </w:rPr>
  </w:style>
  <w:style w:type="table" w:customStyle="1" w:styleId="13">
    <w:name w:val="Table Normal"/>
    <w:semiHidden/>
    <w:unhideWhenUsed/>
    <w:qFormat/>
    <w:uiPriority w:val="0"/>
    <w:rPr>
      <w:rFonts w:ascii="Arial" w:hAnsi="Arial" w:cs="Ari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</w:rPr>
  </w:style>
  <w:style w:type="character" w:customStyle="1" w:styleId="15">
    <w:name w:val="批注框文本 字符"/>
    <w:basedOn w:val="10"/>
    <w:link w:val="3"/>
    <w:semiHidden/>
    <w:qFormat/>
    <w:uiPriority w:val="99"/>
    <w:rPr>
      <w:rFonts w:ascii="Arial" w:hAnsi="Arial" w:eastAsia="Arial" w:cs="Arial"/>
      <w:snapToGrid w:val="0"/>
      <w:color w:val="000000"/>
      <w:kern w:val="0"/>
      <w:sz w:val="18"/>
      <w:szCs w:val="18"/>
      <w:lang w:eastAsia="en-US"/>
    </w:rPr>
  </w:style>
  <w:style w:type="character" w:customStyle="1" w:styleId="16">
    <w:name w:val="页眉 字符"/>
    <w:basedOn w:val="10"/>
    <w:link w:val="5"/>
    <w:semiHidden/>
    <w:qFormat/>
    <w:uiPriority w:val="99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7">
    <w:name w:val="font21"/>
    <w:basedOn w:val="10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8">
    <w:name w:val="font0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1666</Words>
  <Characters>1716</Characters>
  <Lines>15</Lines>
  <Paragraphs>4</Paragraphs>
  <TotalTime>8</TotalTime>
  <ScaleCrop>false</ScaleCrop>
  <LinksUpToDate>false</LinksUpToDate>
  <CharactersWithSpaces>1812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2024-09-15T02:38:00Z</dcterms:created>
  <dc:creator>Lenovo</dc:creator>
  <cp:lastModifiedBy>guest</cp:lastModifiedBy>
  <cp:lastPrinted>2024-08-23T00:39:00Z</cp:lastPrinted>
  <dcterms:modified xsi:type="dcterms:W3CDTF">2024-09-19T10:24:30Z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52F52C655A1344BCAF7B597E0885A958_13</vt:lpwstr>
  </property>
</Properties>
</file>