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60" w:lineRule="exact"/>
        <w:jc w:val="center"/>
        <w:textAlignment w:val="baseline"/>
        <w:rPr>
          <w:rFonts w:hint="eastAsia" w:ascii="方正小标宋简体" w:hAnsi="Times New Roman" w:eastAsia="方正小标宋简体"/>
          <w:bCs/>
          <w:color w:val="000000"/>
          <w:sz w:val="44"/>
          <w:szCs w:val="44"/>
          <w:lang w:bidi="ar"/>
        </w:rPr>
      </w:pPr>
      <w:r>
        <w:rPr>
          <w:rFonts w:hint="eastAsia" w:ascii="方正小标宋简体" w:hAnsi="Times New Roman" w:eastAsia="方正小标宋简体"/>
          <w:bCs/>
          <w:color w:val="000000"/>
          <w:sz w:val="44"/>
          <w:szCs w:val="44"/>
          <w:lang w:bidi="ar"/>
        </w:rPr>
        <w:t>陕西省建设工程质量检测机构资质许可</w:t>
      </w:r>
    </w:p>
    <w:p>
      <w:pPr>
        <w:widowControl/>
        <w:kinsoku w:val="0"/>
        <w:autoSpaceDE w:val="0"/>
        <w:autoSpaceDN w:val="0"/>
        <w:adjustRightInd w:val="0"/>
        <w:snapToGrid w:val="0"/>
        <w:spacing w:line="660" w:lineRule="exact"/>
        <w:jc w:val="center"/>
        <w:textAlignment w:val="baseline"/>
        <w:rPr>
          <w:rFonts w:hint="eastAsia" w:ascii="方正小标宋简体" w:hAnsi="Times New Roman" w:eastAsia="方正小标宋简体"/>
          <w:bCs/>
          <w:color w:val="000000"/>
          <w:sz w:val="44"/>
          <w:szCs w:val="44"/>
          <w:lang w:bidi="ar"/>
        </w:rPr>
      </w:pPr>
      <w:r>
        <w:rPr>
          <w:rFonts w:hint="eastAsia" w:ascii="方正小标宋简体" w:hAnsi="Times New Roman" w:eastAsia="方正小标宋简体"/>
          <w:bCs/>
          <w:color w:val="000000"/>
          <w:sz w:val="44"/>
          <w:szCs w:val="44"/>
          <w:lang w:bidi="ar"/>
        </w:rPr>
        <w:t>专家评审工作导则（试行）</w:t>
      </w:r>
    </w:p>
    <w:p>
      <w:pPr>
        <w:spacing w:line="480" w:lineRule="auto"/>
        <w:ind w:firstLine="643"/>
        <w:jc w:val="center"/>
        <w:rPr>
          <w:rFonts w:ascii="Times New Roman" w:hAnsi="Times New Roman" w:eastAsia="仿宋"/>
          <w:b/>
          <w:bCs/>
          <w:color w:val="000000"/>
          <w:sz w:val="32"/>
          <w:szCs w:val="32"/>
        </w:rPr>
      </w:pPr>
    </w:p>
    <w:p>
      <w:pPr>
        <w:pStyle w:val="19"/>
        <w:jc w:val="center"/>
        <w:rPr>
          <w:rFonts w:hint="eastAsia"/>
          <w:b/>
          <w:bCs/>
          <w:color w:val="000000"/>
          <w:sz w:val="32"/>
          <w:szCs w:val="40"/>
        </w:rPr>
      </w:pPr>
      <w:r>
        <w:rPr>
          <w:rFonts w:hint="eastAsia"/>
          <w:b/>
          <w:bCs/>
          <w:color w:val="000000"/>
          <w:sz w:val="32"/>
          <w:szCs w:val="40"/>
        </w:rPr>
        <w:t>第一章　总　则</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第一条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为保证我省建设工程质量检测机构资质许可过程中专家评审工作质量，统一评审要求，规范评审行为，根据《建设工程质量检测管理办法》（第57号部令，以下简称《检测管理办法》）、《建设工程质量检测机构资质标准》（以下简称《资质标准》）、《陕西省建设工程质量检测管理办法实施细则》（陕建发〔2023〕191号）</w:t>
      </w:r>
      <w:bookmarkStart w:id="23" w:name="_GoBack"/>
      <w:bookmarkEnd w:id="23"/>
      <w:r>
        <w:rPr>
          <w:rFonts w:hint="eastAsia" w:ascii="仿宋_GB2312" w:hAnsi="Times New Roman" w:eastAsia="仿宋_GB2312"/>
          <w:color w:val="000000"/>
          <w:sz w:val="32"/>
          <w:szCs w:val="32"/>
        </w:rPr>
        <w:t>制定本导则。</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第二条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本导则适用于在陕西省行政区域内建设工程质量检测机构（以下简称检测机构）资质</w:t>
      </w:r>
      <w:bookmarkStart w:id="0" w:name="_Hlk146633508"/>
      <w:r>
        <w:rPr>
          <w:rFonts w:hint="eastAsia" w:ascii="仿宋_GB2312" w:hAnsi="Times New Roman" w:eastAsia="仿宋_GB2312"/>
          <w:color w:val="000000"/>
          <w:sz w:val="32"/>
          <w:szCs w:val="32"/>
        </w:rPr>
        <w:t>许可专家评审活动</w:t>
      </w:r>
      <w:bookmarkEnd w:id="0"/>
      <w:r>
        <w:rPr>
          <w:rFonts w:hint="eastAsia" w:ascii="仿宋_GB2312" w:hAnsi="Times New Roman" w:eastAsia="仿宋_GB2312"/>
          <w:color w:val="000000"/>
          <w:sz w:val="32"/>
          <w:szCs w:val="32"/>
        </w:rPr>
        <w:t>。</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第三条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申请检测资质的机构应在政务服务网提交资质申请，并按照所申报的资质类别上传</w:t>
      </w:r>
      <w:r>
        <w:rPr>
          <w:rFonts w:hint="eastAsia" w:ascii="仿宋_GB2312" w:hAnsi="Times New Roman" w:eastAsia="仿宋_GB2312"/>
          <w:color w:val="000000"/>
          <w:sz w:val="32"/>
          <w:szCs w:val="32"/>
          <w:lang w:val="en-US" w:eastAsia="zh-CN"/>
        </w:rPr>
        <w:t>相关资料</w:t>
      </w:r>
      <w:r>
        <w:rPr>
          <w:rFonts w:hint="eastAsia" w:ascii="仿宋_GB2312" w:hAnsi="Times New Roman" w:eastAsia="仿宋_GB2312"/>
          <w:color w:val="000000"/>
          <w:sz w:val="32"/>
          <w:szCs w:val="32"/>
        </w:rPr>
        <w:t>，经审</w:t>
      </w:r>
      <w:r>
        <w:rPr>
          <w:rFonts w:hint="eastAsia" w:ascii="仿宋_GB2312" w:hAnsi="Times New Roman" w:eastAsia="仿宋_GB2312"/>
          <w:color w:val="000000"/>
          <w:sz w:val="32"/>
          <w:szCs w:val="32"/>
          <w:lang w:val="en-US" w:eastAsia="zh-CN"/>
        </w:rPr>
        <w:t>查</w:t>
      </w:r>
      <w:r>
        <w:rPr>
          <w:rFonts w:hint="eastAsia" w:ascii="仿宋_GB2312" w:hAnsi="Times New Roman" w:eastAsia="仿宋_GB2312"/>
          <w:color w:val="000000"/>
          <w:sz w:val="32"/>
          <w:szCs w:val="32"/>
        </w:rPr>
        <w:t>合格后，予以受理，并按照回避原则抽调相关专家组成评审组进行专家评审。</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第四条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本导则所称专家评审，是指依照《检测管理办法》等相关规定，由陕西省住房和城乡建设厅（以下简称省住建厅）对检测机构申请的资质许可事项是否符合资质许可条件及相关要求，所进行的技术性审查。</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第五条</w:t>
      </w:r>
      <w:bookmarkStart w:id="1" w:name="_Hlk146702430"/>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省住建</w:t>
      </w:r>
      <w:bookmarkEnd w:id="1"/>
      <w:r>
        <w:rPr>
          <w:rFonts w:hint="eastAsia" w:ascii="仿宋_GB2312" w:hAnsi="Times New Roman" w:eastAsia="仿宋_GB2312"/>
          <w:color w:val="000000"/>
          <w:sz w:val="32"/>
          <w:szCs w:val="32"/>
        </w:rPr>
        <w:t>厅负责全省检测机构资质许可专家评审工作的监督管理。</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第六条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专家评审工作应在检测机构资质申请材料审查合格后开展，现场评审工作应在20个工作日内完成。</w:t>
      </w:r>
    </w:p>
    <w:p>
      <w:pPr>
        <w:spacing w:line="600" w:lineRule="exact"/>
        <w:ind w:firstLine="640" w:firstLineChars="200"/>
        <w:rPr>
          <w:rFonts w:hint="eastAsia" w:ascii="仿宋_GB2312" w:hAnsi="Times New Roman" w:eastAsia="仿宋_GB2312"/>
          <w:color w:val="000000"/>
          <w:sz w:val="32"/>
          <w:szCs w:val="32"/>
        </w:rPr>
      </w:pPr>
      <w:bookmarkStart w:id="2" w:name="_Hlk146704382"/>
      <w:r>
        <w:rPr>
          <w:rFonts w:hint="eastAsia" w:ascii="方正黑体简体" w:hAnsi="Times New Roman" w:eastAsia="方正黑体简体"/>
          <w:color w:val="000000"/>
          <w:sz w:val="32"/>
          <w:szCs w:val="32"/>
        </w:rPr>
        <w:t>第七条</w:t>
      </w:r>
      <w:bookmarkEnd w:id="2"/>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专家评审工作应当坚持统一规范、客观公正、科学准确、公平公开、廉洁高效的原则。</w:t>
      </w:r>
    </w:p>
    <w:p>
      <w:pPr>
        <w:pStyle w:val="19"/>
        <w:jc w:val="center"/>
        <w:rPr>
          <w:rFonts w:hint="eastAsia" w:eastAsia="宋体"/>
          <w:b/>
          <w:bCs/>
          <w:color w:val="000000"/>
          <w:sz w:val="32"/>
          <w:szCs w:val="40"/>
        </w:rPr>
      </w:pPr>
      <w:r>
        <w:rPr>
          <w:rFonts w:hint="eastAsia" w:eastAsia="宋体"/>
          <w:b/>
          <w:bCs/>
          <w:color w:val="000000"/>
          <w:sz w:val="32"/>
          <w:szCs w:val="40"/>
        </w:rPr>
        <w:t>第二章　评审内容与要求</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第八条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专家评审内容包括对检测能力、仪器设备、检测场所、质量保证体系等方面是否符合资质许可要求的审查。</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highlight w:val="blue"/>
        </w:rPr>
      </w:pPr>
      <w:r>
        <w:rPr>
          <w:rFonts w:hint="eastAsia" w:ascii="方正黑体简体" w:hAnsi="Times New Roman" w:eastAsia="方正黑体简体" w:cs="Times New Roman"/>
          <w:color w:val="000000"/>
          <w:kern w:val="2"/>
          <w:sz w:val="32"/>
          <w:szCs w:val="32"/>
        </w:rPr>
        <w:t>第</w:t>
      </w:r>
      <w:r>
        <w:rPr>
          <w:rFonts w:hint="eastAsia" w:ascii="方正黑体简体" w:hAnsi="Times New Roman" w:eastAsia="方正黑体简体" w:cs="Times New Roman"/>
          <w:color w:val="000000"/>
          <w:kern w:val="2"/>
          <w:sz w:val="32"/>
          <w:szCs w:val="32"/>
          <w:lang w:val="en-US" w:eastAsia="zh-CN"/>
        </w:rPr>
        <w:t>九</w:t>
      </w:r>
      <w:r>
        <w:rPr>
          <w:rFonts w:hint="eastAsia" w:ascii="方正黑体简体" w:hAnsi="Times New Roman" w:eastAsia="方正黑体简体" w:cs="Times New Roman"/>
          <w:color w:val="000000"/>
          <w:kern w:val="2"/>
          <w:sz w:val="32"/>
          <w:szCs w:val="32"/>
        </w:rPr>
        <w:t>条</w:t>
      </w:r>
      <w:r>
        <w:rPr>
          <w:rFonts w:hint="eastAsia" w:ascii="方正黑体简体" w:hAnsi="Times New Roman" w:eastAsia="方正黑体简体" w:cs="Times New Roman"/>
          <w:color w:val="000000"/>
          <w:kern w:val="2"/>
          <w:sz w:val="32"/>
          <w:szCs w:val="32"/>
          <w:lang w:val="en-US" w:eastAsia="zh-CN"/>
        </w:rPr>
        <w:t xml:space="preserve">  </w:t>
      </w:r>
      <w:r>
        <w:rPr>
          <w:rFonts w:hint="eastAsia" w:ascii="仿宋_GB2312" w:hAnsi="Times New Roman" w:eastAsia="仿宋_GB2312" w:cs="Times New Roman"/>
          <w:color w:val="000000"/>
          <w:kern w:val="2"/>
          <w:sz w:val="32"/>
          <w:szCs w:val="32"/>
        </w:rPr>
        <w:t>检测机构应当有满足工作需要的固定工作场所及检测场所，其检测环境应符合相关标准要求。</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bookmarkStart w:id="3" w:name="_Hlk146732679"/>
      <w:r>
        <w:rPr>
          <w:rFonts w:hint="eastAsia" w:ascii="仿宋_GB2312" w:hAnsi="Times New Roman" w:eastAsia="仿宋_GB2312" w:cs="Times New Roman"/>
          <w:color w:val="000000"/>
          <w:kern w:val="2"/>
          <w:sz w:val="32"/>
          <w:szCs w:val="32"/>
        </w:rPr>
        <w:t>（一）检测机构对其检测场所应具有完全的使用权，并能提供不动产权属证书或租赁合同等证明文件；</w:t>
      </w:r>
    </w:p>
    <w:bookmarkEnd w:id="3"/>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（二）检测机构应具有符合标准或者技术规范要求的检测场所；</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（三）检测工作环境及安全条件应符合检测活动要求；</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（四）检测机构存在两个及以上不同地址的多个检测活动场所，</w:t>
      </w:r>
      <w:r>
        <w:rPr>
          <w:rFonts w:hint="eastAsia" w:ascii="仿宋_GB2312" w:hAnsi="Times New Roman" w:eastAsia="仿宋_GB2312" w:cs="Times New Roman"/>
          <w:color w:val="000000"/>
          <w:kern w:val="2"/>
          <w:sz w:val="32"/>
          <w:szCs w:val="32"/>
          <w:lang w:val="en-US" w:eastAsia="zh-CN"/>
        </w:rPr>
        <w:t>应</w:t>
      </w:r>
      <w:r>
        <w:rPr>
          <w:rFonts w:hint="eastAsia" w:ascii="仿宋_GB2312" w:hAnsi="Times New Roman" w:eastAsia="仿宋_GB2312" w:cs="Times New Roman"/>
          <w:color w:val="000000"/>
          <w:kern w:val="2"/>
          <w:sz w:val="32"/>
          <w:szCs w:val="32"/>
        </w:rPr>
        <w:t>满足本条第（一）、（二）、（三）款的规定。</w:t>
      </w:r>
    </w:p>
    <w:p>
      <w:pPr>
        <w:pStyle w:val="11"/>
        <w:widowControl w:val="0"/>
        <w:shd w:val="clear" w:color="auto" w:fill="FFFFFF"/>
        <w:spacing w:before="0" w:beforeAutospacing="0" w:after="0" w:afterAutospacing="0" w:line="600" w:lineRule="exact"/>
        <w:ind w:firstLine="664" w:firstLineChars="200"/>
        <w:jc w:val="both"/>
        <w:rPr>
          <w:rFonts w:hint="eastAsia" w:ascii="仿宋_GB2312" w:hAnsi="Times New Roman" w:eastAsia="仿宋_GB2312" w:cs="Times New Roman"/>
          <w:color w:val="000000"/>
          <w:spacing w:val="6"/>
          <w:kern w:val="2"/>
          <w:sz w:val="32"/>
          <w:szCs w:val="32"/>
        </w:rPr>
      </w:pPr>
      <w:bookmarkStart w:id="4" w:name="_Hlk146735014"/>
      <w:r>
        <w:rPr>
          <w:rFonts w:hint="eastAsia" w:ascii="方正黑体简体" w:hAnsi="Times New Roman" w:eastAsia="方正黑体简体" w:cs="Times New Roman"/>
          <w:color w:val="000000"/>
          <w:spacing w:val="6"/>
          <w:kern w:val="2"/>
          <w:sz w:val="32"/>
          <w:szCs w:val="32"/>
        </w:rPr>
        <w:t>第十条</w:t>
      </w:r>
      <w:bookmarkEnd w:id="4"/>
      <w:r>
        <w:rPr>
          <w:rFonts w:hint="eastAsia" w:ascii="方正黑体简体" w:hAnsi="Times New Roman" w:eastAsia="方正黑体简体" w:cs="Times New Roman"/>
          <w:color w:val="000000"/>
          <w:spacing w:val="6"/>
          <w:kern w:val="2"/>
          <w:sz w:val="32"/>
          <w:szCs w:val="32"/>
          <w:lang w:val="en-US" w:eastAsia="zh-CN"/>
        </w:rPr>
        <w:t xml:space="preserve">  </w:t>
      </w:r>
      <w:r>
        <w:rPr>
          <w:rFonts w:hint="eastAsia" w:ascii="仿宋_GB2312" w:hAnsi="Times New Roman" w:eastAsia="仿宋_GB2312" w:cs="Times New Roman"/>
          <w:color w:val="000000"/>
          <w:spacing w:val="6"/>
          <w:kern w:val="2"/>
          <w:sz w:val="32"/>
          <w:szCs w:val="32"/>
        </w:rPr>
        <w:t>检测机构的检测设备设施应齐全，其功能、量程、精度，配套设施应当满足资质许可检测参数要求。</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（一）检测机构应配备数量和性能满足检测要求的检测设备设施，并提供检测设备设施权属证明文件；</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（二）检测机构应当对影响检测数据、结果准确性或有效性的设备（包括用于测量环境条件等辅助测量设备）实施检定、校准或核查，保证数据、结果满足计量溯源性要求；</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（三）检测机构使用的标准物质，应当满足计量溯源性要求。可能时，应溯源到国际单位制（SI）单位或有证标准物质；</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（四）</w:t>
      </w:r>
      <w:bookmarkStart w:id="5" w:name="_Hlk146814004"/>
      <w:r>
        <w:rPr>
          <w:rFonts w:hint="eastAsia" w:ascii="仿宋_GB2312" w:hAnsi="Times New Roman" w:eastAsia="仿宋_GB2312" w:cs="Times New Roman"/>
          <w:color w:val="000000"/>
          <w:kern w:val="2"/>
          <w:sz w:val="32"/>
          <w:szCs w:val="32"/>
        </w:rPr>
        <w:t>检测机构应对检测数据具有影响的设备设施制定管理制度，建立设备档案，并指定专人实施动态管理。</w:t>
      </w:r>
      <w:bookmarkEnd w:id="5"/>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方正黑体简体" w:hAnsi="Times New Roman" w:eastAsia="方正黑体简体" w:cs="Times New Roman"/>
          <w:color w:val="000000"/>
          <w:kern w:val="2"/>
          <w:sz w:val="32"/>
          <w:szCs w:val="32"/>
        </w:rPr>
        <w:t>第十</w:t>
      </w:r>
      <w:r>
        <w:rPr>
          <w:rFonts w:hint="eastAsia" w:ascii="方正黑体简体" w:hAnsi="Times New Roman" w:eastAsia="方正黑体简体" w:cs="Times New Roman"/>
          <w:color w:val="000000"/>
          <w:kern w:val="2"/>
          <w:sz w:val="32"/>
          <w:szCs w:val="32"/>
          <w:lang w:val="en-US" w:eastAsia="zh-CN"/>
        </w:rPr>
        <w:t>一</w:t>
      </w:r>
      <w:r>
        <w:rPr>
          <w:rFonts w:hint="eastAsia" w:ascii="方正黑体简体" w:hAnsi="Times New Roman" w:eastAsia="方正黑体简体" w:cs="Times New Roman"/>
          <w:color w:val="000000"/>
          <w:kern w:val="2"/>
          <w:sz w:val="32"/>
          <w:szCs w:val="32"/>
        </w:rPr>
        <w:t>条</w:t>
      </w:r>
      <w:r>
        <w:rPr>
          <w:rFonts w:hint="eastAsia" w:ascii="方正黑体简体" w:hAnsi="Times New Roman" w:eastAsia="方正黑体简体" w:cs="Times New Roman"/>
          <w:color w:val="000000"/>
          <w:kern w:val="2"/>
          <w:sz w:val="32"/>
          <w:szCs w:val="32"/>
          <w:lang w:val="en-US" w:eastAsia="zh-CN"/>
        </w:rPr>
        <w:t xml:space="preserve">  </w:t>
      </w:r>
      <w:r>
        <w:rPr>
          <w:rFonts w:hint="eastAsia" w:ascii="仿宋_GB2312" w:hAnsi="Times New Roman" w:eastAsia="仿宋_GB2312" w:cs="Times New Roman"/>
          <w:color w:val="000000"/>
          <w:kern w:val="2"/>
          <w:sz w:val="32"/>
          <w:szCs w:val="32"/>
        </w:rPr>
        <w:t>检测机构应当有完善的</w:t>
      </w:r>
      <w:bookmarkStart w:id="6" w:name="_Hlk146735929"/>
      <w:r>
        <w:rPr>
          <w:rFonts w:hint="eastAsia" w:ascii="仿宋_GB2312" w:hAnsi="Times New Roman" w:eastAsia="仿宋_GB2312" w:cs="Times New Roman"/>
          <w:color w:val="000000"/>
          <w:kern w:val="2"/>
          <w:sz w:val="32"/>
          <w:szCs w:val="32"/>
        </w:rPr>
        <w:t>组织机构</w:t>
      </w:r>
      <w:bookmarkEnd w:id="6"/>
      <w:r>
        <w:rPr>
          <w:rFonts w:hint="eastAsia" w:ascii="仿宋_GB2312" w:hAnsi="Times New Roman" w:eastAsia="仿宋_GB2312" w:cs="Times New Roman"/>
          <w:color w:val="000000"/>
          <w:kern w:val="2"/>
          <w:sz w:val="32"/>
          <w:szCs w:val="32"/>
        </w:rPr>
        <w:t>和</w:t>
      </w:r>
      <w:bookmarkStart w:id="7" w:name="_Hlk146737491"/>
      <w:r>
        <w:rPr>
          <w:rFonts w:hint="eastAsia" w:ascii="仿宋_GB2312" w:hAnsi="Times New Roman" w:eastAsia="仿宋_GB2312" w:cs="Times New Roman"/>
          <w:color w:val="000000"/>
          <w:kern w:val="2"/>
          <w:sz w:val="32"/>
          <w:szCs w:val="32"/>
        </w:rPr>
        <w:t>质量管理体系</w:t>
      </w:r>
      <w:bookmarkEnd w:id="7"/>
      <w:r>
        <w:rPr>
          <w:rFonts w:hint="eastAsia" w:ascii="仿宋_GB2312" w:hAnsi="Times New Roman" w:eastAsia="仿宋_GB2312" w:cs="Times New Roman"/>
          <w:color w:val="000000"/>
          <w:kern w:val="2"/>
          <w:sz w:val="32"/>
          <w:szCs w:val="32"/>
        </w:rPr>
        <w:t>，有健全的技术、档案等管理制度，并确保组织机构和管理体系能够得到有效、可控、稳定实施，持续符合检测机构资质许可条件以及相关要求。检测机构的质量管理体系应满足现行的《检测和校准实验室能力的通用要求》GB/T27025要求。</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（一）</w:t>
      </w:r>
      <w:bookmarkStart w:id="8" w:name="_Hlk146736845"/>
      <w:r>
        <w:rPr>
          <w:rFonts w:hint="eastAsia" w:ascii="仿宋_GB2312" w:hAnsi="Times New Roman" w:eastAsia="仿宋_GB2312" w:cs="Times New Roman"/>
          <w:color w:val="000000"/>
          <w:kern w:val="2"/>
          <w:sz w:val="32"/>
          <w:szCs w:val="32"/>
        </w:rPr>
        <w:t>检测机构</w:t>
      </w:r>
      <w:bookmarkEnd w:id="8"/>
      <w:r>
        <w:rPr>
          <w:rFonts w:hint="eastAsia" w:ascii="仿宋_GB2312" w:hAnsi="Times New Roman" w:eastAsia="仿宋_GB2312" w:cs="Times New Roman"/>
          <w:color w:val="000000"/>
          <w:kern w:val="2"/>
          <w:sz w:val="32"/>
          <w:szCs w:val="32"/>
        </w:rPr>
        <w:t>应当依据法律法规、标准的规定制定完善的组织机构和管理体系，包括政策、制度、计划、程序和作业指导书等；</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（二）检测机构建立的组织机构和管理体系应当符合自身实际情况并有效运行；</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（三）检测机构建立的组织机构应明确其组织结构及管理、技术运行和支持检测之间的关系，对各层级进行界定，明确职责权限，并在组织机构图中予以指明；</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（四）检测机构的质量管理体系至少应包括下列内容：管理体系文件、管理体系文件的控制、记录控制、应对风险和机遇的措施、改进、纠正措施、内部审核、管理评审等；</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bookmarkStart w:id="9" w:name="_Hlk146738894"/>
      <w:r>
        <w:rPr>
          <w:rFonts w:hint="eastAsia" w:ascii="仿宋_GB2312" w:hAnsi="Times New Roman" w:eastAsia="仿宋_GB2312" w:cs="Times New Roman"/>
          <w:color w:val="000000"/>
          <w:kern w:val="2"/>
          <w:sz w:val="32"/>
          <w:szCs w:val="32"/>
        </w:rPr>
        <w:t>（五）</w:t>
      </w:r>
      <w:bookmarkEnd w:id="9"/>
      <w:r>
        <w:rPr>
          <w:rFonts w:hint="eastAsia" w:ascii="仿宋_GB2312" w:hAnsi="Times New Roman" w:eastAsia="仿宋_GB2312" w:cs="Times New Roman"/>
          <w:color w:val="000000"/>
          <w:kern w:val="2"/>
          <w:sz w:val="32"/>
          <w:szCs w:val="32"/>
        </w:rPr>
        <w:t>检测机构应正确使用有效的方法开展检测活动。检测方法包括标准方法和非标准方法，应当优先使用标准方法。使用标准方法前应当进行验证；使用非标准方法前，应当先对方法进行确认，再验证；</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（六）检测机构出具的检测报告，应当客观真实、方法有效、数据完整准确、信息齐全、结论明确、表述清晰并使用法定计量单位；</w:t>
      </w:r>
    </w:p>
    <w:p>
      <w:pPr>
        <w:pStyle w:val="11"/>
        <w:widowControl w:val="0"/>
        <w:shd w:val="clear" w:color="auto" w:fill="FFFFFF"/>
        <w:spacing w:before="0" w:beforeAutospacing="0" w:after="0" w:afterAutospacing="0" w:line="600" w:lineRule="exact"/>
        <w:ind w:firstLine="64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七）检测机构应当实施有效的数据、结果质量控制活动，质量控制活动应与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p>
    <w:p>
      <w:pPr>
        <w:pStyle w:val="11"/>
        <w:widowControl w:val="0"/>
        <w:shd w:val="clear" w:color="auto" w:fill="FFFFFF"/>
        <w:spacing w:before="0" w:beforeAutospacing="0" w:after="0" w:afterAutospacing="0" w:line="600" w:lineRule="exact"/>
        <w:ind w:firstLine="64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（八）检测机构应有完善的信息化管理系统，应当具有保障安全性、完整性、正确性措施，确保质量检测活动全过程可追溯。</w:t>
      </w:r>
    </w:p>
    <w:p>
      <w:pPr>
        <w:pStyle w:val="19"/>
        <w:jc w:val="center"/>
        <w:rPr>
          <w:rFonts w:hint="eastAsia" w:eastAsia="宋体"/>
          <w:b/>
          <w:bCs/>
          <w:color w:val="000000"/>
          <w:sz w:val="32"/>
          <w:szCs w:val="40"/>
        </w:rPr>
      </w:pPr>
      <w:r>
        <w:rPr>
          <w:rFonts w:hint="eastAsia" w:eastAsia="宋体"/>
          <w:b/>
          <w:bCs/>
          <w:color w:val="000000"/>
          <w:sz w:val="32"/>
          <w:szCs w:val="40"/>
        </w:rPr>
        <w:t>第三章　专家评审</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strike/>
          <w:color w:val="000000"/>
          <w:kern w:val="2"/>
          <w:sz w:val="32"/>
          <w:szCs w:val="32"/>
          <w:highlight w:val="red"/>
        </w:rPr>
      </w:pPr>
      <w:r>
        <w:rPr>
          <w:rFonts w:hint="eastAsia" w:ascii="方正黑体简体" w:hAnsi="Times New Roman" w:eastAsia="方正黑体简体" w:cs="Times New Roman"/>
          <w:color w:val="000000"/>
          <w:kern w:val="2"/>
          <w:sz w:val="32"/>
          <w:szCs w:val="32"/>
        </w:rPr>
        <w:t>第十</w:t>
      </w:r>
      <w:r>
        <w:rPr>
          <w:rFonts w:hint="eastAsia" w:ascii="方正黑体简体" w:hAnsi="Times New Roman" w:eastAsia="方正黑体简体" w:cs="Times New Roman"/>
          <w:color w:val="000000"/>
          <w:kern w:val="2"/>
          <w:sz w:val="32"/>
          <w:szCs w:val="32"/>
          <w:lang w:val="en-US" w:eastAsia="zh-CN"/>
        </w:rPr>
        <w:t>二</w:t>
      </w:r>
      <w:r>
        <w:rPr>
          <w:rFonts w:hint="eastAsia" w:ascii="方正黑体简体" w:hAnsi="Times New Roman" w:eastAsia="方正黑体简体" w:cs="Times New Roman"/>
          <w:color w:val="000000"/>
          <w:kern w:val="2"/>
          <w:sz w:val="32"/>
          <w:szCs w:val="32"/>
        </w:rPr>
        <w:t>条</w:t>
      </w:r>
      <w:r>
        <w:rPr>
          <w:rFonts w:hint="eastAsia" w:ascii="方正黑体简体" w:hAnsi="Times New Roman" w:eastAsia="方正黑体简体" w:cs="Times New Roman"/>
          <w:color w:val="000000"/>
          <w:kern w:val="2"/>
          <w:sz w:val="32"/>
          <w:szCs w:val="32"/>
          <w:lang w:val="en-US" w:eastAsia="zh-CN"/>
        </w:rPr>
        <w:t xml:space="preserve">  </w:t>
      </w:r>
      <w:r>
        <w:rPr>
          <w:rFonts w:hint="eastAsia" w:ascii="仿宋_GB2312" w:hAnsi="Times New Roman" w:eastAsia="仿宋_GB2312" w:cs="Times New Roman"/>
          <w:color w:val="000000"/>
          <w:kern w:val="2"/>
          <w:sz w:val="32"/>
          <w:szCs w:val="32"/>
        </w:rPr>
        <w:t>检测机构资质许可专家评审方式包括：现场评审和书面评审。</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bookmarkStart w:id="10" w:name="_Hlk146741757"/>
      <w:r>
        <w:rPr>
          <w:rFonts w:hint="eastAsia" w:ascii="方正黑体简体" w:hAnsi="Times New Roman" w:eastAsia="方正黑体简体" w:cs="Times New Roman"/>
          <w:color w:val="000000"/>
          <w:kern w:val="2"/>
          <w:sz w:val="32"/>
          <w:szCs w:val="32"/>
        </w:rPr>
        <w:t>第十</w:t>
      </w:r>
      <w:r>
        <w:rPr>
          <w:rFonts w:hint="eastAsia" w:ascii="方正黑体简体" w:hAnsi="Times New Roman" w:eastAsia="方正黑体简体" w:cs="Times New Roman"/>
          <w:color w:val="000000"/>
          <w:kern w:val="2"/>
          <w:sz w:val="32"/>
          <w:szCs w:val="32"/>
          <w:lang w:val="en-US" w:eastAsia="zh-CN"/>
        </w:rPr>
        <w:t>三</w:t>
      </w:r>
      <w:r>
        <w:rPr>
          <w:rFonts w:hint="eastAsia" w:ascii="方正黑体简体" w:hAnsi="Times New Roman" w:eastAsia="方正黑体简体" w:cs="Times New Roman"/>
          <w:color w:val="000000"/>
          <w:kern w:val="2"/>
          <w:sz w:val="32"/>
          <w:szCs w:val="32"/>
        </w:rPr>
        <w:t>条</w:t>
      </w:r>
      <w:bookmarkEnd w:id="10"/>
      <w:r>
        <w:rPr>
          <w:rFonts w:hint="eastAsia" w:ascii="方正黑体简体" w:hAnsi="Times New Roman" w:eastAsia="方正黑体简体" w:cs="Times New Roman"/>
          <w:color w:val="000000"/>
          <w:kern w:val="2"/>
          <w:sz w:val="32"/>
          <w:szCs w:val="32"/>
          <w:lang w:val="en-US" w:eastAsia="zh-CN"/>
        </w:rPr>
        <w:t xml:space="preserve">  </w:t>
      </w:r>
      <w:r>
        <w:rPr>
          <w:rFonts w:hint="eastAsia" w:ascii="仿宋_GB2312" w:hAnsi="Times New Roman" w:eastAsia="仿宋_GB2312" w:cs="Times New Roman"/>
          <w:color w:val="000000"/>
          <w:kern w:val="2"/>
          <w:sz w:val="32"/>
          <w:szCs w:val="32"/>
        </w:rPr>
        <w:t>现场评审适用于初次申请、资质增项、变更、复查换证评审、机构重组（改制）变更等情形。</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现场评审结论分为“符合”“基本符合</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lang w:val="en-US" w:eastAsia="zh-CN"/>
        </w:rPr>
        <w:t>整改建议</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rPr>
        <w:t>”“不符合”三种。</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方正黑体简体" w:hAnsi="Times New Roman" w:eastAsia="方正黑体简体" w:cs="Times New Roman"/>
          <w:color w:val="000000"/>
          <w:kern w:val="2"/>
          <w:sz w:val="32"/>
          <w:szCs w:val="32"/>
        </w:rPr>
        <w:t>第十</w:t>
      </w:r>
      <w:r>
        <w:rPr>
          <w:rFonts w:hint="eastAsia" w:ascii="方正黑体简体" w:hAnsi="Times New Roman" w:eastAsia="方正黑体简体" w:cs="Times New Roman"/>
          <w:color w:val="000000"/>
          <w:kern w:val="2"/>
          <w:sz w:val="32"/>
          <w:szCs w:val="32"/>
          <w:lang w:val="en-US" w:eastAsia="zh-CN"/>
        </w:rPr>
        <w:t>四</w:t>
      </w:r>
      <w:r>
        <w:rPr>
          <w:rFonts w:hint="eastAsia" w:ascii="方正黑体简体" w:hAnsi="Times New Roman" w:eastAsia="方正黑体简体" w:cs="Times New Roman"/>
          <w:color w:val="000000"/>
          <w:kern w:val="2"/>
          <w:sz w:val="32"/>
          <w:szCs w:val="32"/>
        </w:rPr>
        <w:t>条</w:t>
      </w:r>
      <w:r>
        <w:rPr>
          <w:rFonts w:hint="eastAsia" w:ascii="方正黑体简体" w:hAnsi="Times New Roman" w:eastAsia="方正黑体简体" w:cs="Times New Roman"/>
          <w:color w:val="000000"/>
          <w:kern w:val="2"/>
          <w:sz w:val="32"/>
          <w:szCs w:val="32"/>
          <w:lang w:val="en-US" w:eastAsia="zh-CN"/>
        </w:rPr>
        <w:t xml:space="preserve">  </w:t>
      </w:r>
      <w:r>
        <w:rPr>
          <w:rFonts w:hint="eastAsia" w:ascii="仿宋_GB2312" w:hAnsi="Times New Roman" w:eastAsia="仿宋_GB2312" w:cs="Times New Roman"/>
          <w:color w:val="000000"/>
          <w:kern w:val="2"/>
          <w:sz w:val="32"/>
          <w:szCs w:val="32"/>
        </w:rPr>
        <w:t>书面评审适用于已获资质许可，进行技术能力内的少量参数扩项或变更</w:t>
      </w:r>
      <w:r>
        <w:rPr>
          <w:rFonts w:hint="eastAsia" w:ascii="仿宋_GB2312" w:hAnsi="Times New Roman" w:eastAsia="仿宋_GB2312" w:cs="Times New Roman"/>
          <w:color w:val="000000"/>
          <w:kern w:val="2"/>
          <w:sz w:val="32"/>
          <w:szCs w:val="32"/>
          <w:lang w:val="en-US" w:eastAsia="zh-CN"/>
        </w:rPr>
        <w:t>事项</w:t>
      </w:r>
      <w:r>
        <w:rPr>
          <w:rFonts w:hint="eastAsia" w:ascii="仿宋_GB2312" w:hAnsi="Times New Roman" w:eastAsia="仿宋_GB2312" w:cs="Times New Roman"/>
          <w:color w:val="000000"/>
          <w:kern w:val="2"/>
          <w:sz w:val="32"/>
          <w:szCs w:val="32"/>
        </w:rPr>
        <w:t>（不影响其符合资质认定条件和要求）和上一许可周期内无违法违规行为、未列入失信名单且申请事项无实质性变化等情形。</w:t>
      </w:r>
    </w:p>
    <w:p>
      <w:pPr>
        <w:pStyle w:val="11"/>
        <w:widowControl w:val="0"/>
        <w:shd w:val="clear" w:color="auto" w:fill="FFFFFF"/>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书面审查结论分为“符合”“不符合”两种。</w:t>
      </w:r>
    </w:p>
    <w:p>
      <w:pPr>
        <w:spacing w:line="600" w:lineRule="exact"/>
        <w:ind w:firstLine="640" w:firstLineChars="200"/>
        <w:rPr>
          <w:rFonts w:hint="eastAsia" w:ascii="仿宋_GB2312" w:hAnsi="Times New Roman" w:eastAsia="仿宋_GB2312"/>
          <w:color w:val="000000"/>
          <w:sz w:val="32"/>
          <w:szCs w:val="32"/>
          <w:highlight w:val="blue"/>
        </w:rPr>
      </w:pPr>
      <w:r>
        <w:rPr>
          <w:rFonts w:hint="eastAsia" w:ascii="方正黑体简体" w:hAnsi="Times New Roman" w:eastAsia="方正黑体简体"/>
          <w:color w:val="000000"/>
          <w:sz w:val="32"/>
          <w:szCs w:val="32"/>
        </w:rPr>
        <w:t>第十</w:t>
      </w:r>
      <w:r>
        <w:rPr>
          <w:rFonts w:hint="eastAsia" w:ascii="方正黑体简体" w:hAnsi="Times New Roman" w:eastAsia="方正黑体简体"/>
          <w:color w:val="000000"/>
          <w:sz w:val="32"/>
          <w:szCs w:val="32"/>
          <w:lang w:val="en-US" w:eastAsia="zh-CN"/>
        </w:rPr>
        <w:t>五</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省住建厅根据检测机构申请的资质类别和检测项目，按照专业覆盖和回避原则，从专家库中随机抽选评审组长和评审专家，组成评审组。评审组中同一检测机构专家原则上不得多于2名。</w:t>
      </w:r>
    </w:p>
    <w:p>
      <w:pPr>
        <w:spacing w:line="60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评审组应由2人及以上专家组成，设组长1名（以下称评审组长）。每个申请资质类别应至少保证有1名专业或相关专业专家。</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第十</w:t>
      </w:r>
      <w:r>
        <w:rPr>
          <w:rFonts w:hint="eastAsia" w:ascii="方正黑体简体" w:hAnsi="Times New Roman" w:eastAsia="方正黑体简体"/>
          <w:color w:val="000000"/>
          <w:sz w:val="32"/>
          <w:szCs w:val="32"/>
          <w:lang w:val="en-US" w:eastAsia="zh-CN"/>
        </w:rPr>
        <w:t>六</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评审组</w:t>
      </w:r>
      <w:r>
        <w:rPr>
          <w:rFonts w:hint="eastAsia" w:ascii="仿宋_GB2312" w:hAnsi="Times New Roman" w:eastAsia="仿宋_GB2312"/>
          <w:color w:val="000000"/>
          <w:sz w:val="32"/>
          <w:szCs w:val="32"/>
          <w:lang w:val="en-US" w:eastAsia="zh-CN"/>
        </w:rPr>
        <w:t>应</w:t>
      </w:r>
      <w:r>
        <w:rPr>
          <w:rFonts w:hint="eastAsia" w:ascii="仿宋_GB2312" w:hAnsi="Times New Roman" w:eastAsia="仿宋_GB2312"/>
          <w:color w:val="000000"/>
          <w:sz w:val="32"/>
          <w:szCs w:val="32"/>
        </w:rPr>
        <w:t>在规定时限内完成各项专家评审工作，如实上报评审结果，并对评审结果负责。</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第十</w:t>
      </w:r>
      <w:r>
        <w:rPr>
          <w:rFonts w:hint="eastAsia" w:ascii="方正黑体简体" w:hAnsi="Times New Roman" w:eastAsia="方正黑体简体"/>
          <w:color w:val="000000"/>
          <w:sz w:val="32"/>
          <w:szCs w:val="32"/>
          <w:lang w:val="en-US" w:eastAsia="zh-CN"/>
        </w:rPr>
        <w:t>七</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评审组长在开展现场评审前应召开全体评审组成员参加的预备会议。必要时，可邀请被评审检测机构代表列席。预备会议主要内容应明确现场评审计划、专家分工、抽取现场考核参数和检测操作人员等，并提出现场评审工作要求。</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第十</w:t>
      </w:r>
      <w:r>
        <w:rPr>
          <w:rFonts w:hint="eastAsia" w:ascii="方正黑体简体" w:hAnsi="Times New Roman" w:eastAsia="方正黑体简体"/>
          <w:color w:val="000000"/>
          <w:sz w:val="32"/>
          <w:szCs w:val="32"/>
          <w:lang w:val="en-US" w:eastAsia="zh-CN"/>
        </w:rPr>
        <w:t>八</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首次会议由评审组长主持，评审组全体成员和检测机构法定代表人、技术负责人、质量负责人、部门负责人等主要人员参加。首次会议应向检测机构明确现场评审工作安排及有关要求等。</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第十</w:t>
      </w:r>
      <w:r>
        <w:rPr>
          <w:rFonts w:hint="eastAsia" w:ascii="方正黑体简体" w:hAnsi="Times New Roman" w:eastAsia="方正黑体简体"/>
          <w:color w:val="000000"/>
          <w:sz w:val="32"/>
          <w:szCs w:val="32"/>
          <w:lang w:val="en-US" w:eastAsia="zh-CN"/>
        </w:rPr>
        <w:t>九</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首次会议结束后，评审组对检测机构的关键场所及工作场地、环境条件、仪器设备、设施等进行现场考察，必要时应对相关检测人员进行提问。</w:t>
      </w:r>
    </w:p>
    <w:p>
      <w:pPr>
        <w:spacing w:line="60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存在多场所的检测机构，评审组必须对每个场所进行全面的现场考察。</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第二十条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现场评审应按本导则第二章评审内容要求，通过查阅资料、现场提问、现场座谈、见证现场检测等方式收集客观证据，开展现场评审工作。</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第二十</w:t>
      </w:r>
      <w:r>
        <w:rPr>
          <w:rFonts w:hint="eastAsia" w:ascii="方正黑体简体" w:hAnsi="Times New Roman" w:eastAsia="方正黑体简体"/>
          <w:color w:val="000000"/>
          <w:sz w:val="32"/>
          <w:szCs w:val="32"/>
          <w:lang w:val="en-US" w:eastAsia="zh-CN"/>
        </w:rPr>
        <w:t>一</w:t>
      </w:r>
      <w:r>
        <w:rPr>
          <w:rFonts w:hint="eastAsia" w:ascii="方正黑体简体" w:hAnsi="Times New Roman" w:eastAsia="方正黑体简体"/>
          <w:color w:val="000000"/>
          <w:sz w:val="32"/>
          <w:szCs w:val="32"/>
        </w:rPr>
        <w:t>条</w:t>
      </w:r>
      <w:bookmarkStart w:id="11" w:name="_Hlk146810892"/>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现场检测项目</w:t>
      </w:r>
      <w:bookmarkEnd w:id="11"/>
      <w:r>
        <w:rPr>
          <w:rFonts w:hint="eastAsia" w:ascii="仿宋_GB2312" w:hAnsi="Times New Roman" w:eastAsia="仿宋_GB2312"/>
          <w:color w:val="000000"/>
          <w:sz w:val="32"/>
          <w:szCs w:val="32"/>
        </w:rPr>
        <w:t>（参数）抽取应具有代表性，抽取比例应符合以下原则：</w:t>
      </w:r>
    </w:p>
    <w:p>
      <w:pPr>
        <w:spacing w:line="60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（一）属于初次/增项等评审项目的，检测项目应做到全覆盖，参数按照</w:t>
      </w:r>
      <w:bookmarkStart w:id="12" w:name="_Hlk146810524"/>
      <w:r>
        <w:rPr>
          <w:rFonts w:hint="eastAsia" w:ascii="仿宋_GB2312" w:hAnsi="Times New Roman" w:eastAsia="仿宋_GB2312"/>
          <w:color w:val="000000"/>
          <w:sz w:val="32"/>
          <w:szCs w:val="32"/>
        </w:rPr>
        <w:t>必备参数</w:t>
      </w:r>
      <w:bookmarkEnd w:id="12"/>
      <w:r>
        <w:rPr>
          <w:rFonts w:hint="eastAsia" w:ascii="仿宋_GB2312" w:hAnsi="Times New Roman" w:eastAsia="仿宋_GB2312"/>
          <w:color w:val="000000"/>
          <w:sz w:val="32"/>
          <w:szCs w:val="32"/>
        </w:rPr>
        <w:t>不少于15%-20%、可选参数不少于10%-15%的比例进行抽取，且应包含具有代表性的检测项目（参数）,并应覆盖其关键仪器设备；</w:t>
      </w:r>
    </w:p>
    <w:p>
      <w:pPr>
        <w:spacing w:line="60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（二）现场检测项目应覆盖检测机构申请的80%以上主要人员。</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第二十</w:t>
      </w:r>
      <w:r>
        <w:rPr>
          <w:rFonts w:hint="eastAsia" w:ascii="方正黑体简体" w:hAnsi="Times New Roman" w:eastAsia="方正黑体简体"/>
          <w:color w:val="000000"/>
          <w:sz w:val="32"/>
          <w:szCs w:val="32"/>
          <w:lang w:val="en-US" w:eastAsia="zh-CN"/>
        </w:rPr>
        <w:t>二</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评审组成员应在评审过程中认真做好相关记录，并如实填写《</w:t>
      </w:r>
      <w:bookmarkStart w:id="13" w:name="_Hlk148344269"/>
      <w:r>
        <w:rPr>
          <w:rFonts w:hint="eastAsia" w:ascii="仿宋_GB2312" w:hAnsi="Times New Roman" w:eastAsia="仿宋_GB2312"/>
          <w:color w:val="000000"/>
          <w:sz w:val="32"/>
          <w:szCs w:val="32"/>
        </w:rPr>
        <w:t>建设工程质量检测机构资质许可</w:t>
      </w:r>
      <w:bookmarkEnd w:id="13"/>
      <w:r>
        <w:rPr>
          <w:rFonts w:hint="eastAsia" w:ascii="仿宋_GB2312" w:hAnsi="Times New Roman" w:eastAsia="仿宋_GB2312"/>
          <w:color w:val="000000"/>
          <w:sz w:val="32"/>
          <w:szCs w:val="32"/>
        </w:rPr>
        <w:t>专家现场评审记录》（附件1）（以下简称评审记录）。</w:t>
      </w:r>
    </w:p>
    <w:p>
      <w:pPr>
        <w:spacing w:line="600" w:lineRule="exact"/>
        <w:ind w:firstLine="960" w:firstLineChars="300"/>
        <w:rPr>
          <w:rFonts w:hint="eastAsia" w:ascii="仿宋_GB2312" w:hAnsi="Times New Roman" w:eastAsia="仿宋_GB2312"/>
          <w:strike/>
          <w:color w:val="000000"/>
          <w:sz w:val="32"/>
          <w:szCs w:val="32"/>
        </w:rPr>
      </w:pPr>
      <w:r>
        <w:rPr>
          <w:rFonts w:hint="eastAsia" w:ascii="仿宋_GB2312" w:hAnsi="Times New Roman" w:eastAsia="仿宋_GB2312"/>
          <w:color w:val="000000"/>
          <w:sz w:val="32"/>
          <w:szCs w:val="32"/>
        </w:rPr>
        <w:t>评审组长负责收集汇总评审文件、撰写评审组意见，完成</w:t>
      </w:r>
      <w:bookmarkStart w:id="14" w:name="_Hlk146813333"/>
      <w:r>
        <w:rPr>
          <w:rFonts w:hint="eastAsia" w:ascii="仿宋_GB2312" w:hAnsi="Times New Roman" w:eastAsia="仿宋_GB2312"/>
          <w:color w:val="000000"/>
          <w:sz w:val="32"/>
          <w:szCs w:val="32"/>
        </w:rPr>
        <w:t>《建设工程质量检测机构资质许可专家评审报告》</w:t>
      </w:r>
      <w:bookmarkEnd w:id="14"/>
      <w:r>
        <w:rPr>
          <w:rFonts w:hint="eastAsia" w:ascii="仿宋_GB2312" w:hAnsi="Times New Roman" w:eastAsia="仿宋_GB2312"/>
          <w:color w:val="000000"/>
          <w:sz w:val="32"/>
          <w:szCs w:val="32"/>
        </w:rPr>
        <w:t>（附件2）（以下简称评审报告）。</w:t>
      </w:r>
    </w:p>
    <w:p>
      <w:pPr>
        <w:spacing w:line="600" w:lineRule="exact"/>
        <w:ind w:firstLine="640" w:firstLineChars="200"/>
        <w:rPr>
          <w:rFonts w:hint="eastAsia" w:ascii="仿宋_GB2312" w:hAnsi="Times New Roman" w:eastAsia="仿宋_GB2312"/>
          <w:color w:val="000000"/>
          <w:sz w:val="32"/>
          <w:szCs w:val="32"/>
        </w:rPr>
      </w:pPr>
      <w:bookmarkStart w:id="15" w:name="_Hlk146813388"/>
      <w:r>
        <w:rPr>
          <w:rFonts w:hint="eastAsia" w:ascii="方正黑体简体" w:hAnsi="Times New Roman" w:eastAsia="方正黑体简体"/>
          <w:color w:val="000000"/>
          <w:sz w:val="32"/>
          <w:szCs w:val="32"/>
        </w:rPr>
        <w:t>第二十</w:t>
      </w:r>
      <w:r>
        <w:rPr>
          <w:rFonts w:hint="eastAsia" w:ascii="方正黑体简体" w:hAnsi="Times New Roman" w:eastAsia="方正黑体简体"/>
          <w:color w:val="000000"/>
          <w:sz w:val="32"/>
          <w:szCs w:val="32"/>
          <w:lang w:val="en-US" w:eastAsia="zh-CN"/>
        </w:rPr>
        <w:t>三</w:t>
      </w:r>
      <w:r>
        <w:rPr>
          <w:rFonts w:hint="eastAsia" w:ascii="方正黑体简体" w:hAnsi="Times New Roman" w:eastAsia="方正黑体简体"/>
          <w:color w:val="000000"/>
          <w:sz w:val="32"/>
          <w:szCs w:val="32"/>
        </w:rPr>
        <w:t>条</w:t>
      </w:r>
      <w:bookmarkEnd w:id="15"/>
      <w:r>
        <w:rPr>
          <w:rFonts w:hint="eastAsia" w:ascii="仿宋_GB2312" w:hAnsi="Times New Roman" w:eastAsia="仿宋_GB2312"/>
          <w:color w:val="000000"/>
          <w:sz w:val="32"/>
          <w:szCs w:val="32"/>
        </w:rPr>
        <w:t xml:space="preserve"> </w:t>
      </w:r>
      <w:bookmarkStart w:id="16" w:name="_Hlk146807989"/>
      <w:r>
        <w:rPr>
          <w:rFonts w:hint="eastAsia" w:ascii="仿宋_GB2312" w:hAnsi="Times New Roman" w:eastAsia="仿宋_GB2312"/>
          <w:color w:val="000000"/>
          <w:sz w:val="32"/>
          <w:szCs w:val="32"/>
          <w:lang w:val="en-US" w:eastAsia="zh-CN"/>
        </w:rPr>
        <w:t xml:space="preserve"> </w:t>
      </w:r>
      <w:r>
        <w:rPr>
          <w:rFonts w:hint="eastAsia" w:ascii="仿宋_GB2312" w:hAnsi="Times New Roman" w:eastAsia="仿宋_GB2312"/>
          <w:color w:val="000000"/>
          <w:sz w:val="32"/>
          <w:szCs w:val="32"/>
        </w:rPr>
        <w:t>现场评审结束前，应由评审组长召集末次会议，向检测机构宣布评审组意见。末次会议由评审组全体成员参加，检测机构法定代表人、技术负责人、质量负责人、部门负责人和报告批准人等主要人员参加。</w:t>
      </w:r>
    </w:p>
    <w:bookmarkEnd w:id="16"/>
    <w:p>
      <w:pPr>
        <w:spacing w:line="600" w:lineRule="exact"/>
        <w:ind w:firstLine="640" w:firstLineChars="200"/>
        <w:rPr>
          <w:rFonts w:hint="eastAsia" w:ascii="仿宋_GB2312" w:hAnsi="Times New Roman" w:eastAsia="仿宋_GB2312"/>
          <w:strike/>
          <w:color w:val="000000"/>
          <w:sz w:val="32"/>
          <w:szCs w:val="32"/>
          <w:highlight w:val="red"/>
        </w:rPr>
      </w:pPr>
      <w:r>
        <w:rPr>
          <w:rFonts w:hint="eastAsia" w:ascii="方正黑体简体" w:hAnsi="Times New Roman" w:eastAsia="方正黑体简体"/>
          <w:color w:val="000000"/>
          <w:sz w:val="32"/>
          <w:szCs w:val="32"/>
        </w:rPr>
        <w:t>第二十</w:t>
      </w:r>
      <w:r>
        <w:rPr>
          <w:rFonts w:hint="eastAsia" w:ascii="方正黑体简体" w:hAnsi="Times New Roman" w:eastAsia="方正黑体简体"/>
          <w:color w:val="000000"/>
          <w:sz w:val="32"/>
          <w:szCs w:val="32"/>
          <w:lang w:val="en-US" w:eastAsia="zh-CN"/>
        </w:rPr>
        <w:t>四</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末次会议结束后，评审组全体成员应及时签署</w:t>
      </w:r>
      <w:bookmarkStart w:id="17" w:name="_Hlk146811258"/>
      <w:r>
        <w:rPr>
          <w:rFonts w:hint="eastAsia" w:ascii="仿宋_GB2312" w:hAnsi="Times New Roman" w:eastAsia="仿宋_GB2312"/>
          <w:color w:val="000000"/>
          <w:sz w:val="32"/>
          <w:szCs w:val="32"/>
        </w:rPr>
        <w:t>《评审报告》</w:t>
      </w:r>
      <w:bookmarkEnd w:id="17"/>
      <w:r>
        <w:rPr>
          <w:rFonts w:hint="eastAsia" w:ascii="仿宋_GB2312" w:hAnsi="Times New Roman" w:eastAsia="仿宋_GB2312"/>
          <w:color w:val="000000"/>
          <w:sz w:val="32"/>
          <w:szCs w:val="32"/>
        </w:rPr>
        <w:t>并经检测机构签字确认。确认后的结果同步上传许可系统。</w:t>
      </w:r>
    </w:p>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w:t>
      </w:r>
      <w:bookmarkStart w:id="18" w:name="_Hlk148342968"/>
      <w:r>
        <w:rPr>
          <w:rFonts w:hint="eastAsia" w:ascii="方正黑体简体" w:hAnsi="Times New Roman" w:eastAsia="方正黑体简体"/>
          <w:color w:val="000000"/>
          <w:sz w:val="32"/>
          <w:szCs w:val="32"/>
        </w:rPr>
        <w:t>二十</w:t>
      </w:r>
      <w:bookmarkEnd w:id="18"/>
      <w:r>
        <w:rPr>
          <w:rFonts w:hint="eastAsia" w:ascii="方正黑体简体" w:hAnsi="Times New Roman" w:eastAsia="方正黑体简体"/>
          <w:color w:val="000000"/>
          <w:sz w:val="32"/>
          <w:szCs w:val="32"/>
          <w:lang w:val="en-US" w:eastAsia="zh-CN"/>
        </w:rPr>
        <w:t>五</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当评审结果为基本符合</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整改建议</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时，</w:t>
      </w:r>
      <w:bookmarkStart w:id="19" w:name="_Hlk148430631"/>
      <w:bookmarkStart w:id="20" w:name="_Hlk148430615"/>
      <w:r>
        <w:rPr>
          <w:rFonts w:hint="eastAsia" w:ascii="仿宋_GB2312" w:hAnsi="Times New Roman" w:eastAsia="仿宋_GB2312"/>
          <w:color w:val="000000"/>
          <w:sz w:val="32"/>
          <w:szCs w:val="32"/>
        </w:rPr>
        <w:t>检测机构在规定的时限内对评审组提出的不符合项、基本符合项进行有效整改。整改完成后形成书面材料，</w:t>
      </w:r>
      <w:r>
        <w:rPr>
          <w:rFonts w:hint="eastAsia" w:ascii="仿宋_GB2312" w:hAnsi="Times New Roman" w:eastAsia="仿宋_GB2312"/>
          <w:color w:val="000000"/>
          <w:sz w:val="32"/>
          <w:szCs w:val="32"/>
          <w:lang w:val="en-US" w:eastAsia="zh-CN"/>
        </w:rPr>
        <w:t>由省厅安排评审人员</w:t>
      </w:r>
      <w:r>
        <w:rPr>
          <w:rFonts w:hint="eastAsia" w:ascii="仿宋_GB2312" w:hAnsi="Times New Roman" w:eastAsia="仿宋_GB2312"/>
          <w:color w:val="000000"/>
          <w:sz w:val="32"/>
          <w:szCs w:val="32"/>
        </w:rPr>
        <w:t>及时对整改措施的有效性和符合性进行验证</w:t>
      </w:r>
      <w:bookmarkEnd w:id="19"/>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验证结果同步上传许可系统。</w:t>
      </w:r>
    </w:p>
    <w:bookmarkEnd w:id="20"/>
    <w:p>
      <w:pPr>
        <w:spacing w:line="600" w:lineRule="exact"/>
        <w:ind w:firstLine="640" w:firstLineChars="200"/>
        <w:rPr>
          <w:rFonts w:hint="eastAsia" w:ascii="仿宋_GB2312" w:hAnsi="Times New Roman" w:eastAsia="仿宋_GB2312"/>
          <w:color w:val="000000"/>
          <w:sz w:val="32"/>
          <w:szCs w:val="32"/>
        </w:rPr>
      </w:pPr>
      <w:r>
        <w:rPr>
          <w:rFonts w:hint="eastAsia" w:ascii="方正黑体简体" w:hAnsi="Times New Roman" w:eastAsia="方正黑体简体"/>
          <w:color w:val="000000"/>
          <w:sz w:val="32"/>
          <w:szCs w:val="32"/>
        </w:rPr>
        <w:t>第二十</w:t>
      </w:r>
      <w:r>
        <w:rPr>
          <w:rFonts w:hint="eastAsia" w:ascii="方正黑体简体" w:hAnsi="Times New Roman" w:eastAsia="方正黑体简体"/>
          <w:color w:val="000000"/>
          <w:sz w:val="32"/>
          <w:szCs w:val="32"/>
          <w:lang w:val="en-US" w:eastAsia="zh-CN"/>
        </w:rPr>
        <w:t>六</w:t>
      </w:r>
      <w:r>
        <w:rPr>
          <w:rFonts w:hint="eastAsia" w:ascii="方正黑体简体" w:hAnsi="Times New Roman" w:eastAsia="方正黑体简体"/>
          <w:color w:val="000000"/>
          <w:sz w:val="32"/>
          <w:szCs w:val="32"/>
        </w:rPr>
        <w:t>条</w:t>
      </w:r>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现场评审结束后，评审组长应及时收集、整理评审档案，并于该检测机构现场评审周期内，将《评审报告》、《评审记录》等相关纸质文本与电子文本上报省住建厅。</w:t>
      </w:r>
    </w:p>
    <w:p>
      <w:pPr>
        <w:spacing w:line="600" w:lineRule="exact"/>
        <w:ind w:firstLine="640" w:firstLineChars="200"/>
        <w:rPr>
          <w:rFonts w:hint="eastAsia" w:ascii="仿宋_GB2312" w:hAnsi="Times New Roman" w:eastAsia="仿宋_GB2312"/>
          <w:color w:val="000000"/>
          <w:sz w:val="32"/>
          <w:szCs w:val="32"/>
        </w:rPr>
      </w:pPr>
      <w:bookmarkStart w:id="21" w:name="_Hlk146743728"/>
      <w:r>
        <w:rPr>
          <w:rFonts w:hint="eastAsia" w:ascii="方正黑体简体" w:hAnsi="Times New Roman" w:eastAsia="方正黑体简体"/>
          <w:color w:val="000000"/>
          <w:sz w:val="32"/>
          <w:szCs w:val="32"/>
        </w:rPr>
        <w:t>第</w:t>
      </w:r>
      <w:r>
        <w:rPr>
          <w:rFonts w:hint="eastAsia" w:ascii="方正黑体简体" w:hAnsi="Times New Roman" w:eastAsia="方正黑体简体"/>
          <w:color w:val="000000"/>
          <w:sz w:val="32"/>
          <w:szCs w:val="32"/>
          <w:lang w:val="en-US" w:eastAsia="zh-CN"/>
        </w:rPr>
        <w:t>二</w:t>
      </w:r>
      <w:r>
        <w:rPr>
          <w:rFonts w:hint="eastAsia" w:ascii="方正黑体简体" w:hAnsi="Times New Roman" w:eastAsia="方正黑体简体"/>
          <w:color w:val="000000"/>
          <w:sz w:val="32"/>
          <w:szCs w:val="32"/>
        </w:rPr>
        <w:t>十</w:t>
      </w:r>
      <w:r>
        <w:rPr>
          <w:rFonts w:hint="eastAsia" w:ascii="方正黑体简体" w:hAnsi="Times New Roman" w:eastAsia="方正黑体简体"/>
          <w:color w:val="000000"/>
          <w:sz w:val="32"/>
          <w:szCs w:val="32"/>
          <w:lang w:val="en-US" w:eastAsia="zh-CN"/>
        </w:rPr>
        <w:t>七</w:t>
      </w:r>
      <w:r>
        <w:rPr>
          <w:rFonts w:hint="eastAsia" w:ascii="方正黑体简体" w:hAnsi="Times New Roman" w:eastAsia="方正黑体简体"/>
          <w:color w:val="000000"/>
          <w:sz w:val="32"/>
          <w:szCs w:val="32"/>
        </w:rPr>
        <w:t>条</w:t>
      </w:r>
      <w:bookmarkEnd w:id="21"/>
      <w:r>
        <w:rPr>
          <w:rFonts w:hint="eastAsia" w:ascii="方正黑体简体" w:hAnsi="Times New Roman" w:eastAsia="方正黑体简体"/>
          <w:color w:val="000000"/>
          <w:sz w:val="32"/>
          <w:szCs w:val="32"/>
          <w:lang w:val="en-US" w:eastAsia="zh-CN"/>
        </w:rPr>
        <w:t xml:space="preserve">  </w:t>
      </w:r>
      <w:r>
        <w:rPr>
          <w:rFonts w:hint="eastAsia" w:ascii="仿宋_GB2312" w:hAnsi="Times New Roman" w:eastAsia="仿宋_GB2312"/>
          <w:color w:val="000000"/>
          <w:sz w:val="32"/>
          <w:szCs w:val="32"/>
        </w:rPr>
        <w:t>发生下列情况之一，评审组暂停现场评审，经报告省住建厅同意后可终止现场评审工作，并形成终止评审报告：</w:t>
      </w:r>
    </w:p>
    <w:p>
      <w:pPr>
        <w:numPr>
          <w:ilvl w:val="0"/>
          <w:numId w:val="1"/>
        </w:numPr>
        <w:spacing w:line="600" w:lineRule="exact"/>
        <w:ind w:left="-10" w:firstLine="640"/>
        <w:rPr>
          <w:rFonts w:hint="eastAsia" w:ascii="仿宋_GB2312" w:hAnsi="Times New Roman" w:eastAsia="仿宋_GB2312"/>
          <w:color w:val="000000"/>
          <w:sz w:val="32"/>
          <w:szCs w:val="32"/>
        </w:rPr>
      </w:pPr>
      <w:bookmarkStart w:id="22" w:name="_Hlk146810947"/>
      <w:r>
        <w:rPr>
          <w:rFonts w:hint="eastAsia" w:ascii="仿宋_GB2312" w:hAnsi="Times New Roman" w:eastAsia="仿宋_GB2312"/>
          <w:color w:val="000000"/>
          <w:sz w:val="32"/>
          <w:szCs w:val="32"/>
        </w:rPr>
        <w:t>检测机构实际状况与申请</w:t>
      </w:r>
      <w:bookmarkEnd w:id="22"/>
      <w:r>
        <w:rPr>
          <w:rFonts w:hint="eastAsia" w:ascii="仿宋_GB2312" w:hAnsi="Times New Roman" w:eastAsia="仿宋_GB2312"/>
          <w:color w:val="000000"/>
          <w:sz w:val="32"/>
          <w:szCs w:val="32"/>
        </w:rPr>
        <w:t>资料严重不符，包括人员、场地等强制性指标要求的实际情况低于材料申报内容；</w:t>
      </w:r>
    </w:p>
    <w:p>
      <w:pPr>
        <w:numPr>
          <w:ilvl w:val="0"/>
          <w:numId w:val="1"/>
        </w:numPr>
        <w:spacing w:line="600" w:lineRule="exact"/>
        <w:ind w:left="-10"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检测机构有意干扰评审工作，评审工作不能正常进行；</w:t>
      </w:r>
    </w:p>
    <w:p>
      <w:pPr>
        <w:numPr>
          <w:ilvl w:val="0"/>
          <w:numId w:val="1"/>
        </w:numPr>
        <w:spacing w:line="600" w:lineRule="exact"/>
        <w:ind w:left="-10"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发现检测机构存在伪造检测数据、出具虚假检测报告的行为；</w:t>
      </w:r>
    </w:p>
    <w:p>
      <w:pPr>
        <w:numPr>
          <w:ilvl w:val="0"/>
          <w:numId w:val="1"/>
        </w:numPr>
        <w:spacing w:line="600" w:lineRule="exact"/>
        <w:ind w:left="-10"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存在相关人员冒名顶替情况；</w:t>
      </w:r>
    </w:p>
    <w:p>
      <w:pPr>
        <w:numPr>
          <w:ilvl w:val="0"/>
          <w:numId w:val="1"/>
        </w:numPr>
        <w:spacing w:line="600" w:lineRule="exact"/>
        <w:ind w:left="-10"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检测机构存在其他严重的违法违规问题。</w:t>
      </w:r>
    </w:p>
    <w:p>
      <w:pPr>
        <w:ind w:left="1600" w:hanging="1600" w:hangingChars="500"/>
        <w:rPr>
          <w:rFonts w:hint="default" w:ascii="Times New Roman" w:hAnsi="Times New Roman" w:eastAsia="仿宋" w:cs="Times New Roman"/>
          <w:color w:val="auto"/>
          <w:sz w:val="32"/>
          <w:szCs w:val="32"/>
        </w:rPr>
      </w:pPr>
    </w:p>
    <w:p>
      <w:pPr>
        <w:ind w:left="1600" w:hanging="1600" w:hangingChars="5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、《建设工程质量检测机构资质许可专家现场评审记录》</w:t>
      </w:r>
    </w:p>
    <w:p>
      <w:pPr>
        <w:ind w:left="1598" w:leftChars="456" w:hanging="640" w:hanging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、《建设工程质量检测机构资质许可专家评审报告》</w:t>
      </w:r>
    </w:p>
    <w:p>
      <w:pPr>
        <w:rPr>
          <w:rFonts w:hint="default" w:ascii="Times New Roman" w:hAnsi="Times New Roman" w:eastAsia="仿宋" w:cs="Times New Roman"/>
          <w:sz w:val="32"/>
          <w:szCs w:val="32"/>
        </w:rPr>
        <w:sectPr>
          <w:footerReference r:id="rId3" w:type="default"/>
          <w:pgSz w:w="11906" w:h="16838"/>
          <w:pgMar w:top="1440" w:right="1800" w:bottom="1440" w:left="1800" w:header="851" w:footer="992" w:gutter="0"/>
          <w:pgNumType w:fmt="numberInDash" w:start="2"/>
          <w:cols w:space="425" w:num="1"/>
          <w:docGrid w:type="lines" w:linePitch="312" w:charSpace="0"/>
        </w:sect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pPr>
        <w:spacing w:line="594" w:lineRule="exact"/>
        <w:jc w:val="center"/>
        <w:rPr>
          <w:rFonts w:hint="default" w:ascii="Times New Roman" w:hAnsi="Times New Roman" w:eastAsia="方正小标宋简体" w:cs="Times New Roman"/>
          <w:b/>
          <w:bCs/>
          <w:color w:val="000000" w:themeColor="text1"/>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建设工程质量检测机构资质许可专家现场评审记录</w:t>
      </w:r>
    </w:p>
    <w:p>
      <w:pPr>
        <w:pStyle w:val="8"/>
        <w:rPr>
          <w:rFonts w:hint="default" w:ascii="Times New Roman" w:hAnsi="Times New Roman" w:eastAsia="CESI仿宋-GB2312" w:cs="Times New Roman"/>
        </w:rPr>
      </w:pPr>
      <w:r>
        <w:rPr>
          <w:rFonts w:hint="default" w:ascii="Times New Roman" w:hAnsi="Times New Roman" w:eastAsia="CESI仿宋-GB2312" w:cs="Times New Roman"/>
          <w:color w:val="000000" w:themeColor="text1"/>
          <w:sz w:val="28"/>
          <w:szCs w:val="28"/>
          <w14:textFill>
            <w14:solidFill>
              <w14:schemeClr w14:val="tx1"/>
            </w14:solidFill>
          </w14:textFill>
        </w:rPr>
        <w:t xml:space="preserve">检测机构名称：                    </w:t>
      </w:r>
      <w:r>
        <w:rPr>
          <w:rFonts w:hint="default" w:ascii="Times New Roman" w:hAnsi="Times New Roman" w:eastAsia="CESI仿宋-GB2312" w:cs="Times New Roman"/>
          <w:color w:val="000000" w:themeColor="text1"/>
          <w:sz w:val="44"/>
          <w:szCs w:val="44"/>
          <w14:textFill>
            <w14:solidFill>
              <w14:schemeClr w14:val="tx1"/>
            </w14:solidFill>
          </w14:textFill>
        </w:rPr>
        <w:t xml:space="preserve">                            </w:t>
      </w:r>
      <w:r>
        <w:rPr>
          <w:rFonts w:hint="default" w:ascii="Times New Roman" w:hAnsi="Times New Roman" w:eastAsia="CESI仿宋-GB2312" w:cs="Times New Roman"/>
          <w:color w:val="000000" w:themeColor="text1"/>
          <w:sz w:val="28"/>
          <w:szCs w:val="28"/>
          <w14:textFill>
            <w14:solidFill>
              <w14:schemeClr w14:val="tx1"/>
            </w14:solidFill>
          </w14:textFill>
        </w:rPr>
        <w:t xml:space="preserve"> 第  页  共  页</w:t>
      </w:r>
    </w:p>
    <w:tbl>
      <w:tblPr>
        <w:tblStyle w:val="12"/>
        <w:tblW w:w="503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751"/>
        <w:gridCol w:w="157"/>
        <w:gridCol w:w="6935"/>
        <w:gridCol w:w="18"/>
        <w:gridCol w:w="1083"/>
        <w:gridCol w:w="532"/>
        <w:gridCol w:w="2022"/>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pct"/>
            <w:vMerge w:val="restart"/>
            <w:vAlign w:val="center"/>
          </w:tcPr>
          <w:p>
            <w:pPr>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条款</w:t>
            </w:r>
          </w:p>
        </w:tc>
        <w:tc>
          <w:tcPr>
            <w:tcW w:w="252" w:type="pct"/>
            <w:vMerge w:val="restart"/>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序号</w:t>
            </w:r>
          </w:p>
        </w:tc>
        <w:tc>
          <w:tcPr>
            <w:tcW w:w="2388" w:type="pct"/>
            <w:gridSpan w:val="2"/>
            <w:vMerge w:val="restart"/>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具体审查（核查）内容</w:t>
            </w:r>
          </w:p>
        </w:tc>
        <w:tc>
          <w:tcPr>
            <w:tcW w:w="1824" w:type="pct"/>
            <w:gridSpan w:val="5"/>
            <w:tcBorders>
              <w:right w:val="single" w:color="auto" w:sz="4" w:space="0"/>
            </w:tcBorders>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审查（核查）结论（在□中打√）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3" w:type="pct"/>
            <w:vMerge w:val="continue"/>
            <w:vAlign w:val="center"/>
          </w:tcPr>
          <w:p>
            <w:pPr>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p>
        </w:tc>
        <w:tc>
          <w:tcPr>
            <w:tcW w:w="252" w:type="pct"/>
            <w:vMerge w:val="continue"/>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p>
        </w:tc>
        <w:tc>
          <w:tcPr>
            <w:tcW w:w="2388" w:type="pct"/>
            <w:gridSpan w:val="2"/>
            <w:vMerge w:val="continue"/>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p>
        </w:tc>
        <w:tc>
          <w:tcPr>
            <w:tcW w:w="550" w:type="pct"/>
            <w:gridSpan w:val="3"/>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符合</w:t>
            </w:r>
          </w:p>
        </w:tc>
        <w:tc>
          <w:tcPr>
            <w:tcW w:w="681" w:type="pct"/>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基本符合</w:t>
            </w:r>
          </w:p>
        </w:tc>
        <w:tc>
          <w:tcPr>
            <w:tcW w:w="593" w:type="pct"/>
            <w:tcBorders>
              <w:right w:val="single" w:color="auto" w:sz="4" w:space="0"/>
            </w:tcBorders>
            <w:vAlign w:val="center"/>
          </w:tcPr>
          <w:p>
            <w:pPr>
              <w:snapToGrid w:val="0"/>
              <w:spacing w:line="400" w:lineRule="exact"/>
              <w:jc w:val="center"/>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4466" w:type="pct"/>
            <w:gridSpan w:val="8"/>
            <w:vAlign w:val="center"/>
          </w:tcPr>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评审内容与要求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3" w:type="pct"/>
            <w:vAlign w:val="center"/>
          </w:tcPr>
          <w:p>
            <w:pPr>
              <w:spacing w:line="400" w:lineRule="exact"/>
              <w:jc w:val="cente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eastAsia="zh-CN"/>
                <w14:textFill>
                  <w14:solidFill>
                    <w14:schemeClr w14:val="tx1"/>
                  </w14:solidFill>
                </w14:textFill>
              </w:rPr>
              <w:t>11</w:t>
            </w:r>
          </w:p>
        </w:tc>
        <w:tc>
          <w:tcPr>
            <w:tcW w:w="4466" w:type="pct"/>
            <w:gridSpan w:val="8"/>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检测机构应当有满足工作需要的固定工作场所及检测场所，其检测环境应符合相关标准要求。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.1</w:t>
            </w:r>
          </w:p>
        </w:tc>
        <w:tc>
          <w:tcPr>
            <w:tcW w:w="2641" w:type="pct"/>
            <w:gridSpan w:val="3"/>
            <w:vAlign w:val="center"/>
          </w:tcPr>
          <w:p>
            <w:pPr>
              <w:snapToGrid w:val="0"/>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检测机构对其检测场所应具有完全的使用权，并能提供不动产权属证书或租赁合同等证明文件</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305" w:type="pct"/>
            <w:gridSpan w:val="2"/>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35" w:type="pct"/>
            <w:vAlign w:val="center"/>
          </w:tcPr>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检测机构的工作场所与《</w:t>
            </w:r>
            <w:r>
              <w:rPr>
                <w:rFonts w:hint="eastAsia" w:ascii="Times New Roman" w:hAnsi="Times New Roman" w:eastAsia="CESI仿宋-GB2312" w:cs="Times New Roman"/>
                <w:color w:val="000000" w:themeColor="text1"/>
                <w:sz w:val="28"/>
                <w:szCs w:val="28"/>
                <w:lang w:val="en-US" w:eastAsia="zh-CN"/>
                <w14:textFill>
                  <w14:solidFill>
                    <w14:schemeClr w14:val="tx1"/>
                  </w14:solidFill>
                </w14:textFill>
              </w:rPr>
              <w:t>建设工程</w:t>
            </w:r>
            <w:r>
              <w:rPr>
                <w:rFonts w:hint="default" w:ascii="Times New Roman" w:hAnsi="Times New Roman" w:eastAsia="CESI仿宋-GB2312" w:cs="Times New Roman"/>
                <w:color w:val="000000" w:themeColor="text1"/>
                <w:sz w:val="28"/>
                <w:szCs w:val="28"/>
                <w14:textFill>
                  <w14:solidFill>
                    <w14:schemeClr w14:val="tx1"/>
                  </w14:solidFill>
                </w14:textFill>
              </w:rPr>
              <w:t>检测机构资质申请</w:t>
            </w:r>
            <w:r>
              <w:rPr>
                <w:rFonts w:hint="eastAsia" w:ascii="Times New Roman" w:hAnsi="Times New Roman" w:eastAsia="CESI仿宋-GB2312" w:cs="Times New Roman"/>
                <w:color w:val="000000" w:themeColor="text1"/>
                <w:sz w:val="28"/>
                <w:szCs w:val="28"/>
                <w:lang w:val="en-US" w:eastAsia="zh-CN"/>
                <w14:textFill>
                  <w14:solidFill>
                    <w14:schemeClr w14:val="tx1"/>
                  </w14:solidFill>
                </w14:textFill>
              </w:rPr>
              <w:t>表</w:t>
            </w:r>
            <w:r>
              <w:rPr>
                <w:rFonts w:hint="default" w:ascii="Times New Roman" w:hAnsi="Times New Roman" w:eastAsia="CESI仿宋-GB2312" w:cs="Times New Roman"/>
                <w:color w:val="000000" w:themeColor="text1"/>
                <w:sz w:val="28"/>
                <w:szCs w:val="28"/>
                <w14:textFill>
                  <w14:solidFill>
                    <w14:schemeClr w14:val="tx1"/>
                  </w14:solidFill>
                </w14:textFill>
              </w:rPr>
              <w:t>》填写的工作场所地址一致。</w:t>
            </w:r>
          </w:p>
        </w:tc>
        <w:tc>
          <w:tcPr>
            <w:tcW w:w="1824" w:type="pct"/>
            <w:gridSpan w:val="5"/>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工作场所</w:t>
            </w:r>
            <w:r>
              <w:rPr>
                <w:rFonts w:hint="default" w:ascii="Times New Roman" w:hAnsi="Times New Roman" w:cs="Times New Roman"/>
                <w:color w:val="000000" w:themeColor="text1"/>
                <w:sz w:val="18"/>
                <w:szCs w:val="18"/>
                <w14:textFill>
                  <w14:solidFill>
                    <w14:schemeClr w14:val="tx1"/>
                  </w14:solidFill>
                </w14:textFill>
              </w:rPr>
              <w:t>是否与资质申请</w:t>
            </w:r>
            <w:r>
              <w:rPr>
                <w:rFonts w:hint="eastAsia" w:ascii="Times New Roman" w:hAnsi="Times New Roman" w:cs="Times New Roman"/>
                <w:color w:val="000000" w:themeColor="text1"/>
                <w:sz w:val="18"/>
                <w:szCs w:val="18"/>
                <w:lang w:val="en-US" w:eastAsia="zh-CN"/>
                <w14:textFill>
                  <w14:solidFill>
                    <w14:schemeClr w14:val="tx1"/>
                  </w14:solidFill>
                </w14:textFill>
              </w:rPr>
              <w:t>表</w:t>
            </w:r>
            <w:r>
              <w:rPr>
                <w:rFonts w:hint="default" w:ascii="Times New Roman" w:hAnsi="Times New Roman" w:cs="Times New Roman"/>
                <w:color w:val="000000" w:themeColor="text1"/>
                <w:sz w:val="18"/>
                <w:szCs w:val="18"/>
                <w14:textFill>
                  <w14:solidFill>
                    <w14:schemeClr w14:val="tx1"/>
                  </w14:solidFill>
                </w14:textFill>
              </w:rPr>
              <w:t>一致。是□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305" w:type="pct"/>
            <w:gridSpan w:val="2"/>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35" w:type="pct"/>
            <w:vAlign w:val="center"/>
          </w:tcPr>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检测机构对工作场所具有完全的使用权，并能提供证明文件。如租用、借用场地，期限宜为一个完整资质</w:t>
            </w:r>
            <w:r>
              <w:rPr>
                <w:rFonts w:hint="default" w:ascii="Times New Roman" w:hAnsi="Times New Roman" w:eastAsia="CESI仿宋-GB2312" w:cs="Times New Roman"/>
                <w:color w:val="000000" w:themeColor="text1"/>
                <w:sz w:val="28"/>
                <w:szCs w:val="28"/>
                <w:lang w:val="en-US" w:eastAsia="zh-CN"/>
                <w14:textFill>
                  <w14:solidFill>
                    <w14:schemeClr w14:val="tx1"/>
                  </w14:solidFill>
                </w14:textFill>
              </w:rPr>
              <w:t>许可</w:t>
            </w:r>
            <w:r>
              <w:rPr>
                <w:rFonts w:hint="default" w:ascii="Times New Roman" w:hAnsi="Times New Roman" w:eastAsia="CESI仿宋-GB2312" w:cs="Times New Roman"/>
                <w:color w:val="000000" w:themeColor="text1"/>
                <w:sz w:val="28"/>
                <w:szCs w:val="28"/>
                <w14:textFill>
                  <w14:solidFill>
                    <w14:schemeClr w14:val="tx1"/>
                  </w14:solidFill>
                </w14:textFill>
              </w:rPr>
              <w:t>周期且不应少于1年。</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1.是否有检测场所所有权或合法使用权证明文件(租赁合同及岀租方所有权证明)。是□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2.如是租赁场所。是□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xml:space="preserve">否□  有效租赁期至：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2</w:t>
            </w:r>
          </w:p>
        </w:tc>
        <w:tc>
          <w:tcPr>
            <w:tcW w:w="2641" w:type="pct"/>
            <w:gridSpan w:val="3"/>
            <w:vAlign w:val="center"/>
          </w:tcPr>
          <w:p>
            <w:pPr>
              <w:pStyle w:val="11"/>
              <w:shd w:val="clear" w:color="auto" w:fill="FFFFFF"/>
              <w:spacing w:beforeAutospacing="0" w:afterAutospacing="0" w:line="274" w:lineRule="atLeast"/>
              <w:jc w:val="both"/>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kern w:val="2"/>
                <w:sz w:val="28"/>
                <w:szCs w:val="28"/>
                <w14:textFill>
                  <w14:solidFill>
                    <w14:schemeClr w14:val="tx1"/>
                  </w14:solidFill>
                </w14:textFill>
              </w:rPr>
              <w:t>检测机构应具有符合标准或者技术规范要求的检测场所</w:t>
            </w:r>
            <w:r>
              <w:rPr>
                <w:rFonts w:hint="eastAsia" w:ascii="Times New Roman" w:hAnsi="Times New Roman" w:eastAsia="CESI仿宋-GB2312" w:cs="Times New Roman"/>
                <w:color w:val="000000" w:themeColor="text1"/>
                <w:kern w:val="2"/>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11"/>
              <w:shd w:val="clear" w:color="auto" w:fill="FFFFFF"/>
              <w:spacing w:beforeAutospacing="0" w:afterAutospacing="0" w:line="274" w:lineRule="atLeast"/>
              <w:jc w:val="cente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1</w:t>
            </w:r>
          </w:p>
        </w:tc>
        <w:tc>
          <w:tcPr>
            <w:tcW w:w="2388" w:type="pct"/>
            <w:gridSpan w:val="2"/>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检测机构的工作场所应能完全满足《检测机构资质认可申请书》填写的检测</w:t>
            </w:r>
            <w:r>
              <w:rPr>
                <w:rFonts w:hint="eastAsia" w:ascii="Times New Roman" w:hAnsi="Times New Roman" w:eastAsia="CESI仿宋-GB2312" w:cs="Times New Roman"/>
                <w:color w:val="000000" w:themeColor="text1"/>
                <w:sz w:val="28"/>
                <w:szCs w:val="28"/>
                <w:lang w:val="en-US" w:eastAsia="zh-CN"/>
                <w14:textFill>
                  <w14:solidFill>
                    <w14:schemeClr w14:val="tx1"/>
                  </w14:solidFill>
                </w14:textFill>
              </w:rPr>
              <w:t>专项全部必备检测</w:t>
            </w:r>
            <w:r>
              <w:rPr>
                <w:rFonts w:hint="default" w:ascii="Times New Roman" w:hAnsi="Times New Roman" w:eastAsia="CESI仿宋-GB2312" w:cs="Times New Roman"/>
                <w:color w:val="000000" w:themeColor="text1"/>
                <w:sz w:val="28"/>
                <w:szCs w:val="28"/>
                <w14:textFill>
                  <w14:solidFill>
                    <w14:schemeClr w14:val="tx1"/>
                  </w14:solidFill>
                </w14:textFill>
              </w:rPr>
              <w:t>参数能力的要求。</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1.工作场所的场地空间大小、配套设施是否满足申请的</w:t>
            </w:r>
            <w:r>
              <w:rPr>
                <w:rFonts w:hint="eastAsia" w:ascii="Times New Roman" w:hAnsi="Times New Roman" w:cs="Times New Roman"/>
                <w:color w:val="000000" w:themeColor="text1"/>
                <w:sz w:val="18"/>
                <w:szCs w:val="18"/>
                <w:lang w:val="en-US" w:eastAsia="zh-CN"/>
                <w14:textFill>
                  <w14:solidFill>
                    <w14:schemeClr w14:val="tx1"/>
                  </w14:solidFill>
                </w14:textFill>
              </w:rPr>
              <w:t>检测专项能力</w:t>
            </w:r>
            <w:r>
              <w:rPr>
                <w:rFonts w:hint="default" w:ascii="Times New Roman" w:hAnsi="Times New Roman" w:cs="Times New Roman"/>
                <w:color w:val="000000" w:themeColor="text1"/>
                <w:sz w:val="18"/>
                <w:szCs w:val="18"/>
                <w14:textFill>
                  <w14:solidFill>
                    <w14:schemeClr w14:val="tx1"/>
                  </w14:solidFill>
                </w14:textFill>
              </w:rPr>
              <w:t>的要求。是□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2.工作场所的布局、功能是否合理，标识是否明确清晰，是否符合检测标准或</w:t>
            </w:r>
            <w:r>
              <w:rPr>
                <w:rFonts w:hint="default" w:ascii="Times New Roman" w:hAnsi="Times New Roman" w:cs="Times New Roman"/>
                <w:color w:val="000000" w:themeColor="text1"/>
                <w:sz w:val="18"/>
                <w:szCs w:val="18"/>
                <w:lang w:val="en-US" w:eastAsia="zh-CN"/>
                <w14:textFill>
                  <w14:solidFill>
                    <w14:schemeClr w14:val="tx1"/>
                  </w14:solidFill>
                </w14:textFill>
              </w:rPr>
              <w:t>相关</w:t>
            </w:r>
            <w:r>
              <w:rPr>
                <w:rFonts w:hint="default" w:ascii="Times New Roman" w:hAnsi="Times New Roman" w:cs="Times New Roman"/>
                <w:color w:val="000000" w:themeColor="text1"/>
                <w:sz w:val="18"/>
                <w:szCs w:val="18"/>
                <w14:textFill>
                  <w14:solidFill>
                    <w14:schemeClr w14:val="tx1"/>
                  </w14:solidFill>
                </w14:textFill>
              </w:rPr>
              <w:t>技术规范的要求。是□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ind w:firstLine="0" w:firstLineChars="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3.工作场所分区是否存在相互干扰、功能区划</w:t>
            </w:r>
            <w:r>
              <w:rPr>
                <w:rFonts w:hint="default" w:ascii="Times New Roman" w:hAnsi="Times New Roman" w:cs="Times New Roman"/>
                <w:color w:val="000000" w:themeColor="text1"/>
                <w:sz w:val="18"/>
                <w:szCs w:val="18"/>
                <w:lang w:val="en-US" w:eastAsia="zh-CN"/>
                <w14:textFill>
                  <w14:solidFill>
                    <w14:schemeClr w14:val="tx1"/>
                  </w14:solidFill>
                </w14:textFill>
              </w:rPr>
              <w:t>分</w:t>
            </w:r>
            <w:r>
              <w:rPr>
                <w:rFonts w:hint="default" w:ascii="Times New Roman" w:hAnsi="Times New Roman" w:cs="Times New Roman"/>
                <w:color w:val="000000" w:themeColor="text1"/>
                <w:sz w:val="18"/>
                <w:szCs w:val="18"/>
                <w14:textFill>
                  <w14:solidFill>
                    <w14:schemeClr w14:val="tx1"/>
                  </w14:solidFill>
                </w14:textFill>
              </w:rPr>
              <w:t>不明确的现象。</w:t>
            </w:r>
          </w:p>
          <w:p>
            <w:pPr>
              <w:snapToGrid w:val="0"/>
              <w:spacing w:line="400" w:lineRule="exact"/>
              <w:ind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有□</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11"/>
              <w:shd w:val="clear" w:color="auto" w:fill="FFFFFF"/>
              <w:spacing w:beforeAutospacing="0" w:afterAutospacing="0" w:line="274" w:lineRule="atLeast"/>
              <w:jc w:val="cente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2</w:t>
            </w:r>
          </w:p>
        </w:tc>
        <w:tc>
          <w:tcPr>
            <w:tcW w:w="2388" w:type="pct"/>
            <w:gridSpan w:val="2"/>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检测场所包括固定的或者多个地点的场所，应根据所检测参数能力对应的标准规范要求设立。</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lang w:val="en-US" w:eastAsia="zh-CN"/>
                <w14:textFill>
                  <w14:solidFill>
                    <w14:schemeClr w14:val="tx1"/>
                  </w14:solidFill>
                </w14:textFill>
              </w:rPr>
              <w:t>多个</w:t>
            </w:r>
            <w:r>
              <w:rPr>
                <w:rFonts w:hint="default" w:ascii="Times New Roman" w:hAnsi="Times New Roman" w:cs="Times New Roman"/>
                <w:color w:val="000000" w:themeColor="text1"/>
                <w:sz w:val="18"/>
                <w:szCs w:val="18"/>
                <w14:textFill>
                  <w14:solidFill>
                    <w14:schemeClr w14:val="tx1"/>
                  </w14:solidFill>
                </w14:textFill>
              </w:rPr>
              <w:t>检测场所应有证据证明检测机构对工作场所合法且具有完全的使用权（如产权、租赁合同）。有□</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无□</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2.不允许同一检测场所同一时期被不同检测机构使用及申请资质</w:t>
            </w:r>
            <w:r>
              <w:rPr>
                <w:rFonts w:hint="default" w:ascii="Times New Roman" w:hAnsi="Times New Roman" w:cs="Times New Roman"/>
                <w:color w:val="000000" w:themeColor="text1"/>
                <w:sz w:val="18"/>
                <w:szCs w:val="18"/>
                <w:lang w:val="en-US" w:eastAsia="zh-CN"/>
                <w14:textFill>
                  <w14:solidFill>
                    <w14:schemeClr w14:val="tx1"/>
                  </w14:solidFill>
                </w14:textFill>
              </w:rPr>
              <w:t>许可</w:t>
            </w:r>
            <w:r>
              <w:rPr>
                <w:rFonts w:hint="default" w:ascii="Times New Roman" w:hAnsi="Times New Roman" w:cs="Times New Roman"/>
                <w:color w:val="000000" w:themeColor="text1"/>
                <w:sz w:val="18"/>
                <w:szCs w:val="18"/>
                <w14:textFill>
                  <w14:solidFill>
                    <w14:schemeClr w14:val="tx1"/>
                  </w14:solidFill>
                </w14:textFill>
              </w:rPr>
              <w:t>。有□</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.3</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检测工作环境及安全条件符合检测活动要求</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标准或者技术规范对开展检测活动的环境条件有要求，或者当环境条件影响检测结果质量时，检测机构应当对环境条件进行监测、控制和记录，使其持续符合标准或者技术规范要求。</w:t>
            </w:r>
          </w:p>
        </w:tc>
        <w:tc>
          <w:tcPr>
            <w:tcW w:w="1824" w:type="pct"/>
            <w:gridSpan w:val="5"/>
            <w:vAlign w:val="center"/>
          </w:tcPr>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1.是否识别并明确规定环境条件满足检测工作正常开展的要求（湿度、温度、电压稳定性及接地情况、空气洁净度、 电磁干扰）。是□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2.相应的环境条件控制措施是否确保环境条件符合相关技术标准或规范的规定。是□ 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3.对开展检测活动的环境条件有要求，或者当环境条件影响检测结果质量</w:t>
            </w:r>
            <w:r>
              <w:rPr>
                <w:rFonts w:hint="default" w:ascii="Times New Roman" w:hAnsi="Times New Roman" w:cs="Times New Roman"/>
                <w:color w:val="000000" w:themeColor="text1"/>
                <w:sz w:val="18"/>
                <w:szCs w:val="18"/>
                <w:lang w:val="en-US" w:eastAsia="zh-CN"/>
                <w14:textFill>
                  <w14:solidFill>
                    <w14:schemeClr w14:val="tx1"/>
                  </w14:solidFill>
                </w14:textFill>
              </w:rPr>
              <w:t>的检测场所</w:t>
            </w:r>
            <w:r>
              <w:rPr>
                <w:rFonts w:hint="default" w:ascii="Times New Roman" w:hAnsi="Times New Roman" w:cs="Times New Roman"/>
                <w:color w:val="000000" w:themeColor="text1"/>
                <w:sz w:val="18"/>
                <w:szCs w:val="18"/>
                <w14:textFill>
                  <w14:solidFill>
                    <w14:schemeClr w14:val="tx1"/>
                  </w14:solidFill>
                </w14:textFill>
              </w:rPr>
              <w:t>是否有监测记录。有</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检测机构应当有效识别检测活动所涉及的安全因素（如危险化学品的规范存储和领用、危废处理的合规性、气瓶的安全管理和使用等），并设置必要的防护设施、应急设施，制定相应预案。</w:t>
            </w:r>
          </w:p>
        </w:tc>
        <w:tc>
          <w:tcPr>
            <w:tcW w:w="1824" w:type="pct"/>
            <w:gridSpan w:val="5"/>
            <w:vAlign w:val="center"/>
          </w:tcPr>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1.是否对已识别出的检测活动所涉及的危及安全和污染环境等因素采取控制措施。是□ 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2.是否配置了必要的防护设施、应急设施（包括应急预案）等，例如化学类实验室是否配置了个人防护装备、烟雾报警器、洗眼装置及紧急喷淋装置、灭火器材等。是□ 否□</w:t>
            </w:r>
          </w:p>
          <w:p>
            <w:pPr>
              <w:snapToGrid w:val="0"/>
              <w:spacing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3.是否能定期核查这些设施的有效性。是□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当相邻区域的活动或工作，出现不相容或相互影响时，检测机构应对相关区域进行有效隔离，采取措施消除影响，防止干扰或者交叉污染，以保证环境条件符合检测标准或者技术规范的要求。</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1.是否对环境条件有要求的或者影响检测结果质量的地方进行规定、识别</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2.是否识别并明确工作场所对所列各影响因素的应对措施，保证工作场所内的技术活动不致因相关因素的影响而不符合技术标准要求（如灰尘、电磁干扰、湿度、温度、</w:t>
            </w:r>
            <w:r>
              <w:rPr>
                <w:rFonts w:hint="default" w:ascii="Times New Roman" w:hAnsi="Times New Roman" w:cs="Times New Roman"/>
                <w:color w:val="000000" w:themeColor="text1"/>
                <w:sz w:val="18"/>
                <w:szCs w:val="18"/>
                <w:lang w:val="en-US" w:eastAsia="zh-CN"/>
                <w14:textFill>
                  <w14:solidFill>
                    <w14:schemeClr w14:val="tx1"/>
                  </w14:solidFill>
                </w14:textFill>
              </w:rPr>
              <w:t>振动</w:t>
            </w:r>
            <w:r>
              <w:rPr>
                <w:rFonts w:hint="default" w:ascii="Times New Roman" w:hAnsi="Times New Roman" w:cs="Times New Roman"/>
                <w:color w:val="000000" w:themeColor="text1"/>
                <w:sz w:val="18"/>
                <w:szCs w:val="18"/>
                <w14:textFill>
                  <w14:solidFill>
                    <w14:schemeClr w14:val="tx1"/>
                  </w14:solidFill>
                </w14:textFill>
              </w:rPr>
              <w:t>等）。是□ 否□</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3.现场条件是否满足消除相关因素的要求。是□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.4</w:t>
            </w:r>
          </w:p>
        </w:tc>
        <w:tc>
          <w:tcPr>
            <w:tcW w:w="4466" w:type="pct"/>
            <w:gridSpan w:val="8"/>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kern w:val="2"/>
                <w:sz w:val="28"/>
                <w:szCs w:val="28"/>
                <w14:textFill>
                  <w14:solidFill>
                    <w14:schemeClr w14:val="tx1"/>
                  </w14:solidFill>
                </w14:textFill>
              </w:rPr>
              <w:t>检测机构存在两个及以上不同地址的多个检测活动场所，并满足2.1</w:t>
            </w:r>
            <w:r>
              <w:rPr>
                <w:rFonts w:hint="eastAsia" w:ascii="Times New Roman" w:hAnsi="Times New Roman" w:eastAsia="CESI仿宋-GB2312" w:cs="Times New Roman"/>
                <w:color w:val="000000" w:themeColor="text1"/>
                <w:kern w:val="2"/>
                <w:sz w:val="28"/>
                <w:szCs w:val="28"/>
                <w:lang w:val="en-US" w:eastAsia="zh-CN"/>
                <w14:textFill>
                  <w14:solidFill>
                    <w14:schemeClr w14:val="tx1"/>
                  </w14:solidFill>
                </w14:textFill>
              </w:rPr>
              <w:t>1</w:t>
            </w:r>
            <w:r>
              <w:rPr>
                <w:rFonts w:hint="default" w:ascii="Times New Roman" w:hAnsi="Times New Roman" w:eastAsia="CESI仿宋-GB2312" w:cs="Times New Roman"/>
                <w:color w:val="000000" w:themeColor="text1"/>
                <w:kern w:val="2"/>
                <w:sz w:val="28"/>
                <w:szCs w:val="28"/>
                <w14:textFill>
                  <w14:solidFill>
                    <w14:schemeClr w14:val="tx1"/>
                  </w14:solidFill>
                </w14:textFill>
              </w:rPr>
              <w:t>.</w:t>
            </w:r>
            <w:r>
              <w:rPr>
                <w:rFonts w:hint="eastAsia" w:ascii="Times New Roman" w:hAnsi="Times New Roman" w:eastAsia="CESI仿宋-GB2312" w:cs="Times New Roman"/>
                <w:color w:val="000000" w:themeColor="text1"/>
                <w:kern w:val="2"/>
                <w:sz w:val="28"/>
                <w:szCs w:val="28"/>
                <w:lang w:val="en-US" w:eastAsia="zh-CN"/>
                <w14:textFill>
                  <w14:solidFill>
                    <w14:schemeClr w14:val="tx1"/>
                  </w14:solidFill>
                </w14:textFill>
              </w:rPr>
              <w:t>2</w:t>
            </w:r>
            <w:r>
              <w:rPr>
                <w:rFonts w:hint="default" w:ascii="Times New Roman" w:hAnsi="Times New Roman" w:eastAsia="CESI仿宋-GB2312" w:cs="Times New Roman"/>
                <w:color w:val="000000" w:themeColor="text1"/>
                <w:kern w:val="2"/>
                <w:sz w:val="28"/>
                <w:szCs w:val="28"/>
                <w14:textFill>
                  <w14:solidFill>
                    <w14:schemeClr w14:val="tx1"/>
                  </w14:solidFill>
                </w14:textFill>
              </w:rPr>
              <w:t>、2.1</w:t>
            </w:r>
            <w:r>
              <w:rPr>
                <w:rFonts w:hint="eastAsia" w:ascii="Times New Roman" w:hAnsi="Times New Roman" w:eastAsia="CESI仿宋-GB2312" w:cs="Times New Roman"/>
                <w:color w:val="000000" w:themeColor="text1"/>
                <w:kern w:val="2"/>
                <w:sz w:val="28"/>
                <w:szCs w:val="28"/>
                <w:lang w:val="en-US" w:eastAsia="zh-CN"/>
                <w14:textFill>
                  <w14:solidFill>
                    <w14:schemeClr w14:val="tx1"/>
                  </w14:solidFill>
                </w14:textFill>
              </w:rPr>
              <w:t>1</w:t>
            </w:r>
            <w:r>
              <w:rPr>
                <w:rFonts w:hint="default" w:ascii="Times New Roman" w:hAnsi="Times New Roman" w:eastAsia="CESI仿宋-GB2312" w:cs="Times New Roman"/>
                <w:color w:val="000000" w:themeColor="text1"/>
                <w:kern w:val="2"/>
                <w:sz w:val="28"/>
                <w:szCs w:val="28"/>
                <w14:textFill>
                  <w14:solidFill>
                    <w14:schemeClr w14:val="tx1"/>
                  </w14:solidFill>
                </w14:textFill>
              </w:rPr>
              <w:t>.3条的规定。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2</w:t>
            </w:r>
          </w:p>
        </w:tc>
        <w:tc>
          <w:tcPr>
            <w:tcW w:w="4466" w:type="pct"/>
            <w:gridSpan w:val="8"/>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w:t>
            </w:r>
            <w:r>
              <w:rPr>
                <w:rFonts w:hint="default" w:ascii="Times New Roman" w:hAnsi="Times New Roman" w:eastAsia="CESI仿宋-GB2312" w:cs="Times New Roman"/>
                <w:color w:val="000000" w:themeColor="text1"/>
                <w:sz w:val="28"/>
                <w:szCs w:val="28"/>
                <w:lang w:val="en-US" w:eastAsia="zh-CN"/>
                <w14:textFill>
                  <w14:solidFill>
                    <w14:schemeClr w14:val="tx1"/>
                  </w14:solidFill>
                </w14:textFill>
              </w:rPr>
              <w:t>的</w:t>
            </w:r>
            <w:r>
              <w:rPr>
                <w:rFonts w:hint="default" w:ascii="Times New Roman" w:hAnsi="Times New Roman" w:eastAsia="CESI仿宋-GB2312" w:cs="Times New Roman"/>
                <w:color w:val="000000" w:themeColor="text1"/>
                <w:sz w:val="28"/>
                <w:szCs w:val="28"/>
                <w14:textFill>
                  <w14:solidFill>
                    <w14:schemeClr w14:val="tx1"/>
                  </w14:solidFill>
                </w14:textFill>
              </w:rPr>
              <w:t>检测设备设施应齐全，其功能、量程、精度，配套设备设施应当满足资质许可检测参数要求。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eastAsia="zh-CN"/>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.1</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检测机构应配备性能和数量满足检测要求检测设备设施，并提供检测设备设施权属证明文件</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检测机构应当配备性能和数量均满足开展检测（包括</w:t>
            </w:r>
            <w:r>
              <w:rPr>
                <w:rFonts w:hint="default" w:ascii="Times New Roman" w:hAnsi="Times New Roman" w:eastAsia="CESI仿宋-GB2312" w:cs="Times New Roman"/>
                <w:color w:val="000000" w:themeColor="text1"/>
                <w:sz w:val="28"/>
                <w:szCs w:val="28"/>
                <w:lang w:val="en-US" w:eastAsia="zh-CN"/>
                <w14:textFill>
                  <w14:solidFill>
                    <w14:schemeClr w14:val="tx1"/>
                  </w14:solidFill>
                </w14:textFill>
              </w:rPr>
              <w:t>取样</w:t>
            </w:r>
            <w:r>
              <w:rPr>
                <w:rFonts w:hint="default" w:ascii="Times New Roman" w:hAnsi="Times New Roman" w:eastAsia="CESI仿宋-GB2312" w:cs="Times New Roman"/>
                <w:color w:val="000000" w:themeColor="text1"/>
                <w:sz w:val="28"/>
                <w:szCs w:val="28"/>
                <w14:textFill>
                  <w14:solidFill>
                    <w14:schemeClr w14:val="tx1"/>
                  </w14:solidFill>
                </w14:textFill>
              </w:rPr>
              <w:t>、样品制备、数据处理与分析等）工作要求的设备和设施。</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1.申报检测项目</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参数</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所要求的所有仪器设备是否配备齐全，包括所必须的工具、配件等，完全满足包括取样、制备、数据处理与分析</w:t>
            </w:r>
            <w:r>
              <w:rPr>
                <w:rFonts w:hint="default" w:ascii="Times New Roman" w:hAnsi="Times New Roman" w:cs="Times New Roman"/>
                <w:color w:val="000000" w:themeColor="text1"/>
                <w:sz w:val="18"/>
                <w:szCs w:val="18"/>
                <w:lang w:val="en-US" w:eastAsia="zh-CN"/>
                <w14:textFill>
                  <w14:solidFill>
                    <w14:schemeClr w14:val="tx1"/>
                  </w14:solidFill>
                </w14:textFill>
              </w:rPr>
              <w:t>等检测活动</w:t>
            </w:r>
            <w:r>
              <w:rPr>
                <w:rFonts w:hint="default" w:ascii="Times New Roman" w:hAnsi="Times New Roman" w:cs="Times New Roman"/>
                <w:color w:val="000000" w:themeColor="text1"/>
                <w:sz w:val="18"/>
                <w:szCs w:val="18"/>
                <w14:textFill>
                  <w14:solidFill>
                    <w14:schemeClr w14:val="tx1"/>
                  </w14:solidFill>
                </w14:textFill>
              </w:rPr>
              <w:t>的要求。是□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2.设备配备的</w:t>
            </w:r>
            <w:r>
              <w:rPr>
                <w:rFonts w:hint="default" w:ascii="Times New Roman" w:hAnsi="Times New Roman" w:cs="Times New Roman"/>
                <w:color w:val="000000" w:themeColor="text1"/>
                <w:sz w:val="18"/>
                <w:szCs w:val="18"/>
                <w:lang w:val="en-US" w:eastAsia="zh-CN"/>
                <w14:textFill>
                  <w14:solidFill>
                    <w14:schemeClr w14:val="tx1"/>
                  </w14:solidFill>
                </w14:textFill>
              </w:rPr>
              <w:t>性能和</w:t>
            </w:r>
            <w:r>
              <w:rPr>
                <w:rFonts w:hint="default" w:ascii="Times New Roman" w:hAnsi="Times New Roman" w:cs="Times New Roman"/>
                <w:color w:val="000000" w:themeColor="text1"/>
                <w:sz w:val="18"/>
                <w:szCs w:val="18"/>
                <w14:textFill>
                  <w14:solidFill>
                    <w14:schemeClr w14:val="tx1"/>
                  </w14:solidFill>
                </w14:textFill>
              </w:rPr>
              <w:t>数量是否满足检测工作量的需求。是□ 否□</w:t>
            </w:r>
          </w:p>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3.在用检测仪器设备一览表是否与实际一致。是□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napToGrid w:val="0"/>
              <w:spacing w:line="400" w:lineRule="exact"/>
              <w:jc w:val="left"/>
              <w:rPr>
                <w:rFonts w:hint="default" w:ascii="Times New Roman" w:hAnsi="Times New Roman" w:cs="Times New Roman"/>
                <w:color w:val="auto"/>
                <w:sz w:val="28"/>
                <w:szCs w:val="28"/>
              </w:rPr>
            </w:pPr>
            <w:r>
              <w:rPr>
                <w:rFonts w:hint="default" w:ascii="Times New Roman" w:hAnsi="Times New Roman" w:eastAsia="CESI仿宋-GB2312" w:cs="Times New Roman"/>
                <w:color w:val="auto"/>
                <w:sz w:val="28"/>
                <w:szCs w:val="28"/>
              </w:rPr>
              <w:t>检测机构使用</w:t>
            </w:r>
            <w:r>
              <w:rPr>
                <w:rFonts w:hint="default" w:ascii="Times New Roman" w:hAnsi="Times New Roman" w:eastAsia="CESI仿宋-GB2312" w:cs="Times New Roman"/>
                <w:color w:val="auto"/>
                <w:sz w:val="28"/>
                <w:szCs w:val="28"/>
                <w:lang w:val="en-US" w:eastAsia="zh-CN"/>
              </w:rPr>
              <w:t>的设备设施应为自有，不得租赁。</w:t>
            </w:r>
          </w:p>
        </w:tc>
        <w:tc>
          <w:tcPr>
            <w:tcW w:w="1824" w:type="pct"/>
            <w:gridSpan w:val="5"/>
            <w:vAlign w:val="center"/>
          </w:tcPr>
          <w:p>
            <w:pPr>
              <w:snapToGrid w:val="0"/>
              <w:spacing w:line="4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是否有租赁设备。是□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.2</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检测机构应当对影响检测数据、结果准确性或有效性的设备（包括用于测量环境条件等辅助测量设备）实施检定、校准或核查，保证数据、结果满足计量溯源性要求</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1.对检测数据、结果有影响的设备（包括仪器、软件、测量标准、参考数据、试剂、消耗品、辅助设备或相应组合装置），投入使用前应当实施核查、检定或者校准及周期核查、检定或者校准。</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2.设备检定或者校准应当满足计量溯源性要求。</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3.设备的核查、使用、维护、保管、运输等应符合相应的程序以确保其溯源的有效性。</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1.是否制定仪器设备检定/校准计划。是□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2.设备在投入使用和重新投入使用前（如周期的计量溯源，设备脱离直接控制、出现故障修复后等）是否按规定要求实施了必要的检定、校准或核查。是□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3.检测设备的溯源的状态标识是否粘贴</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4.当开展内部校准时，是否提供</w:t>
            </w:r>
            <w:r>
              <w:rPr>
                <w:rFonts w:hint="default" w:ascii="Times New Roman" w:hAnsi="Times New Roman" w:cs="Times New Roman"/>
                <w:color w:val="000000" w:themeColor="text1"/>
                <w:sz w:val="18"/>
                <w:szCs w:val="18"/>
                <w:lang w:val="en-US" w:eastAsia="zh-CN"/>
                <w14:textFill>
                  <w14:solidFill>
                    <w14:schemeClr w14:val="tx1"/>
                  </w14:solidFill>
                </w14:textFill>
              </w:rPr>
              <w:t>完整的校准</w:t>
            </w:r>
            <w:r>
              <w:rPr>
                <w:rFonts w:hint="default" w:ascii="Times New Roman" w:hAnsi="Times New Roman" w:cs="Times New Roman"/>
                <w:color w:val="000000" w:themeColor="text1"/>
                <w:sz w:val="18"/>
                <w:szCs w:val="18"/>
                <w14:textFill>
                  <w14:solidFill>
                    <w14:schemeClr w14:val="tx1"/>
                  </w14:solidFill>
                </w14:textFill>
              </w:rPr>
              <w:t>记录。是□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1.对检定、校准或核查的结果进行有效性确认，确保其满足预期使用要求。包括溯源文件的有效性、检定、校准或核查的结果与预期使用的计量要求相比较以及所要求的标识。</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2.所有修正信息得到有效利用、更新和备份。</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3.无法溯源到国家或国际测量标准时，检验检测机构应当保留检测结果相关性或准确性的证据。</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4.检测机构的参考标准及其使用应满足溯源要求。</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1.是否对自校结果进行确认。是□ 否□ 不适用□</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2.在对检定/校准结果进行确认时，是否明确了需要使用的修正因子。是□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3.是否采取措施便于修正因子使用、备份和更新。是□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4.是否每次使用仪器设备时，将修正因子带入到检测数据中进行修正。是□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5.无法溯源到国家或国际测量标准时，测量结果应溯源至SI、公认的或约定的测量方法、标准，或通过比对等途径，证明其测量结果与同类检测机构的一致性。是□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6.当测量结果溯源至公认的或约定的测量方法、标准时，检测机构是否提供了该方法、标准的来源等相关证据。是□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7.相关的管理程序是否规定参考标准的溯源。是□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8.参考标准是否按要求溯源并记录。是□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.3</w:t>
            </w:r>
          </w:p>
        </w:tc>
        <w:tc>
          <w:tcPr>
            <w:tcW w:w="2641" w:type="pct"/>
            <w:gridSpan w:val="3"/>
            <w:vAlign w:val="center"/>
          </w:tcPr>
          <w:p>
            <w:pPr>
              <w:snapToGrid w:val="0"/>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检测机构使用</w:t>
            </w:r>
            <w:r>
              <w:rPr>
                <w:rFonts w:hint="default" w:ascii="Times New Roman" w:hAnsi="Times New Roman" w:eastAsia="CESI仿宋-GB2312" w:cs="Times New Roman"/>
                <w:color w:val="000000" w:themeColor="text1"/>
                <w:sz w:val="28"/>
                <w:szCs w:val="28"/>
                <w:lang w:val="en-US" w:eastAsia="zh-CN"/>
                <w14:textFill>
                  <w14:solidFill>
                    <w14:schemeClr w14:val="tx1"/>
                  </w14:solidFill>
                </w14:textFill>
              </w:rPr>
              <w:t>的</w:t>
            </w:r>
            <w:r>
              <w:rPr>
                <w:rFonts w:hint="default" w:ascii="Times New Roman" w:hAnsi="Times New Roman" w:eastAsia="CESI仿宋-GB2312" w:cs="Times New Roman"/>
                <w:color w:val="000000" w:themeColor="text1"/>
                <w:sz w:val="28"/>
                <w:szCs w:val="28"/>
                <w14:textFill>
                  <w14:solidFill>
                    <w14:schemeClr w14:val="tx1"/>
                  </w14:solidFill>
                </w14:textFill>
              </w:rPr>
              <w:t>标准物质，应当满足计量溯源性要求。可能时，应溯源到国际单位制（SI）单位或有证标准物质</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若使用标准物质，应当满足计量溯源性要求，可能时，溯源到SI单位或者有证标准物质。</w:t>
            </w:r>
          </w:p>
        </w:tc>
        <w:tc>
          <w:tcPr>
            <w:tcW w:w="1824" w:type="pct"/>
            <w:gridSpan w:val="5"/>
            <w:vAlign w:val="center"/>
          </w:tcPr>
          <w:p>
            <w:pPr>
              <w:pStyle w:val="19"/>
              <w:snapToGrid w:val="0"/>
              <w:spacing w:line="400" w:lineRule="exact"/>
              <w:ind w:firstLine="0" w:firstLineChars="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1.相关的管理程序是否规定标准物质的溯源。是□ 否□</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2.是否按要求溯源并记录。是□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ind w:right="-185" w:rightChars="-88"/>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.4</w:t>
            </w:r>
          </w:p>
        </w:tc>
        <w:tc>
          <w:tcPr>
            <w:tcW w:w="2641" w:type="pct"/>
            <w:gridSpan w:val="3"/>
            <w:vAlign w:val="center"/>
          </w:tcPr>
          <w:p>
            <w:pPr>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检测机构应对检测数据具有重要影响的设备设施制定管理制度，建立设备档案，并指定专人实施动态管理。</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检测机构应对设备的核查、使用、维护、保管、运输等过程进行规范管理以确保其功能正常，并防止污染或性能退化。</w:t>
            </w:r>
          </w:p>
        </w:tc>
        <w:tc>
          <w:tcPr>
            <w:tcW w:w="1824" w:type="pct"/>
            <w:gridSpan w:val="5"/>
            <w:vAlign w:val="center"/>
          </w:tcPr>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1.是否建立相关的管理程序，描述检测设备和设施的申请、购买、安全处置、运输、存储、使用、维护、修理、溯源、确认、停用、隔离、报废等规定。是□ 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2.是否有措施防止其污染或性能退化。是□ 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3.是否有措施确保设备在运输、存储和使用时，具有安全保障。</w:t>
            </w:r>
          </w:p>
          <w:p>
            <w:pPr>
              <w:snapToGrid w:val="0"/>
              <w:spacing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对检测具有重要影响的设备及其软件应有相关记录，建立设备档案，并安排专人实施动态管理，及时补充相关的信息。记录至少应包括以下信息:</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1.设备及其软件的识别;</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2.制造商名称、型式标识、系列号或其他唯一性标识;</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3.核查设备是否符合规范;</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4.当前位置(适用时)，或指明其放置地点;</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5.制造商的说明书(如果有);</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6.检定、校准报告或证书的日期、结果，设备调整、验收准则和下次校准的预定日期;</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7.设备维护计划，及维护记录 (适用时) ;</w:t>
            </w:r>
          </w:p>
          <w:p>
            <w:pPr>
              <w:snapToGrid w:val="0"/>
              <w:spacing w:line="400" w:lineRule="exac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8.设备的任何损坏、故障、改装或修理情况记录;</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9.量值溯源结果确认。</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1.是否建立设备档案。是□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2.相关的管理程序是否规定仪器设备的档案内容至少包括给出的9个方面。是□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.设备档案是否及时更新和完善。是□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4</w:t>
            </w:r>
            <w:r>
              <w:rPr>
                <w:rFonts w:hint="default" w:ascii="Times New Roman" w:hAnsi="Times New Roman" w:cs="Times New Roman"/>
                <w:color w:val="000000" w:themeColor="text1"/>
                <w:sz w:val="18"/>
                <w:szCs w:val="18"/>
                <w14:textFill>
                  <w14:solidFill>
                    <w14:schemeClr w14:val="tx1"/>
                  </w14:solidFill>
                </w14:textFill>
              </w:rPr>
              <w:t>.是否制定设备维护计划。是□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5</w:t>
            </w:r>
            <w:r>
              <w:rPr>
                <w:rFonts w:hint="default" w:ascii="Times New Roman" w:hAnsi="Times New Roman" w:cs="Times New Roman"/>
                <w:color w:val="000000" w:themeColor="text1"/>
                <w:sz w:val="18"/>
                <w:szCs w:val="18"/>
                <w14:textFill>
                  <w14:solidFill>
                    <w14:schemeClr w14:val="tx1"/>
                  </w14:solidFill>
                </w14:textFill>
              </w:rPr>
              <w:t>.是否按照设备维护计划执行，并保存维护记录。是□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w:t>
            </w:r>
            <w:r>
              <w:rPr>
                <w:rFonts w:hint="default" w:ascii="Times New Roman" w:hAnsi="Times New Roman" w:cs="Times New Roman"/>
                <w:color w:val="000000" w:themeColor="text1"/>
                <w:sz w:val="18"/>
                <w:szCs w:val="18"/>
                <w14:textFill>
                  <w14:solidFill>
                    <w14:schemeClr w14:val="tx1"/>
                  </w14:solidFill>
                </w14:textFill>
              </w:rPr>
              <w:t>.是否保存设备的任何损坏、故障、改装或修理的记录。是□ 否□ 不适用□</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7</w:t>
            </w:r>
            <w:r>
              <w:rPr>
                <w:rFonts w:hint="default" w:ascii="Times New Roman" w:hAnsi="Times New Roman" w:cs="Times New Roman"/>
                <w:color w:val="000000" w:themeColor="text1"/>
                <w:sz w:val="18"/>
                <w:szCs w:val="18"/>
                <w14:textFill>
                  <w14:solidFill>
                    <w14:schemeClr w14:val="tx1"/>
                  </w14:solidFill>
                </w14:textFill>
              </w:rPr>
              <w:t>.改装或修理后的设备是否进行再检定或校准。</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 不适用□</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w:t>
            </w:r>
            <w:r>
              <w:rPr>
                <w:rFonts w:hint="default" w:ascii="Times New Roman" w:hAnsi="Times New Roman" w:cs="Times New Roman"/>
                <w:color w:val="000000" w:themeColor="text1"/>
                <w:sz w:val="18"/>
                <w:szCs w:val="18"/>
                <w14:textFill>
                  <w14:solidFill>
                    <w14:schemeClr w14:val="tx1"/>
                  </w14:solidFill>
                </w14:textFill>
              </w:rPr>
              <w:t>.设备使用和维护的最新版说明书（包括设备制造商提供的有关手册）是否便于检测人员取用。是□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3" w:type="pct"/>
            <w:vAlign w:val="center"/>
          </w:tcPr>
          <w:p>
            <w:pPr>
              <w:spacing w:line="400" w:lineRule="exact"/>
              <w:jc w:val="center"/>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p>
        </w:tc>
        <w:tc>
          <w:tcPr>
            <w:tcW w:w="4466" w:type="pct"/>
            <w:gridSpan w:val="8"/>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管理体系】检测机构应当有完善的组织机构和质量管理体系，有健全的技术、档案等管理制度，并确保组织机构和管理体系能够得到有效、可控、稳定实施，持续符合检测机构资质许可条件以及相关要求。综合资质检测机构并应满足</w:t>
            </w:r>
            <w:r>
              <w:rPr>
                <w:rFonts w:hint="default" w:ascii="Times New Roman" w:hAnsi="Times New Roman" w:eastAsia="CESI仿宋-GB2312" w:cs="Times New Roman"/>
                <w:color w:val="000000" w:themeColor="text1"/>
                <w:kern w:val="2"/>
                <w:sz w:val="28"/>
                <w:szCs w:val="28"/>
                <w:lang w:val="en-US" w:eastAsia="zh-CN"/>
                <w14:textFill>
                  <w14:solidFill>
                    <w14:schemeClr w14:val="tx1"/>
                  </w14:solidFill>
                </w14:textFill>
              </w:rPr>
              <w:t>现行的</w:t>
            </w:r>
            <w:r>
              <w:rPr>
                <w:rFonts w:hint="default" w:ascii="Times New Roman" w:hAnsi="Times New Roman" w:eastAsia="CESI仿宋-GB2312" w:cs="Times New Roman"/>
                <w:color w:val="000000" w:themeColor="text1"/>
                <w:sz w:val="28"/>
                <w:szCs w:val="28"/>
                <w14:textFill>
                  <w14:solidFill>
                    <w14:schemeClr w14:val="tx1"/>
                  </w14:solidFill>
                </w14:textFill>
              </w:rPr>
              <w:t>《检测和校准实验室能力的通用要求》</w:t>
            </w:r>
            <w:r>
              <w:rPr>
                <w:rFonts w:hint="default" w:ascii="Times New Roman" w:hAnsi="Times New Roman" w:eastAsia="CESI仿宋-GB2312" w:cs="Times New Roman"/>
                <w:color w:val="000000" w:themeColor="text1"/>
                <w:sz w:val="28"/>
                <w:szCs w:val="28"/>
                <w:lang w:eastAsia="zh-CN"/>
                <w14:textFill>
                  <w14:solidFill>
                    <w14:schemeClr w14:val="tx1"/>
                  </w14:solidFill>
                </w14:textFill>
              </w:rPr>
              <w:t>GB/T27025</w:t>
            </w:r>
            <w:r>
              <w:rPr>
                <w:rFonts w:hint="default" w:ascii="Times New Roman" w:hAnsi="Times New Roman" w:eastAsia="CESI仿宋-GB2312" w:cs="Times New Roman"/>
                <w:color w:val="000000" w:themeColor="text1"/>
                <w:sz w:val="28"/>
                <w:szCs w:val="2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检测机构应当依据法律法规、标准的规定制定完善的组织机构和管理体系，包括政策、制度、计划、程序和作业指导书等</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检测机构应依据相关法律法规、国家标准、行业标准、国际标准建立管理体系。检测机构建立的管理体系应符合自身实际情况，适应自身检测活动。</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1.管理体系文件是否符合相关法律法规、国家标准、行业标准。</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2.建立的管理体系是否与其活动范围相适应。是□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3.管理体系文件应包括但不限于质量手册、程序文件、作业指导书及记录表格等。是□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检测机构应包括质量管理部分、技术管理部分和行政管理部分等。其文件化内容应涵盖检测机构所有场所和所有检测项目。</w:t>
            </w:r>
          </w:p>
        </w:tc>
        <w:tc>
          <w:tcPr>
            <w:tcW w:w="1824" w:type="pct"/>
            <w:gridSpan w:val="5"/>
            <w:vAlign w:val="center"/>
          </w:tcPr>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1.管理体系文件中是否在职责中明确质量管理、技术管理和行政管理。是□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r>
              <w:rPr>
                <w:rFonts w:hint="default" w:ascii="Times New Roman" w:hAnsi="Times New Roman" w:cs="Times New Roman"/>
                <w:color w:val="000000" w:themeColor="text1"/>
                <w:sz w:val="18"/>
                <w:szCs w:val="18"/>
                <w14:textFill>
                  <w14:solidFill>
                    <w14:schemeClr w14:val="tx1"/>
                  </w14:solidFill>
                </w14:textFill>
              </w:rPr>
              <w:cr/>
            </w:r>
            <w:r>
              <w:rPr>
                <w:rFonts w:hint="default" w:ascii="Times New Roman" w:hAnsi="Times New Roman" w:cs="Times New Roman"/>
                <w:color w:val="000000" w:themeColor="text1"/>
                <w:sz w:val="18"/>
                <w:szCs w:val="18"/>
                <w14:textFill>
                  <w14:solidFill>
                    <w14:schemeClr w14:val="tx1"/>
                  </w14:solidFill>
                </w14:textFill>
              </w:rPr>
              <w:t>2.是否与检测机构活动类型、范围、工作量相适应，是否具有可操作性。是□ 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3.管理体系文件是否覆盖检测机构申请的所有场所和所有检测项目。是□ 否□</w:t>
            </w:r>
          </w:p>
          <w:p>
            <w:pPr>
              <w:snapToGrid w:val="0"/>
              <w:spacing w:line="36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4.各场所的隶属关系及工作接口是否描述清晰，各分场所内部的组织机构（适用时）及人员职责是否明确。是□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检测机构应明确内部组织构成，并通过组织结构图来表述。非独立法人的检测机构， 应明确其与所属法人以及所属法人的其他组成部门的相互关系。</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1.管理体系文件是否明确检测机构内部组织构成，并通过组织结构图来表述，符合实际运作。是□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2.非独立法人的检测机构，是否通过组织结构图，明确其与所属法人以及所属法人的其他组成部门的相互关系，并符合实际运作。</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c>
          <w:tcPr>
            <w:tcW w:w="2388" w:type="pct"/>
            <w:gridSpan w:val="2"/>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检测机构内部组织机构框图中明确表明管理、技术运作和支持服务之间的关系。</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管理体系文件中是否在职责中明确表明质量管理、技术管理和行政管理三者之间的关系，并符合实际运作。是□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.2</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检测机构建立的组织机构和管理体系应当符合自身实际情况并有效运行</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检测机构的组织机构和管理体系件应明确规定了管理体系的建立、实施和保持的责任主体和措施，明确规定管理层（或最高管理者）的相关职责，各级管理人员的职责权限，及与管理层保持沟通的全渠道等。</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1.是否明确规定了管理体系的建立、实施和保持的责任主体和措施。是□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2.是否明确规定了质量管理、技术管理和行政管理的职责权限，及与管理层保持沟通的全渠道等。是□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检测机构的管理体系应当有效运行，并能提供其管理体系有效、可控、稳定实施的证据，如定期的人员培训、内部审核、管理评审、质量控制等活动记录。</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1.管理体系形成文件后，应当以适当的方式传达至有关人员，使其能够“获取、理解、执行”管理体系。是□ 否□</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2.是否保存管理体系有效运行的活动记录</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如</w:t>
            </w:r>
            <w:r>
              <w:rPr>
                <w:rFonts w:hint="default" w:ascii="Times New Roman" w:hAnsi="Times New Roman" w:cs="Times New Roman"/>
                <w:color w:val="000000" w:themeColor="text1"/>
                <w:sz w:val="18"/>
                <w:szCs w:val="18"/>
                <w:lang w:eastAsia="zh-CN"/>
                <w14:textFill>
                  <w14:solidFill>
                    <w14:schemeClr w14:val="tx1"/>
                  </w14:solidFill>
                </w14:textFill>
              </w:rPr>
              <w:t>定期的人员培训、内部审核、管理评审、质量控制</w:t>
            </w:r>
            <w:r>
              <w:rPr>
                <w:rFonts w:hint="default" w:ascii="Times New Roman" w:hAnsi="Times New Roman" w:cs="Times New Roman"/>
                <w:color w:val="000000" w:themeColor="text1"/>
                <w:sz w:val="18"/>
                <w:szCs w:val="18"/>
                <w:lang w:val="en-US" w:eastAsia="zh-CN"/>
                <w14:textFill>
                  <w14:solidFill>
                    <w14:schemeClr w14:val="tx1"/>
                  </w14:solidFill>
                </w14:textFill>
              </w:rPr>
              <w:t>等</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检测机构应配备检测活动所需的资源，包括人员、设施、设备、系统及支持服务。</w:t>
            </w:r>
          </w:p>
        </w:tc>
        <w:tc>
          <w:tcPr>
            <w:tcW w:w="1824" w:type="pct"/>
            <w:gridSpan w:val="5"/>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是否配备检测活动所需的资源，包括人员、场所设施、设备</w:t>
            </w:r>
            <w:r>
              <w:rPr>
                <w:rFonts w:hint="default" w:ascii="Times New Roman" w:hAnsi="Times New Roman" w:cs="Times New Roman"/>
                <w:color w:val="000000" w:themeColor="text1"/>
                <w:sz w:val="18"/>
                <w:szCs w:val="18"/>
                <w:lang w:val="en-US" w:eastAsia="zh-CN"/>
                <w14:textFill>
                  <w14:solidFill>
                    <w14:schemeClr w14:val="tx1"/>
                  </w14:solidFill>
                </w14:textFill>
              </w:rPr>
              <w:t>等</w:t>
            </w:r>
            <w:r>
              <w:rPr>
                <w:rFonts w:hint="default" w:ascii="Times New Roman" w:hAnsi="Times New Roman" w:cs="Times New Roman"/>
                <w:color w:val="000000" w:themeColor="text1"/>
                <w:sz w:val="18"/>
                <w:szCs w:val="18"/>
                <w14:textFill>
                  <w14:solidFill>
                    <w14:schemeClr w14:val="tx1"/>
                  </w14:solidFill>
                </w14:textFill>
              </w:rPr>
              <w:t>来支撑管理体系的有效运行。是□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.3</w:t>
            </w:r>
          </w:p>
        </w:tc>
        <w:tc>
          <w:tcPr>
            <w:tcW w:w="2647" w:type="pct"/>
            <w:gridSpan w:val="4"/>
            <w:vAlign w:val="center"/>
          </w:tcPr>
          <w:p>
            <w:pPr>
              <w:snapToGrid w:val="0"/>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检测机构建立的组织机构应明确其组织结构及管理、技术运行和支持检测之间的关系，对各层级进行界定，明确职责权限，并在组织机构图中予以指明</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364"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860" w:type="pct"/>
            <w:gridSpan w:val="2"/>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94" w:type="pct"/>
            <w:gridSpan w:val="3"/>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检测机构内设机构及部门以相应文件的方式确认，至少应有业务管理、检测技术等部门。各部门职能明确，尽量避免交叉重复，并能按分工开展工作。</w:t>
            </w:r>
          </w:p>
        </w:tc>
        <w:tc>
          <w:tcPr>
            <w:tcW w:w="1818" w:type="pct"/>
            <w:gridSpan w:val="4"/>
            <w:vAlign w:val="center"/>
          </w:tcPr>
          <w:p>
            <w:pPr>
              <w:snapToGrid w:val="0"/>
              <w:spacing w:line="400" w:lineRule="exact"/>
              <w:ind w:left="4140" w:hanging="4140" w:hangingChars="23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1.是否有内设机构及部门的文件。是□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ind w:left="4140" w:hanging="4140" w:hangingChars="23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w:t>
            </w:r>
            <w:r>
              <w:rPr>
                <w:rFonts w:hint="default" w:ascii="Times New Roman" w:hAnsi="Times New Roman" w:cs="Times New Roman"/>
                <w:color w:val="000000" w:themeColor="text1"/>
                <w:sz w:val="18"/>
                <w:szCs w:val="18"/>
                <w:lang w:val="en-US" w:eastAsia="zh-CN"/>
                <w14:textFill>
                  <w14:solidFill>
                    <w14:schemeClr w14:val="tx1"/>
                  </w14:solidFill>
                </w14:textFill>
              </w:rPr>
              <w:t>内设有</w:t>
            </w:r>
            <w:r>
              <w:rPr>
                <w:rFonts w:hint="default" w:ascii="Times New Roman" w:hAnsi="Times New Roman" w:cs="Times New Roman"/>
                <w:color w:val="000000" w:themeColor="text1"/>
                <w:sz w:val="18"/>
                <w:szCs w:val="18"/>
                <w14:textFill>
                  <w14:solidFill>
                    <w14:schemeClr w14:val="tx1"/>
                  </w14:solidFill>
                </w14:textFill>
              </w:rPr>
              <w:t>业务管理、检测技术等部门。是□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ind w:left="4140" w:hanging="4140" w:hangingChars="23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3.管理体系中的职能分配表是否明确各部门职能。是□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94" w:type="pct"/>
            <w:gridSpan w:val="3"/>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有组织机构框图。标明各组成部门主要职责及相互关系、负责人姓名和职称。如检测机构为某一组织的一部分时，应标明与相关部门在管理、技术运作和支持服务等方面的关系。</w:t>
            </w:r>
          </w:p>
        </w:tc>
        <w:tc>
          <w:tcPr>
            <w:tcW w:w="1818" w:type="pct"/>
            <w:gridSpan w:val="4"/>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1.组织机构框体，是否明确其内外部关系。是□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2.组织机构框体是否标明相关信息。是□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94" w:type="pct"/>
            <w:gridSpan w:val="3"/>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机构内部设置的主要岗位人员设置合理，并在质量手册中明确岗位职责。</w:t>
            </w:r>
          </w:p>
        </w:tc>
        <w:tc>
          <w:tcPr>
            <w:tcW w:w="1818" w:type="pct"/>
            <w:gridSpan w:val="4"/>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1.是否有内设主要岗位人员的文件。是□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2.管理体系中是否明确人员的岗位职责。是□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.4</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检测机构的质量管理体系至少应包括下列内容：管理体系文件、管理体系文件的控制、记录控制、应对风险和机遇的措施、改进、纠正措施、内部审核、管理评审等</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1</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检测机构应建立符合自身实际状况，适应自身检测活动并能保证其独立、公正、科学、诚信的管理体系。</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是否建立保证其检测活动独立、公正、科学、诚信的管理体系。</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2</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检测机构的质量方针、质量目标应进行系统的规定和管理，从而实现预期结果。</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1.是否制定发布质量方针声明和质量目标。是□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2.是否对质量方针的适宜性、有效性、充分性进行评价。是□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3.是否对质量目标完成情况进行考核。是□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3</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检测机构的质量管理体系应将政策、制度、计划、程序、和指导书等过程要素文件化。</w:t>
            </w:r>
          </w:p>
        </w:tc>
        <w:tc>
          <w:tcPr>
            <w:tcW w:w="1824" w:type="pct"/>
            <w:gridSpan w:val="5"/>
            <w:vAlign w:val="center"/>
          </w:tcPr>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1.是否依据相关法律法规、标准的规定制定完善的管理体系文件，包括政策、制度、计划、程序、和指导书等制定成文件。</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2.管理体系文件是否符合</w:t>
            </w:r>
            <w:r>
              <w:rPr>
                <w:rFonts w:hint="default" w:ascii="Times New Roman" w:hAnsi="Times New Roman" w:cs="Times New Roman"/>
                <w:color w:val="000000" w:themeColor="text1"/>
                <w:sz w:val="18"/>
                <w:szCs w:val="18"/>
                <w:lang w:val="en-US" w:eastAsia="zh-CN"/>
                <w14:textFill>
                  <w14:solidFill>
                    <w14:schemeClr w14:val="tx1"/>
                  </w14:solidFill>
                </w14:textFill>
              </w:rPr>
              <w:t>本</w:t>
            </w:r>
            <w:r>
              <w:rPr>
                <w:rFonts w:hint="default" w:ascii="Times New Roman" w:hAnsi="Times New Roman" w:cs="Times New Roman"/>
                <w:color w:val="000000" w:themeColor="text1"/>
                <w:sz w:val="18"/>
                <w:szCs w:val="18"/>
                <w14:textFill>
                  <w14:solidFill>
                    <w14:schemeClr w14:val="tx1"/>
                  </w14:solidFill>
                </w14:textFill>
              </w:rPr>
              <w:t>机构的实际情况。是□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4</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质量管理体系至少应包括管理体系文件、管理体系文件的控制、记录控制、应对风险和机遇的措施、改进、纠正措施、内部审核、管理评审等。</w:t>
            </w:r>
          </w:p>
        </w:tc>
        <w:tc>
          <w:tcPr>
            <w:tcW w:w="1824" w:type="pct"/>
            <w:gridSpan w:val="5"/>
            <w:vAlign w:val="center"/>
          </w:tcPr>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管理体系至少应包括：管理体系文件、管理体系文件的控制、记录控制、应对风险和机遇的措施、改进、纠正措施、内部审核和管理评审。是□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5</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检测机构的质量管理体系形成文件后，应当以适当的方式传达有关人员，使其能够“获取、理解、执行”管理体系。</w:t>
            </w:r>
          </w:p>
        </w:tc>
        <w:tc>
          <w:tcPr>
            <w:tcW w:w="1824" w:type="pct"/>
            <w:gridSpan w:val="5"/>
            <w:vAlign w:val="center"/>
          </w:tcPr>
          <w:p>
            <w:pPr>
              <w:snapToGrid w:val="0"/>
              <w:spacing w:line="400" w:lineRule="exact"/>
              <w:ind w:left="360" w:hanging="360" w:hangingChars="2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1.制定的体系文件是否有宣贯培训计划并按照计划实施。是□ 否□</w:t>
            </w:r>
          </w:p>
          <w:p>
            <w:pPr>
              <w:snapToGrid w:val="0"/>
              <w:spacing w:line="4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2.形成的管理体系文件是否便于员工“获取、理解、执行”。</w:t>
            </w:r>
          </w:p>
          <w:p>
            <w:pPr>
              <w:snapToGrid w:val="0"/>
              <w:spacing w:line="40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.5</w:t>
            </w:r>
          </w:p>
        </w:tc>
        <w:tc>
          <w:tcPr>
            <w:tcW w:w="2641" w:type="pct"/>
            <w:gridSpan w:val="3"/>
            <w:vAlign w:val="center"/>
          </w:tcPr>
          <w:p>
            <w:pPr>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检测机构应正确使用有效的方法开检测活动。检测方法包括标准方法和非标准方法，应当优先使用标准方法。使用标准方法前应当进行验证；使用非标准方法前，应当先对方法进行确认，再验证</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检测机构申请的标准方法应正确、有效，与申报的检测项目相符。</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1.申请的标准方法是否正确、有效。是□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2.是否保留现行有效的标准方法。是□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检测机构在初次使用标准方法前，应进行方法验证，并提供相关证明材料。</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在初次使用标准方法前，是否进行了方法验证，并提供相关证明材料。是□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检测机构应根据检测工作的需要制定作业指导书，作业指导书的内容应能保证检测人员操作的一致性。</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lang w:val="en-US" w:eastAsia="zh-CN"/>
                <w14:textFill>
                  <w14:solidFill>
                    <w14:schemeClr w14:val="tx1"/>
                  </w14:solidFill>
                </w14:textFill>
              </w:rPr>
              <w:t>是否</w:t>
            </w:r>
            <w:r>
              <w:rPr>
                <w:rFonts w:hint="default" w:ascii="Times New Roman" w:hAnsi="Times New Roman" w:cs="Times New Roman"/>
                <w:color w:val="000000" w:themeColor="text1"/>
                <w:sz w:val="18"/>
                <w:szCs w:val="18"/>
                <w14:textFill>
                  <w14:solidFill>
                    <w14:schemeClr w14:val="tx1"/>
                  </w14:solidFill>
                </w14:textFill>
              </w:rPr>
              <w:t>根据检测工作的需要制定</w:t>
            </w:r>
            <w:r>
              <w:rPr>
                <w:rFonts w:hint="default" w:ascii="Times New Roman" w:hAnsi="Times New Roman" w:cs="Times New Roman"/>
                <w:color w:val="000000" w:themeColor="text1"/>
                <w:sz w:val="18"/>
                <w:szCs w:val="18"/>
                <w:lang w:val="en-US" w:eastAsia="zh-CN"/>
                <w14:textFill>
                  <w14:solidFill>
                    <w14:schemeClr w14:val="tx1"/>
                  </w14:solidFill>
                </w14:textFill>
              </w:rPr>
              <w:t>相应的</w:t>
            </w:r>
            <w:r>
              <w:rPr>
                <w:rFonts w:hint="default" w:ascii="Times New Roman" w:hAnsi="Times New Roman" w:cs="Times New Roman"/>
                <w:color w:val="000000" w:themeColor="text1"/>
                <w:sz w:val="18"/>
                <w:szCs w:val="18"/>
                <w14:textFill>
                  <w14:solidFill>
                    <w14:schemeClr w14:val="tx1"/>
                  </w14:solidFill>
                </w14:textFill>
              </w:rPr>
              <w:t>作业指导书（含附加细则或补充文件。是□ 否□ 不适用□</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2.作业指导书（含附加细则或补充文件）是否符合相关标准的要求。是□ 否□ 不适用□</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3.制定的作业指导书（含附加细则或补充文件）是否经过审批后使用。是□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4.制定作业指导书（含附加细则或补充文件）等是否纳入受控管理。是□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c>
          <w:tcPr>
            <w:tcW w:w="2388" w:type="pct"/>
            <w:gridSpan w:val="2"/>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检测机构应对检测方法标准定期查新和保留查新记录做出文件化规定，并能提供对检测标准的定期查新记录。</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1.是否建立检测方法查新的规定。是□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2.是否按规定进行标准查新，并保留标准方法查新的记录。</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3.使用的方法，是否是现行有效的。是□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.6</w:t>
            </w:r>
          </w:p>
        </w:tc>
        <w:tc>
          <w:tcPr>
            <w:tcW w:w="2641" w:type="pct"/>
            <w:gridSpan w:val="3"/>
            <w:vAlign w:val="center"/>
          </w:tcPr>
          <w:p>
            <w:pPr>
              <w:snapToGrid w:val="0"/>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检测机构出具的检测报告，应当客观真实、方法有效、数据完整</w:t>
            </w:r>
            <w:r>
              <w:rPr>
                <w:rFonts w:hint="default" w:ascii="Times New Roman" w:hAnsi="Times New Roman" w:eastAsia="CESI仿宋-GB2312" w:cs="Times New Roman"/>
                <w:color w:val="000000" w:themeColor="text1"/>
                <w:sz w:val="28"/>
                <w:szCs w:val="28"/>
                <w:lang w:val="en-US" w:eastAsia="zh-CN"/>
                <w14:textFill>
                  <w14:solidFill>
                    <w14:schemeClr w14:val="tx1"/>
                  </w14:solidFill>
                </w14:textFill>
              </w:rPr>
              <w:t>准确</w:t>
            </w:r>
            <w:r>
              <w:rPr>
                <w:rFonts w:hint="default" w:ascii="Times New Roman" w:hAnsi="Times New Roman" w:eastAsia="CESI仿宋-GB2312" w:cs="Times New Roman"/>
                <w:color w:val="000000" w:themeColor="text1"/>
                <w:sz w:val="28"/>
                <w:szCs w:val="28"/>
                <w14:textFill>
                  <w14:solidFill>
                    <w14:schemeClr w14:val="tx1"/>
                  </w14:solidFill>
                </w14:textFill>
              </w:rPr>
              <w:t>、信息齐全、结论明确、表述清晰并使用法定计量单位</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检测机构应准确、清晰、明确和客观地以书面或电子方式出具检测报告。检测报告应当客观真实、方法有效、数据完整、信息齐全、结论明确、表述清晰并使用法定计量单位。</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是否制定检测报告控制程序，保证准确、清晰、明确和客观地出具的报告满足前述基本要求。是□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检测机构在资质许可范围内出具的报告，报告的编制应符合行业管理的相关规定。</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检测报告的编制应依照行业管理要求，并在机构管理体系中进行明确。是□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检测机构开展检测活动的原始记录信息能有效支撑对应出具的报告内容，以确保报告的可追溯性。</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每项检测的记录是否信息充分（如样品、检测条件、涉及量值溯源的设备或标准物质、检测过程等），保证能够再现其检测活动，实现可追溯性。是□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如有电子签名的检测报告，检测机构质量体系文件中应有使用电子签名的规定，规定使用可靠的电子签名。</w:t>
            </w:r>
          </w:p>
        </w:tc>
        <w:tc>
          <w:tcPr>
            <w:tcW w:w="1824" w:type="pct"/>
            <w:gridSpan w:val="5"/>
            <w:vAlign w:val="center"/>
          </w:tcPr>
          <w:p>
            <w:pPr>
              <w:snapToGrid w:val="0"/>
              <w:spacing w:line="400" w:lineRule="exact"/>
              <w:jc w:val="left"/>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1.是否建立并执行电子签名的相关程序和管理制度。是□ 否□</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不适用□</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2.电子签名的检测报告，其等效标识是否具有唯一性和安全性。</w:t>
            </w:r>
          </w:p>
          <w:p>
            <w:pPr>
              <w:snapToGrid w:val="0"/>
              <w:spacing w:line="400" w:lineRule="exact"/>
              <w:jc w:val="left"/>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.7</w:t>
            </w:r>
          </w:p>
        </w:tc>
        <w:tc>
          <w:tcPr>
            <w:tcW w:w="2641" w:type="pct"/>
            <w:gridSpan w:val="3"/>
            <w:vAlign w:val="center"/>
          </w:tcPr>
          <w:p>
            <w:pPr>
              <w:snapToGrid w:val="0"/>
              <w:spacing w:line="400" w:lineRule="exact"/>
              <w:jc w:val="left"/>
              <w:rPr>
                <w:rFonts w:hint="eastAsia" w:ascii="Times New Roman" w:hAnsi="Times New Roman" w:eastAsia="CESI仿宋-GB2312" w:cs="Times New Roman"/>
                <w:color w:val="000000" w:themeColor="text1"/>
                <w:sz w:val="28"/>
                <w:szCs w:val="28"/>
                <w:lang w:eastAsia="zh-CN"/>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检测机构应当实施有效的数据、结果质量控制活动，质量控制活动</w:t>
            </w:r>
            <w:r>
              <w:rPr>
                <w:rFonts w:hint="default" w:ascii="Times New Roman" w:hAnsi="Times New Roman" w:eastAsia="CESI仿宋-GB2312" w:cs="Times New Roman"/>
                <w:color w:val="000000" w:themeColor="text1"/>
                <w:sz w:val="28"/>
                <w:szCs w:val="28"/>
                <w:lang w:val="en-US" w:eastAsia="zh-CN"/>
                <w14:textFill>
                  <w14:solidFill>
                    <w14:schemeClr w14:val="tx1"/>
                  </w14:solidFill>
                </w14:textFill>
              </w:rPr>
              <w:t>应</w:t>
            </w:r>
            <w:r>
              <w:rPr>
                <w:rFonts w:hint="default" w:ascii="Times New Roman" w:hAnsi="Times New Roman" w:eastAsia="CESI仿宋-GB2312" w:cs="Times New Roman"/>
                <w:color w:val="000000" w:themeColor="text1"/>
                <w:sz w:val="28"/>
                <w:szCs w:val="28"/>
                <w14:textFill>
                  <w14:solidFill>
                    <w14:schemeClr w14:val="tx1"/>
                  </w14:solidFill>
                </w14:textFill>
              </w:rPr>
              <w:t>与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r>
              <w:rPr>
                <w:rFonts w:hint="eastAsia" w:ascii="Times New Roman" w:hAnsi="Times New Roman" w:eastAsia="CESI仿宋-GB2312" w:cs="Times New Roman"/>
                <w:color w:val="000000" w:themeColor="text1"/>
                <w:sz w:val="28"/>
                <w:szCs w:val="28"/>
                <w:lang w:eastAsia="zh-CN"/>
                <w14:textFill>
                  <w14:solidFill>
                    <w14:schemeClr w14:val="tx1"/>
                  </w14:solidFill>
                </w14:textFill>
              </w:rPr>
              <w:t>；</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检测机构的管理体系文件，应包含对数据、结果质量控制方面的相关规定，包括内部质量控制活动和外部质量控制活动的全部要求。</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1.管理体系文件，是否包含了对数据、结果质量控制方面的相关规定(程序)。是□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2.是否明确检测过程控制要求，并覆盖资质认定范围内的全部检测项目类别。是□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3.是否包括了内部质量控制活动和外部质量控制活动的全部要求。是□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检测机构能提供其年度质量控制活动计划及实施记录。记录内容至少应包括：质控对象、质控方式、组织者、（预计）实施的时间、参加人员、评价依据、质控结果与结果评价等内容。</w:t>
            </w:r>
          </w:p>
        </w:tc>
        <w:tc>
          <w:tcPr>
            <w:tcW w:w="1824" w:type="pct"/>
            <w:gridSpan w:val="5"/>
            <w:vAlign w:val="center"/>
          </w:tcPr>
          <w:p>
            <w:pPr>
              <w:snapToGrid w:val="0"/>
              <w:spacing w:line="36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1.是否制定年度质量控制计划。是□ 否□</w:t>
            </w:r>
          </w:p>
          <w:p>
            <w:pPr>
              <w:snapToGrid w:val="0"/>
              <w:spacing w:line="36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2.是否按照年度质量控制计划实施，并提供相应的记录。是□ 否□</w:t>
            </w:r>
          </w:p>
          <w:p>
            <w:pPr>
              <w:snapToGrid w:val="0"/>
              <w:spacing w:line="36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3.记录内容是否包括：质控对象、质控方式、组织者、（预计）实施的时间、参加人员、评价依据、质控结果与结果评价等内容。</w:t>
            </w:r>
          </w:p>
          <w:p>
            <w:pPr>
              <w:snapToGrid w:val="0"/>
              <w:spacing w:line="36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3" w:type="pct"/>
            <w:vMerge w:val="continue"/>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检测机构参加能力验证活动应满足行业主管部门制定的相关规定要求。保留参加能力验证活动的相关记录。记录内容至少应包括：任务书、检验检测技术记录，结果反馈证书及结果评价等内容。</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是否参加资质许可部门所要求的能力验证或者检测机构间比对活动，并留</w:t>
            </w:r>
            <w:r>
              <w:rPr>
                <w:rFonts w:hint="default" w:ascii="Times New Roman" w:hAnsi="Times New Roman" w:cs="Times New Roman"/>
                <w:color w:val="000000" w:themeColor="text1"/>
                <w:sz w:val="18"/>
                <w:szCs w:val="18"/>
                <w:lang w:val="en-US" w:eastAsia="zh-CN"/>
                <w14:textFill>
                  <w14:solidFill>
                    <w14:schemeClr w14:val="tx1"/>
                  </w14:solidFill>
                </w14:textFill>
              </w:rPr>
              <w:t>存</w:t>
            </w:r>
            <w:r>
              <w:rPr>
                <w:rFonts w:hint="default" w:ascii="Times New Roman" w:hAnsi="Times New Roman" w:cs="Times New Roman"/>
                <w:color w:val="000000" w:themeColor="text1"/>
                <w:sz w:val="18"/>
                <w:szCs w:val="18"/>
                <w14:textFill>
                  <w14:solidFill>
                    <w14:schemeClr w14:val="tx1"/>
                  </w14:solidFill>
                </w14:textFill>
              </w:rPr>
              <w:t>相应的记录。是□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检测机构提供的内部质控材料，应能确认其开展内部质量控制活动的针对性和有效性与本机构开展检测活动的类型相适宜，能覆盖了本机构的资质许可能力范围。</w:t>
            </w:r>
          </w:p>
        </w:tc>
        <w:tc>
          <w:tcPr>
            <w:tcW w:w="1824" w:type="pct"/>
            <w:gridSpan w:val="5"/>
            <w:vAlign w:val="center"/>
          </w:tcPr>
          <w:p>
            <w:pPr>
              <w:snapToGrid w:val="0"/>
              <w:spacing w:line="36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1.年度质量控制计划是否覆盖检测能力领域的各个类别。是□ 否□</w:t>
            </w:r>
          </w:p>
          <w:p>
            <w:pPr>
              <w:snapToGrid w:val="0"/>
              <w:spacing w:line="36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2.年度质量控制计划内容是否包括</w:t>
            </w:r>
            <w:r>
              <w:rPr>
                <w:rFonts w:hint="default" w:ascii="Times New Roman" w:hAnsi="Times New Roman" w:cs="Times New Roman"/>
                <w:color w:val="000000" w:themeColor="text1"/>
                <w:sz w:val="18"/>
                <w:szCs w:val="18"/>
                <w:lang w:val="en-US" w:eastAsia="zh-CN"/>
                <w14:textFill>
                  <w14:solidFill>
                    <w14:schemeClr w14:val="tx1"/>
                  </w14:solidFill>
                </w14:textFill>
              </w:rPr>
              <w:t>资质</w:t>
            </w:r>
            <w:r>
              <w:rPr>
                <w:rFonts w:hint="default" w:ascii="Times New Roman" w:hAnsi="Times New Roman" w:cs="Times New Roman"/>
                <w:color w:val="000000" w:themeColor="text1"/>
                <w:sz w:val="18"/>
                <w:szCs w:val="18"/>
                <w14:textFill>
                  <w14:solidFill>
                    <w14:schemeClr w14:val="tx1"/>
                  </w14:solidFill>
                </w14:textFill>
              </w:rPr>
              <w:t>类别、项目/参数、时间、方法、人员、评价方式。是□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w:t>
            </w:r>
          </w:p>
        </w:tc>
        <w:tc>
          <w:tcPr>
            <w:tcW w:w="2388" w:type="pct"/>
            <w:gridSpan w:val="2"/>
            <w:vAlign w:val="center"/>
          </w:tcPr>
          <w:p>
            <w:pPr>
              <w:snapToGrid w:val="0"/>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检测机构在开展的内部或外部质量控制活动中发现数据异常或超出了预先判定规则，应保留有其组织原因分析，必要时采取的有效的措施纠正和防止报告错误的结果（包括必要时追回报告）等活动的证明材料。</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1.是否对质量控制结果进行评价，并采取相应的纠正措施、预防措施。是□ 否□</w:t>
            </w:r>
          </w:p>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2.当分析质量控制数据发现其偏离预先判断时，是否采取有</w:t>
            </w:r>
            <w:r>
              <w:rPr>
                <w:rFonts w:hint="default" w:ascii="Times New Roman" w:hAnsi="Times New Roman" w:cs="Times New Roman"/>
                <w:color w:val="000000" w:themeColor="text1"/>
                <w:sz w:val="18"/>
                <w:szCs w:val="18"/>
                <w:lang w:val="en-US" w:eastAsia="zh-CN"/>
                <w14:textFill>
                  <w14:solidFill>
                    <w14:schemeClr w14:val="tx1"/>
                  </w14:solidFill>
                </w14:textFill>
              </w:rPr>
              <w:t>效</w:t>
            </w:r>
            <w:r>
              <w:rPr>
                <w:rFonts w:hint="default" w:ascii="Times New Roman" w:hAnsi="Times New Roman" w:cs="Times New Roman"/>
                <w:color w:val="000000" w:themeColor="text1"/>
                <w:sz w:val="18"/>
                <w:szCs w:val="18"/>
                <w14:textFill>
                  <w14:solidFill>
                    <w14:schemeClr w14:val="tx1"/>
                  </w14:solidFill>
                </w14:textFill>
              </w:rPr>
              <w:t>的措施来纠正出现的问题，防止报告错误的结果。是□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3" w:type="pc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.8</w:t>
            </w:r>
          </w:p>
        </w:tc>
        <w:tc>
          <w:tcPr>
            <w:tcW w:w="2641" w:type="pct"/>
            <w:gridSpan w:val="3"/>
            <w:vAlign w:val="center"/>
          </w:tcPr>
          <w:p>
            <w:pPr>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检测机构应有完善的信息化管理系统，应当具有保障安全性、完整性、正确性措施，确保质量检测活动全过程可追溯。</w:t>
            </w:r>
          </w:p>
        </w:tc>
        <w:tc>
          <w:tcPr>
            <w:tcW w:w="550" w:type="pct"/>
            <w:gridSpan w:val="3"/>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c>
          <w:tcPr>
            <w:tcW w:w="593" w:type="pct"/>
            <w:vAlign w:val="center"/>
          </w:tcPr>
          <w:p>
            <w:pPr>
              <w:snapToGrid w:val="0"/>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3" w:type="pct"/>
            <w:vMerge w:val="restart"/>
            <w:vAlign w:val="center"/>
          </w:tcPr>
          <w:p>
            <w:pPr>
              <w:spacing w:line="40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检测机构有完善的信息化管理系统，并符合厅检测机构信息化管理系统要求。</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1.是否建立检测信息化管理系统。是□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2.信息化系统是否能保证检测活动全过程可追溯。是□ 否□</w:t>
            </w:r>
          </w:p>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3.是否对其信息管理系统进行有效管理，以保证获得检测活动所需的数据和信息。是□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3" w:type="pct"/>
            <w:vMerge w:val="continue"/>
            <w:vAlign w:val="center"/>
          </w:tcPr>
          <w:p>
            <w:pPr>
              <w:spacing w:line="400" w:lineRule="exact"/>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管理体系文件中应包含了计算机信息系统的保护数据完整性、安全性和不可伪造篡改的内容，以及电子存储和传输结果的规定。</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1.是否建立和保持计算机信息系统的数据完整性、正确性和保密性的保护程序。是□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2.是否制定</w:t>
            </w:r>
            <w:r>
              <w:rPr>
                <w:rFonts w:hint="default" w:ascii="Times New Roman" w:hAnsi="Times New Roman" w:cs="Times New Roman"/>
                <w:color w:val="000000" w:themeColor="text1"/>
                <w:sz w:val="18"/>
                <w:szCs w:val="18"/>
                <w:lang w:val="en-US" w:eastAsia="zh-CN"/>
                <w14:textFill>
                  <w14:solidFill>
                    <w14:schemeClr w14:val="tx1"/>
                  </w14:solidFill>
                </w14:textFill>
              </w:rPr>
              <w:t>有确保</w:t>
            </w:r>
            <w:r>
              <w:rPr>
                <w:rFonts w:hint="default" w:ascii="Times New Roman" w:hAnsi="Times New Roman" w:cs="Times New Roman"/>
                <w:color w:val="000000" w:themeColor="text1"/>
                <w:sz w:val="18"/>
                <w:szCs w:val="18"/>
                <w14:textFill>
                  <w14:solidFill>
                    <w14:schemeClr w14:val="tx1"/>
                  </w14:solidFill>
                </w14:textFill>
              </w:rPr>
              <w:t>检测数据、结果不被篡改，并实现不丢失、可追溯功能的管理措施。是□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3" w:type="pct"/>
            <w:vMerge w:val="continue"/>
            <w:vAlign w:val="center"/>
          </w:tcPr>
          <w:p>
            <w:pPr>
              <w:spacing w:line="400" w:lineRule="exact"/>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检测信息化管理系统应能确保检验检测数据、结果不被篡改，并实现不丢失、可追溯功能。对信息化管理系统、数据采集系统、数据处理系统的正确性进行了验证，能保留了相关活动的记录。</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1.是否保留检测信息管理系统记录和运行记录。是□ 否□</w:t>
            </w:r>
          </w:p>
          <w:p>
            <w:pPr>
              <w:snapToGrid w:val="0"/>
              <w:spacing w:line="400" w:lineRule="exact"/>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2.是否定期对利用计算机或自动化设备采集、处理、记录、报告、存储或检索的检测数据进行检查、手工计算，确保数据的完整性、真实性、准确性，并保留相关记录。是□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3" w:type="pct"/>
            <w:vMerge w:val="continue"/>
            <w:vAlign w:val="center"/>
          </w:tcPr>
          <w:p>
            <w:pPr>
              <w:spacing w:line="400" w:lineRule="exact"/>
              <w:rPr>
                <w:rFonts w:hint="default" w:ascii="Times New Roman" w:hAnsi="Times New Roman" w:cs="Times New Roman"/>
                <w:color w:val="000000" w:themeColor="text1"/>
                <w:sz w:val="28"/>
                <w:szCs w:val="28"/>
                <w14:textFill>
                  <w14:solidFill>
                    <w14:schemeClr w14:val="tx1"/>
                  </w14:solidFill>
                </w14:textFill>
              </w:rPr>
            </w:pPr>
          </w:p>
        </w:tc>
        <w:tc>
          <w:tcPr>
            <w:tcW w:w="252" w:type="pct"/>
            <w:vAlign w:val="center"/>
          </w:tcPr>
          <w:p>
            <w:pPr>
              <w:pStyle w:val="20"/>
              <w:spacing w:line="400" w:lineRule="exact"/>
              <w:ind w:firstLine="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c>
          <w:tcPr>
            <w:tcW w:w="2388" w:type="pct"/>
            <w:gridSpan w:val="2"/>
            <w:vAlign w:val="center"/>
          </w:tcPr>
          <w:p>
            <w:pPr>
              <w:spacing w:line="400" w:lineRule="exact"/>
              <w:jc w:val="left"/>
              <w:rPr>
                <w:rFonts w:hint="default" w:ascii="Times New Roman" w:hAnsi="Times New Roman" w:eastAsia="CESI仿宋-GB2312"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有人负责管理、维护检测信息化管理系统。</w:t>
            </w:r>
          </w:p>
        </w:tc>
        <w:tc>
          <w:tcPr>
            <w:tcW w:w="1824" w:type="pct"/>
            <w:gridSpan w:val="5"/>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1.是否规定检测信息化系统管理人员的职责、权力、任职要求。</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２.计算机和自动设备所必需的环境和运行条件是否满足要求，以保护检测数据完整性。是□ 否□</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３.是否定期维护保养计算机和自动设备以确保其功能正常。</w:t>
            </w:r>
          </w:p>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86" w:type="pct"/>
            <w:gridSpan w:val="2"/>
            <w:vAlign w:val="center"/>
          </w:tcPr>
          <w:p>
            <w:pPr>
              <w:pStyle w:val="20"/>
              <w:spacing w:line="400" w:lineRule="exact"/>
              <w:ind w:firstLine="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ESI仿宋-GB2312" w:cs="Times New Roman"/>
                <w:color w:val="000000" w:themeColor="text1"/>
                <w:sz w:val="28"/>
                <w:szCs w:val="28"/>
                <w14:textFill>
                  <w14:solidFill>
                    <w14:schemeClr w14:val="tx1"/>
                  </w14:solidFill>
                </w14:textFill>
              </w:rPr>
              <w:t>审查（核查）结论</w:t>
            </w:r>
          </w:p>
        </w:tc>
        <w:tc>
          <w:tcPr>
            <w:tcW w:w="4213" w:type="pct"/>
            <w:gridSpan w:val="7"/>
            <w:vAlign w:val="center"/>
          </w:tcPr>
          <w:p>
            <w:pPr>
              <w:snapToGrid w:val="0"/>
              <w:spacing w:line="400" w:lineRule="exact"/>
              <w:jc w:val="left"/>
              <w:rPr>
                <w:rFonts w:hint="default" w:ascii="Times New Roman" w:hAnsi="Times New Roman" w:eastAsia="仿宋_GB2312" w:cs="Times New Roman"/>
                <w:color w:val="000000" w:themeColor="text1"/>
                <w:sz w:val="18"/>
                <w:szCs w:val="1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符合</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 xml:space="preserve">    基本符合</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 xml:space="preserve">    不符合</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000" w:type="pct"/>
            <w:gridSpan w:val="9"/>
            <w:vAlign w:val="center"/>
          </w:tcPr>
          <w:p>
            <w:pPr>
              <w:snapToGrid w:val="0"/>
              <w:spacing w:line="400" w:lineRule="exact"/>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评审组专家(签名)：                                                日期：             </w:t>
            </w:r>
            <w:r>
              <w:rPr>
                <w:rFonts w:hint="default" w:ascii="Times New Roman" w:hAnsi="Times New Roman" w:cs="Times New Roman"/>
                <w:color w:val="000000" w:themeColor="text1"/>
                <w14:textFill>
                  <w14:solidFill>
                    <w14:schemeClr w14:val="tx1"/>
                  </w14:solidFill>
                </w14:textFill>
              </w:rPr>
              <w:t xml:space="preserve">                </w:t>
            </w:r>
          </w:p>
        </w:tc>
      </w:tr>
    </w:tbl>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sectPr>
          <w:pgSz w:w="16838" w:h="11906" w:orient="landscape"/>
          <w:pgMar w:top="1236" w:right="1157" w:bottom="1009" w:left="1157" w:header="851" w:footer="992" w:gutter="0"/>
          <w:pgNumType w:fmt="numberInDash"/>
          <w:cols w:space="0" w:num="1"/>
          <w:docGrid w:type="lines" w:linePitch="319" w:charSpace="0"/>
        </w:sectPr>
      </w:pPr>
    </w:p>
    <w:p>
      <w:pPr>
        <w:widowControl/>
        <w:shd w:val="clear" w:color="auto" w:fill="FFFFFF"/>
        <w:wordWrap w:val="0"/>
        <w:spacing w:line="543" w:lineRule="atLeas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widowControl/>
        <w:shd w:val="clear" w:color="auto" w:fill="FFFFFF"/>
        <w:wordWrap w:val="0"/>
        <w:spacing w:line="543" w:lineRule="atLeast"/>
        <w:jc w:val="center"/>
        <w:rPr>
          <w:rFonts w:hint="default" w:ascii="Times New Roman" w:hAnsi="Times New Roman" w:cs="Times New Roman"/>
          <w:kern w:val="0"/>
          <w:sz w:val="20"/>
          <w:szCs w:val="20"/>
        </w:rPr>
      </w:pPr>
    </w:p>
    <w:p>
      <w:pPr>
        <w:widowControl/>
        <w:shd w:val="clear" w:color="auto" w:fill="FFFFFF"/>
        <w:wordWrap w:val="0"/>
        <w:spacing w:line="543" w:lineRule="atLeas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建设工程质量检测机构资质许可</w:t>
      </w:r>
    </w:p>
    <w:p>
      <w:pPr>
        <w:widowControl/>
        <w:shd w:val="clear" w:color="auto" w:fill="FFFFFF"/>
        <w:wordWrap w:val="0"/>
        <w:snapToGrid w:val="0"/>
        <w:spacing w:line="300" w:lineRule="auto"/>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专家评审报告</w:t>
      </w:r>
    </w:p>
    <w:p>
      <w:pPr>
        <w:widowControl/>
        <w:shd w:val="clear" w:color="auto" w:fill="FFFFFF"/>
        <w:tabs>
          <w:tab w:val="left" w:pos="8222"/>
        </w:tabs>
        <w:wordWrap w:val="0"/>
        <w:snapToGrid w:val="0"/>
        <w:spacing w:line="300" w:lineRule="auto"/>
        <w:ind w:left="-141" w:leftChars="-67" w:right="-191" w:rightChars="-91"/>
        <w:jc w:val="center"/>
        <w:rPr>
          <w:rFonts w:hint="default" w:ascii="Times New Roman" w:hAnsi="Times New Roman" w:cs="Times New Roman"/>
          <w:kern w:val="0"/>
          <w:sz w:val="20"/>
          <w:szCs w:val="20"/>
        </w:rPr>
      </w:pPr>
      <w:r>
        <w:rPr>
          <w:rFonts w:hint="default" w:ascii="Times New Roman" w:hAnsi="Times New Roman" w:eastAsia="方正小标宋简体" w:cs="Times New Roman"/>
          <w:spacing w:val="120"/>
          <w:kern w:val="0"/>
          <w:sz w:val="32"/>
          <w:szCs w:val="32"/>
        </w:rPr>
        <w:t> </w:t>
      </w:r>
    </w:p>
    <w:p>
      <w:pPr>
        <w:widowControl/>
        <w:shd w:val="clear" w:color="auto" w:fill="FFFFFF"/>
        <w:wordWrap w:val="0"/>
        <w:snapToGrid w:val="0"/>
        <w:spacing w:line="300" w:lineRule="auto"/>
        <w:jc w:val="center"/>
        <w:rPr>
          <w:rFonts w:hint="default" w:ascii="Times New Roman" w:hAnsi="Times New Roman" w:cs="Times New Roman"/>
          <w:kern w:val="0"/>
          <w:sz w:val="20"/>
          <w:szCs w:val="20"/>
        </w:rPr>
      </w:pPr>
    </w:p>
    <w:tbl>
      <w:tblPr>
        <w:tblStyle w:val="12"/>
        <w:tblW w:w="0" w:type="auto"/>
        <w:jc w:val="center"/>
        <w:tblLayout w:type="fixed"/>
        <w:tblCellMar>
          <w:top w:w="0" w:type="dxa"/>
          <w:left w:w="0" w:type="dxa"/>
          <w:bottom w:w="0" w:type="dxa"/>
          <w:right w:w="0" w:type="dxa"/>
        </w:tblCellMar>
      </w:tblPr>
      <w:tblGrid>
        <w:gridCol w:w="8334"/>
      </w:tblGrid>
      <w:tr>
        <w:tblPrEx>
          <w:tblCellMar>
            <w:top w:w="0" w:type="dxa"/>
            <w:left w:w="0" w:type="dxa"/>
            <w:bottom w:w="0" w:type="dxa"/>
            <w:right w:w="0" w:type="dxa"/>
          </w:tblCellMar>
        </w:tblPrEx>
        <w:trPr>
          <w:trHeight w:val="1233" w:hRule="atLeast"/>
          <w:jc w:val="center"/>
        </w:trPr>
        <w:tc>
          <w:tcPr>
            <w:tcW w:w="8334" w:type="dxa"/>
            <w:tcBorders>
              <w:top w:val="nil"/>
              <w:left w:val="nil"/>
              <w:bottom w:val="nil"/>
              <w:right w:val="nil"/>
            </w:tcBorders>
            <w:tcMar>
              <w:top w:w="0" w:type="dxa"/>
              <w:left w:w="108" w:type="dxa"/>
              <w:bottom w:w="0" w:type="dxa"/>
              <w:right w:w="108" w:type="dxa"/>
            </w:tcMar>
            <w:vAlign w:val="center"/>
          </w:tcPr>
          <w:p>
            <w:pPr>
              <w:widowControl/>
              <w:tabs>
                <w:tab w:val="left" w:pos="7165"/>
              </w:tabs>
              <w:ind w:firstLine="562" w:firstLineChars="200"/>
              <w:jc w:val="left"/>
              <w:rPr>
                <w:rFonts w:hint="default" w:ascii="Times New Roman" w:hAnsi="Times New Roman" w:cs="Times New Roman"/>
                <w:b/>
                <w:kern w:val="0"/>
                <w:sz w:val="28"/>
                <w:szCs w:val="28"/>
                <w:u w:val="thick"/>
              </w:rPr>
            </w:pPr>
            <w:r>
              <w:rPr>
                <w:rFonts w:hint="default" w:ascii="Times New Roman" w:hAnsi="Times New Roman" w:cs="Times New Roman"/>
                <w:b/>
                <w:kern w:val="0"/>
                <w:sz w:val="28"/>
                <w:szCs w:val="28"/>
              </w:rPr>
              <w:t xml:space="preserve">检测机构名称： </w:t>
            </w:r>
          </w:p>
          <w:p>
            <w:pPr>
              <w:widowControl/>
              <w:tabs>
                <w:tab w:val="left" w:pos="7165"/>
              </w:tabs>
              <w:ind w:firstLine="983" w:firstLineChars="350"/>
              <w:jc w:val="left"/>
              <w:rPr>
                <w:rFonts w:hint="default" w:ascii="Times New Roman" w:hAnsi="Times New Roman" w:cs="Times New Roman"/>
                <w:b/>
                <w:kern w:val="0"/>
                <w:sz w:val="28"/>
                <w:szCs w:val="28"/>
              </w:rPr>
            </w:pPr>
          </w:p>
          <w:p>
            <w:pPr>
              <w:widowControl/>
              <w:tabs>
                <w:tab w:val="left" w:pos="7165"/>
              </w:tabs>
              <w:ind w:firstLine="983" w:firstLineChars="350"/>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 xml:space="preserve">申请资质类别： </w:t>
            </w:r>
          </w:p>
          <w:p>
            <w:pPr>
              <w:widowControl/>
              <w:tabs>
                <w:tab w:val="left" w:pos="7165"/>
              </w:tabs>
              <w:ind w:firstLine="983" w:firstLineChars="350"/>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综合类：</w:t>
            </w:r>
            <w:r>
              <w:rPr>
                <w:rFonts w:hint="default" w:ascii="Times New Roman" w:hAnsi="Times New Roman" w:cs="Times New Roman"/>
                <w:b/>
                <w:spacing w:val="4"/>
                <w:kern w:val="0"/>
                <w:sz w:val="32"/>
                <w:szCs w:val="32"/>
              </w:rPr>
              <w:t>□</w:t>
            </w:r>
            <w:r>
              <w:rPr>
                <w:rFonts w:hint="default" w:ascii="Times New Roman" w:hAnsi="Times New Roman" w:cs="Times New Roman"/>
                <w:b/>
                <w:kern w:val="0"/>
                <w:sz w:val="28"/>
                <w:szCs w:val="28"/>
              </w:rPr>
              <w:t xml:space="preserve"> </w:t>
            </w:r>
          </w:p>
          <w:p>
            <w:pPr>
              <w:widowControl/>
              <w:tabs>
                <w:tab w:val="left" w:pos="7165"/>
              </w:tabs>
              <w:ind w:firstLine="983" w:firstLineChars="350"/>
              <w:jc w:val="left"/>
              <w:rPr>
                <w:rFonts w:hint="default" w:ascii="Times New Roman" w:hAnsi="Times New Roman" w:cs="Times New Roman"/>
                <w:b/>
                <w:spacing w:val="0"/>
                <w:kern w:val="0"/>
                <w:sz w:val="28"/>
                <w:szCs w:val="28"/>
              </w:rPr>
            </w:pPr>
            <w:r>
              <w:rPr>
                <w:rFonts w:hint="default" w:ascii="Times New Roman" w:hAnsi="Times New Roman" w:cs="Times New Roman"/>
                <w:b/>
                <w:kern w:val="0"/>
                <w:sz w:val="28"/>
                <w:szCs w:val="28"/>
              </w:rPr>
              <w:t>建筑材料及构配件</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主体结构及装饰装修</w:t>
            </w:r>
            <w:r>
              <w:rPr>
                <w:rFonts w:hint="default" w:ascii="Times New Roman" w:hAnsi="Times New Roman" w:cs="Times New Roman"/>
                <w:b/>
                <w:spacing w:val="0"/>
                <w:kern w:val="0"/>
                <w:sz w:val="28"/>
                <w:szCs w:val="28"/>
              </w:rPr>
              <w:t xml:space="preserve">□ </w:t>
            </w:r>
          </w:p>
          <w:p>
            <w:pPr>
              <w:widowControl/>
              <w:tabs>
                <w:tab w:val="left" w:pos="7165"/>
              </w:tabs>
              <w:ind w:firstLine="983" w:firstLineChars="350"/>
              <w:jc w:val="left"/>
              <w:rPr>
                <w:rFonts w:hint="default" w:ascii="Times New Roman" w:hAnsi="Times New Roman" w:cs="Times New Roman"/>
                <w:b/>
                <w:spacing w:val="0"/>
                <w:kern w:val="0"/>
                <w:sz w:val="28"/>
                <w:szCs w:val="28"/>
              </w:rPr>
            </w:pPr>
            <w:r>
              <w:rPr>
                <w:rFonts w:hint="default" w:ascii="Times New Roman" w:hAnsi="Times New Roman" w:cs="Times New Roman"/>
                <w:b/>
                <w:kern w:val="0"/>
                <w:sz w:val="28"/>
                <w:szCs w:val="28"/>
              </w:rPr>
              <w:t>钢结构</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地基基础</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建筑节能</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建筑幕墙</w:t>
            </w:r>
            <w:r>
              <w:rPr>
                <w:rFonts w:hint="default" w:ascii="Times New Roman" w:hAnsi="Times New Roman" w:cs="Times New Roman"/>
                <w:b/>
                <w:spacing w:val="0"/>
                <w:kern w:val="0"/>
                <w:sz w:val="28"/>
                <w:szCs w:val="28"/>
              </w:rPr>
              <w:t>□</w:t>
            </w:r>
          </w:p>
          <w:p>
            <w:pPr>
              <w:widowControl/>
              <w:tabs>
                <w:tab w:val="left" w:pos="7165"/>
              </w:tabs>
              <w:ind w:firstLine="983" w:firstLineChars="350"/>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市政工程材料</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道路工程</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桥梁及地下工程</w:t>
            </w:r>
            <w:r>
              <w:rPr>
                <w:rFonts w:hint="default" w:ascii="Times New Roman" w:hAnsi="Times New Roman" w:cs="Times New Roman"/>
                <w:b/>
                <w:spacing w:val="0"/>
                <w:kern w:val="0"/>
                <w:sz w:val="28"/>
                <w:szCs w:val="28"/>
              </w:rPr>
              <w:t>□</w:t>
            </w:r>
          </w:p>
          <w:p>
            <w:pPr>
              <w:widowControl/>
              <w:tabs>
                <w:tab w:val="left" w:pos="7165"/>
              </w:tabs>
              <w:ind w:firstLine="983" w:firstLineChars="350"/>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专项类：</w:t>
            </w:r>
            <w:r>
              <w:rPr>
                <w:rFonts w:hint="default" w:ascii="Times New Roman" w:hAnsi="Times New Roman" w:cs="Times New Roman"/>
                <w:b/>
                <w:spacing w:val="4"/>
                <w:kern w:val="0"/>
                <w:sz w:val="32"/>
                <w:szCs w:val="32"/>
              </w:rPr>
              <w:t>□</w:t>
            </w:r>
          </w:p>
          <w:p>
            <w:pPr>
              <w:widowControl/>
              <w:tabs>
                <w:tab w:val="left" w:pos="7165"/>
              </w:tabs>
              <w:ind w:firstLine="983" w:firstLineChars="350"/>
              <w:jc w:val="left"/>
              <w:rPr>
                <w:rFonts w:hint="default" w:ascii="Times New Roman" w:hAnsi="Times New Roman" w:cs="Times New Roman"/>
                <w:b/>
                <w:spacing w:val="0"/>
                <w:kern w:val="0"/>
                <w:sz w:val="28"/>
                <w:szCs w:val="28"/>
              </w:rPr>
            </w:pPr>
            <w:r>
              <w:rPr>
                <w:rFonts w:hint="default" w:ascii="Times New Roman" w:hAnsi="Times New Roman" w:cs="Times New Roman"/>
                <w:b/>
                <w:kern w:val="0"/>
                <w:sz w:val="28"/>
                <w:szCs w:val="28"/>
              </w:rPr>
              <w:t>建筑材料及构配件</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主体结构及装饰装修</w:t>
            </w:r>
            <w:r>
              <w:rPr>
                <w:rFonts w:hint="default" w:ascii="Times New Roman" w:hAnsi="Times New Roman" w:cs="Times New Roman"/>
                <w:b/>
                <w:spacing w:val="0"/>
                <w:kern w:val="0"/>
                <w:sz w:val="28"/>
                <w:szCs w:val="28"/>
              </w:rPr>
              <w:t xml:space="preserve">□ </w:t>
            </w:r>
          </w:p>
          <w:p>
            <w:pPr>
              <w:widowControl/>
              <w:tabs>
                <w:tab w:val="left" w:pos="7165"/>
              </w:tabs>
              <w:ind w:firstLine="983" w:firstLineChars="350"/>
              <w:jc w:val="left"/>
              <w:rPr>
                <w:rFonts w:hint="default" w:ascii="Times New Roman" w:hAnsi="Times New Roman" w:cs="Times New Roman"/>
                <w:b/>
                <w:spacing w:val="0"/>
                <w:kern w:val="0"/>
                <w:sz w:val="28"/>
                <w:szCs w:val="28"/>
              </w:rPr>
            </w:pPr>
            <w:r>
              <w:rPr>
                <w:rFonts w:hint="default" w:ascii="Times New Roman" w:hAnsi="Times New Roman" w:cs="Times New Roman"/>
                <w:b/>
                <w:kern w:val="0"/>
                <w:sz w:val="28"/>
                <w:szCs w:val="28"/>
              </w:rPr>
              <w:t>钢结构</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地基基础</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建筑节能</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建筑幕墙</w:t>
            </w:r>
            <w:r>
              <w:rPr>
                <w:rFonts w:hint="default" w:ascii="Times New Roman" w:hAnsi="Times New Roman" w:cs="Times New Roman"/>
                <w:b/>
                <w:spacing w:val="0"/>
                <w:kern w:val="0"/>
                <w:sz w:val="28"/>
                <w:szCs w:val="28"/>
              </w:rPr>
              <w:t>□</w:t>
            </w:r>
          </w:p>
          <w:p>
            <w:pPr>
              <w:widowControl/>
              <w:tabs>
                <w:tab w:val="left" w:pos="7165"/>
              </w:tabs>
              <w:ind w:firstLine="983" w:firstLineChars="350"/>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市政工程材料</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道路工程</w:t>
            </w:r>
            <w:r>
              <w:rPr>
                <w:rFonts w:hint="default" w:ascii="Times New Roman" w:hAnsi="Times New Roman" w:cs="Times New Roman"/>
                <w:b/>
                <w:spacing w:val="0"/>
                <w:kern w:val="0"/>
                <w:sz w:val="28"/>
                <w:szCs w:val="28"/>
              </w:rPr>
              <w:t xml:space="preserve">□   </w:t>
            </w:r>
            <w:r>
              <w:rPr>
                <w:rFonts w:hint="default" w:ascii="Times New Roman" w:hAnsi="Times New Roman" w:cs="Times New Roman"/>
                <w:b/>
                <w:kern w:val="0"/>
                <w:sz w:val="28"/>
                <w:szCs w:val="28"/>
              </w:rPr>
              <w:t>桥梁及地下工程</w:t>
            </w:r>
            <w:r>
              <w:rPr>
                <w:rFonts w:hint="default" w:ascii="Times New Roman" w:hAnsi="Times New Roman" w:cs="Times New Roman"/>
                <w:b/>
                <w:spacing w:val="0"/>
                <w:kern w:val="0"/>
                <w:sz w:val="28"/>
                <w:szCs w:val="28"/>
              </w:rPr>
              <w:t>□</w:t>
            </w:r>
          </w:p>
        </w:tc>
      </w:tr>
      <w:tr>
        <w:tblPrEx>
          <w:tblCellMar>
            <w:top w:w="0" w:type="dxa"/>
            <w:left w:w="0" w:type="dxa"/>
            <w:bottom w:w="0" w:type="dxa"/>
            <w:right w:w="0" w:type="dxa"/>
          </w:tblCellMar>
        </w:tblPrEx>
        <w:trPr>
          <w:trHeight w:val="2614" w:hRule="atLeast"/>
          <w:jc w:val="center"/>
        </w:trPr>
        <w:tc>
          <w:tcPr>
            <w:tcW w:w="8334" w:type="dxa"/>
            <w:tcBorders>
              <w:top w:val="nil"/>
              <w:left w:val="nil"/>
              <w:bottom w:val="nil"/>
              <w:right w:val="nil"/>
            </w:tcBorders>
            <w:tcMar>
              <w:top w:w="0" w:type="dxa"/>
              <w:left w:w="108" w:type="dxa"/>
              <w:bottom w:w="0" w:type="dxa"/>
              <w:right w:w="108" w:type="dxa"/>
            </w:tcMar>
            <w:vAlign w:val="center"/>
          </w:tcPr>
          <w:p>
            <w:pPr>
              <w:widowControl/>
              <w:tabs>
                <w:tab w:val="left" w:pos="7165"/>
              </w:tabs>
              <w:ind w:firstLine="983" w:firstLineChars="350"/>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 </w:t>
            </w:r>
          </w:p>
          <w:p>
            <w:pPr>
              <w:widowControl/>
              <w:tabs>
                <w:tab w:val="left" w:pos="7165"/>
              </w:tabs>
              <w:ind w:firstLine="983" w:firstLineChars="350"/>
              <w:jc w:val="left"/>
              <w:rPr>
                <w:rFonts w:hint="default" w:ascii="Times New Roman" w:hAnsi="Times New Roman" w:cs="Times New Roman"/>
                <w:kern w:val="0"/>
                <w:sz w:val="16"/>
                <w:szCs w:val="16"/>
              </w:rPr>
            </w:pPr>
            <w:r>
              <w:rPr>
                <w:rFonts w:hint="default" w:ascii="Times New Roman" w:hAnsi="Times New Roman" w:cs="Times New Roman"/>
                <w:b/>
                <w:kern w:val="0"/>
                <w:sz w:val="28"/>
                <w:szCs w:val="28"/>
              </w:rPr>
              <w:t>评审日期：    年   月   日～    年   月   日</w:t>
            </w:r>
          </w:p>
        </w:tc>
      </w:tr>
    </w:tbl>
    <w:p>
      <w:pPr>
        <w:widowControl/>
        <w:shd w:val="clear" w:color="auto" w:fill="FFFFFF"/>
        <w:wordWrap w:val="0"/>
        <w:spacing w:line="543" w:lineRule="atLeast"/>
        <w:ind w:firstLine="480"/>
        <w:jc w:val="center"/>
        <w:rPr>
          <w:rFonts w:hint="default" w:ascii="Times New Roman" w:hAnsi="Times New Roman" w:eastAsia="方正仿宋简体" w:cs="Times New Roman"/>
          <w:spacing w:val="16"/>
          <w:kern w:val="0"/>
          <w:sz w:val="32"/>
          <w:szCs w:val="32"/>
        </w:rPr>
      </w:pPr>
      <w:r>
        <w:rPr>
          <w:rFonts w:hint="default" w:ascii="Times New Roman" w:hAnsi="Times New Roman" w:eastAsia="方正仿宋简体" w:cs="Times New Roman"/>
          <w:spacing w:val="16"/>
          <w:kern w:val="0"/>
          <w:sz w:val="32"/>
          <w:szCs w:val="32"/>
        </w:rPr>
        <w:t> </w:t>
      </w:r>
      <w:r>
        <w:rPr>
          <w:rFonts w:hint="default" w:ascii="Times New Roman" w:hAnsi="Times New Roman" w:cs="Times New Roman"/>
          <w:b/>
          <w:kern w:val="0"/>
          <w:sz w:val="28"/>
          <w:szCs w:val="28"/>
        </w:rPr>
        <w:t>陕西省住房和城乡建设厅</w:t>
      </w:r>
      <w:r>
        <w:rPr>
          <w:rFonts w:hint="default" w:ascii="Times New Roman" w:hAnsi="Times New Roman" w:cs="Times New Roman"/>
          <w:b/>
          <w:bCs/>
          <w:spacing w:val="16"/>
          <w:kern w:val="0"/>
          <w:sz w:val="28"/>
          <w:szCs w:val="28"/>
        </w:rPr>
        <w:t>编制</w:t>
      </w:r>
      <w:r>
        <w:rPr>
          <w:rFonts w:hint="default" w:ascii="Times New Roman" w:hAnsi="Times New Roman" w:eastAsia="方正仿宋简体" w:cs="Times New Roman"/>
          <w:spacing w:val="16"/>
          <w:kern w:val="0"/>
          <w:sz w:val="32"/>
          <w:szCs w:val="32"/>
        </w:rPr>
        <w:br w:type="page"/>
      </w:r>
    </w:p>
    <w:p>
      <w:pPr>
        <w:widowControl/>
        <w:shd w:val="clear" w:color="auto" w:fill="FFFFFF"/>
        <w:wordWrap w:val="0"/>
        <w:spacing w:line="543" w:lineRule="atLeast"/>
        <w:ind w:firstLine="1408" w:firstLineChars="400"/>
        <w:rPr>
          <w:rFonts w:hint="default" w:ascii="Times New Roman" w:hAnsi="Times New Roman" w:eastAsia="方正仿宋简体" w:cs="Times New Roman"/>
          <w:spacing w:val="16"/>
          <w:kern w:val="0"/>
          <w:sz w:val="32"/>
          <w:szCs w:val="32"/>
        </w:rPr>
      </w:pPr>
    </w:p>
    <w:p>
      <w:pPr>
        <w:widowControl/>
        <w:shd w:val="clear" w:color="auto" w:fill="FFFFFF"/>
        <w:wordWrap w:val="0"/>
        <w:spacing w:line="543" w:lineRule="atLeast"/>
        <w:jc w:val="center"/>
        <w:rPr>
          <w:rFonts w:hint="default" w:ascii="Times New Roman" w:hAnsi="Times New Roman" w:cs="Times New Roman"/>
          <w:kern w:val="0"/>
          <w:sz w:val="20"/>
          <w:szCs w:val="20"/>
        </w:rPr>
      </w:pPr>
      <w:r>
        <w:rPr>
          <w:rFonts w:hint="default" w:ascii="Times New Roman" w:hAnsi="Times New Roman" w:cs="Times New Roman"/>
          <w:kern w:val="0"/>
          <w:sz w:val="44"/>
          <w:szCs w:val="44"/>
        </w:rPr>
        <w:t>填</w:t>
      </w:r>
      <w:r>
        <w:rPr>
          <w:rFonts w:hint="default" w:ascii="Times New Roman" w:hAnsi="Times New Roman" w:eastAsia="方正小标宋简体" w:cs="Times New Roman"/>
          <w:kern w:val="0"/>
          <w:sz w:val="44"/>
          <w:szCs w:val="44"/>
        </w:rPr>
        <w:t xml:space="preserve"> </w:t>
      </w:r>
      <w:r>
        <w:rPr>
          <w:rFonts w:hint="default" w:ascii="Times New Roman" w:hAnsi="Times New Roman" w:cs="Times New Roman"/>
          <w:kern w:val="0"/>
          <w:sz w:val="44"/>
          <w:szCs w:val="44"/>
        </w:rPr>
        <w:t>表</w:t>
      </w:r>
      <w:r>
        <w:rPr>
          <w:rFonts w:hint="default" w:ascii="Times New Roman" w:hAnsi="Times New Roman" w:eastAsia="方正小标宋简体" w:cs="Times New Roman"/>
          <w:kern w:val="0"/>
          <w:sz w:val="44"/>
          <w:szCs w:val="44"/>
        </w:rPr>
        <w:t xml:space="preserve"> </w:t>
      </w:r>
      <w:r>
        <w:rPr>
          <w:rFonts w:hint="default" w:ascii="Times New Roman" w:hAnsi="Times New Roman" w:cs="Times New Roman"/>
          <w:kern w:val="0"/>
          <w:sz w:val="44"/>
          <w:szCs w:val="44"/>
        </w:rPr>
        <w:t>须</w:t>
      </w:r>
      <w:r>
        <w:rPr>
          <w:rFonts w:hint="default" w:ascii="Times New Roman" w:hAnsi="Times New Roman" w:eastAsia="方正小标宋简体" w:cs="Times New Roman"/>
          <w:kern w:val="0"/>
          <w:sz w:val="44"/>
          <w:szCs w:val="44"/>
        </w:rPr>
        <w:t xml:space="preserve"> </w:t>
      </w:r>
      <w:r>
        <w:rPr>
          <w:rFonts w:hint="default" w:ascii="Times New Roman" w:hAnsi="Times New Roman" w:cs="Times New Roman"/>
          <w:kern w:val="0"/>
          <w:sz w:val="44"/>
          <w:szCs w:val="44"/>
        </w:rPr>
        <w:t>知</w:t>
      </w:r>
    </w:p>
    <w:p>
      <w:pPr>
        <w:widowControl/>
        <w:shd w:val="clear" w:color="auto" w:fill="FFFFFF"/>
        <w:wordWrap w:val="0"/>
        <w:spacing w:line="580" w:lineRule="atLeast"/>
        <w:jc w:val="center"/>
        <w:rPr>
          <w:rFonts w:hint="default" w:ascii="Times New Roman" w:hAnsi="Times New Roman" w:cs="Times New Roman"/>
          <w:kern w:val="0"/>
          <w:sz w:val="20"/>
          <w:szCs w:val="20"/>
        </w:rPr>
      </w:pPr>
      <w:r>
        <w:rPr>
          <w:rFonts w:hint="default" w:ascii="Times New Roman" w:hAnsi="Times New Roman" w:eastAsia="方正仿宋_GBK" w:cs="Times New Roman"/>
          <w:b/>
          <w:bCs/>
          <w:kern w:val="0"/>
          <w:sz w:val="30"/>
          <w:szCs w:val="30"/>
        </w:rPr>
        <w:t> </w:t>
      </w:r>
    </w:p>
    <w:p>
      <w:pPr>
        <w:widowControl/>
        <w:shd w:val="clear" w:color="auto" w:fill="FFFFFF"/>
        <w:wordWrap w:val="0"/>
        <w:snapToGrid w:val="0"/>
        <w:spacing w:line="520" w:lineRule="atLeast"/>
        <w:ind w:firstLine="656"/>
        <w:jc w:val="left"/>
        <w:rPr>
          <w:rFonts w:hint="default" w:ascii="Times New Roman" w:hAnsi="Times New Roman" w:cs="Times New Roman"/>
          <w:spacing w:val="4"/>
          <w:kern w:val="0"/>
          <w:sz w:val="32"/>
          <w:szCs w:val="32"/>
        </w:rPr>
      </w:pPr>
      <w:r>
        <w:rPr>
          <w:rFonts w:hint="default" w:ascii="Times New Roman" w:hAnsi="Times New Roman" w:cs="Times New Roman"/>
          <w:spacing w:val="4"/>
          <w:kern w:val="0"/>
          <w:sz w:val="32"/>
          <w:szCs w:val="32"/>
        </w:rPr>
        <w:t>1.本《评审报告》有印章和签字页的须为原件。</w:t>
      </w:r>
    </w:p>
    <w:p>
      <w:pPr>
        <w:widowControl/>
        <w:shd w:val="clear" w:color="auto" w:fill="FFFFFF"/>
        <w:wordWrap w:val="0"/>
        <w:snapToGrid w:val="0"/>
        <w:spacing w:line="520" w:lineRule="atLeast"/>
        <w:ind w:firstLine="656"/>
        <w:jc w:val="left"/>
        <w:rPr>
          <w:rFonts w:hint="default" w:ascii="Times New Roman" w:hAnsi="Times New Roman" w:cs="Times New Roman"/>
          <w:spacing w:val="4"/>
          <w:kern w:val="0"/>
          <w:sz w:val="32"/>
          <w:szCs w:val="32"/>
        </w:rPr>
      </w:pPr>
      <w:r>
        <w:rPr>
          <w:rFonts w:hint="default" w:ascii="Times New Roman" w:hAnsi="Times New Roman" w:cs="Times New Roman"/>
          <w:spacing w:val="4"/>
          <w:kern w:val="0"/>
          <w:sz w:val="32"/>
          <w:szCs w:val="32"/>
        </w:rPr>
        <w:t>2.本《评审报告》可用墨笔或计算机填写，字迹应清楚。</w:t>
      </w:r>
    </w:p>
    <w:p>
      <w:pPr>
        <w:widowControl/>
        <w:shd w:val="clear" w:color="auto" w:fill="FFFFFF"/>
        <w:wordWrap w:val="0"/>
        <w:snapToGrid w:val="0"/>
        <w:spacing w:line="520" w:lineRule="atLeast"/>
        <w:ind w:firstLine="656"/>
        <w:jc w:val="left"/>
        <w:rPr>
          <w:rFonts w:hint="default" w:ascii="Times New Roman" w:hAnsi="Times New Roman" w:cs="Times New Roman"/>
          <w:spacing w:val="4"/>
          <w:kern w:val="0"/>
          <w:sz w:val="32"/>
          <w:szCs w:val="32"/>
        </w:rPr>
      </w:pPr>
      <w:r>
        <w:rPr>
          <w:rFonts w:hint="default" w:ascii="Times New Roman" w:hAnsi="Times New Roman" w:cs="Times New Roman"/>
          <w:spacing w:val="4"/>
          <w:kern w:val="0"/>
          <w:sz w:val="32"/>
          <w:szCs w:val="32"/>
        </w:rPr>
        <w:t>3.本《评审报告》的表格填报页数不够时可附页，但须连同正页编为第　页，共　页。</w:t>
      </w:r>
    </w:p>
    <w:p>
      <w:pPr>
        <w:widowControl/>
        <w:shd w:val="clear" w:color="auto" w:fill="FFFFFF"/>
        <w:wordWrap w:val="0"/>
        <w:snapToGrid w:val="0"/>
        <w:spacing w:line="520" w:lineRule="atLeast"/>
        <w:ind w:firstLine="656"/>
        <w:jc w:val="left"/>
        <w:rPr>
          <w:rFonts w:hint="default" w:ascii="Times New Roman" w:hAnsi="Times New Roman" w:cs="Times New Roman"/>
          <w:spacing w:val="4"/>
          <w:kern w:val="0"/>
          <w:sz w:val="32"/>
          <w:szCs w:val="32"/>
        </w:rPr>
      </w:pPr>
      <w:r>
        <w:rPr>
          <w:rFonts w:hint="default" w:ascii="Times New Roman" w:hAnsi="Times New Roman" w:cs="Times New Roman"/>
          <w:spacing w:val="4"/>
          <w:kern w:val="0"/>
          <w:sz w:val="32"/>
          <w:szCs w:val="32"/>
        </w:rPr>
        <w:t>4.本《评审报告》所选项“□”内划“√”。本《评审报告》的每一项须由评审组如实填写，若出具虚假或者不实的评审结论，将追究评审组人员责任。</w:t>
      </w:r>
    </w:p>
    <w:p>
      <w:pPr>
        <w:widowControl/>
        <w:shd w:val="clear" w:color="auto" w:fill="FFFFFF"/>
        <w:wordWrap w:val="0"/>
        <w:snapToGrid w:val="0"/>
        <w:spacing w:line="520" w:lineRule="atLeast"/>
        <w:ind w:firstLine="656"/>
        <w:jc w:val="left"/>
        <w:rPr>
          <w:rFonts w:hint="default" w:ascii="Times New Roman" w:hAnsi="Times New Roman" w:cs="Times New Roman"/>
          <w:spacing w:val="4"/>
          <w:kern w:val="0"/>
          <w:sz w:val="32"/>
          <w:szCs w:val="32"/>
        </w:rPr>
      </w:pPr>
      <w:r>
        <w:rPr>
          <w:rFonts w:hint="default" w:ascii="Times New Roman" w:hAnsi="Times New Roman" w:cs="Times New Roman"/>
          <w:spacing w:val="4"/>
          <w:kern w:val="0"/>
          <w:sz w:val="32"/>
          <w:szCs w:val="32"/>
        </w:rPr>
        <w:t>5.本《评审报告》须经评审组签字有效。</w:t>
      </w:r>
    </w:p>
    <w:p>
      <w:pPr>
        <w:widowControl/>
        <w:shd w:val="clear" w:color="auto" w:fill="FFFFFF"/>
        <w:wordWrap w:val="0"/>
        <w:snapToGrid w:val="0"/>
        <w:spacing w:line="520" w:lineRule="atLeast"/>
        <w:ind w:firstLine="656" w:firstLineChars="200"/>
        <w:jc w:val="left"/>
        <w:rPr>
          <w:rFonts w:hint="default" w:ascii="Times New Roman" w:hAnsi="Times New Roman" w:cs="Times New Roman"/>
          <w:kern w:val="0"/>
          <w:sz w:val="20"/>
          <w:szCs w:val="20"/>
        </w:rPr>
      </w:pPr>
      <w:r>
        <w:rPr>
          <w:rFonts w:hint="default" w:ascii="Times New Roman" w:hAnsi="Times New Roman" w:cs="Times New Roman"/>
          <w:spacing w:val="4"/>
          <w:kern w:val="0"/>
          <w:sz w:val="32"/>
          <w:szCs w:val="32"/>
        </w:rPr>
        <w:t>6.本《评审报告》适用建设工程质量检测机构申请资质的首次、扩项（参数）、增项、地址</w:t>
      </w:r>
      <w:r>
        <w:rPr>
          <w:rFonts w:hint="default" w:ascii="Times New Roman" w:hAnsi="Times New Roman" w:cs="Times New Roman"/>
          <w:spacing w:val="14"/>
          <w:kern w:val="0"/>
          <w:sz w:val="32"/>
          <w:szCs w:val="32"/>
        </w:rPr>
        <w:t>变更、资质核定、延期复查和其它评审。</w:t>
      </w:r>
    </w:p>
    <w:p>
      <w:pPr>
        <w:widowControl/>
        <w:shd w:val="clear" w:color="auto" w:fill="FFFFFF"/>
        <w:wordWrap w:val="0"/>
        <w:spacing w:line="264" w:lineRule="auto"/>
        <w:jc w:val="left"/>
        <w:rPr>
          <w:rFonts w:hint="default" w:ascii="Times New Roman" w:hAnsi="Times New Roman" w:cs="Times New Roman"/>
          <w:b/>
          <w:bCs/>
          <w:kern w:val="0"/>
          <w:sz w:val="28"/>
          <w:szCs w:val="28"/>
        </w:rPr>
      </w:pPr>
      <w:r>
        <w:rPr>
          <w:rFonts w:hint="default" w:ascii="Times New Roman" w:hAnsi="Times New Roman" w:eastAsia="方正仿宋简体" w:cs="Times New Roman"/>
          <w:spacing w:val="14"/>
          <w:kern w:val="0"/>
          <w:sz w:val="32"/>
          <w:szCs w:val="32"/>
        </w:rPr>
        <w:br w:type="page"/>
      </w:r>
      <w:r>
        <w:rPr>
          <w:rFonts w:hint="default" w:ascii="Times New Roman" w:hAnsi="Times New Roman" w:cs="Times New Roman"/>
          <w:b/>
          <w:bCs/>
          <w:kern w:val="0"/>
          <w:sz w:val="28"/>
          <w:szCs w:val="28"/>
        </w:rPr>
        <w:t>1.概况</w:t>
      </w:r>
    </w:p>
    <w:p>
      <w:pPr>
        <w:adjustRightInd w:val="0"/>
        <w:snapToGrid w:val="0"/>
        <w:spacing w:line="420" w:lineRule="exact"/>
        <w:rPr>
          <w:rFonts w:hint="default" w:ascii="Times New Roman" w:hAnsi="Times New Roman" w:cs="Times New Roman"/>
          <w:spacing w:val="20"/>
          <w:sz w:val="24"/>
          <w:u w:val="single"/>
        </w:rPr>
      </w:pPr>
      <w:r>
        <w:rPr>
          <w:rFonts w:hint="default" w:ascii="Times New Roman" w:hAnsi="Times New Roman" w:cs="Times New Roman"/>
          <w:spacing w:val="20"/>
          <w:sz w:val="24"/>
        </w:rPr>
        <w:t>1</w:t>
      </w:r>
      <w:r>
        <w:rPr>
          <w:rFonts w:hint="default" w:ascii="Times New Roman" w:hAnsi="Times New Roman" w:cs="Times New Roman"/>
          <w:b/>
          <w:bCs/>
          <w:spacing w:val="20"/>
          <w:sz w:val="24"/>
        </w:rPr>
        <w:t>.</w:t>
      </w:r>
      <w:r>
        <w:rPr>
          <w:rFonts w:hint="default" w:ascii="Times New Roman" w:hAnsi="Times New Roman" w:cs="Times New Roman"/>
          <w:spacing w:val="20"/>
          <w:sz w:val="24"/>
        </w:rPr>
        <w:t>1 检测机构名称：</w:t>
      </w:r>
      <w:r>
        <w:rPr>
          <w:rFonts w:hint="default" w:ascii="Times New Roman" w:hAnsi="Times New Roman" w:cs="Times New Roman"/>
          <w:spacing w:val="20"/>
          <w:sz w:val="24"/>
          <w:u w:val="single"/>
        </w:rPr>
        <w:t>XXXXXXXXXXXX</w:t>
      </w:r>
      <w:r>
        <w:rPr>
          <w:rFonts w:hint="default" w:ascii="Times New Roman" w:hAnsi="Times New Roman" w:cs="Times New Roman"/>
          <w:spacing w:val="20"/>
          <w:kern w:val="0"/>
          <w:sz w:val="24"/>
          <w:u w:val="single"/>
        </w:rPr>
        <w:t xml:space="preserve">   </w:t>
      </w:r>
      <w:r>
        <w:rPr>
          <w:rFonts w:hint="default" w:ascii="Times New Roman" w:hAnsi="Times New Roman" w:cs="Times New Roman"/>
          <w:spacing w:val="20"/>
          <w:sz w:val="24"/>
          <w:u w:val="single"/>
        </w:rPr>
        <w:t xml:space="preserve">                                           </w:t>
      </w:r>
    </w:p>
    <w:p>
      <w:pPr>
        <w:adjustRightInd w:val="0"/>
        <w:snapToGrid w:val="0"/>
        <w:spacing w:line="420" w:lineRule="exact"/>
        <w:ind w:right="-50" w:rightChars="-24"/>
        <w:rPr>
          <w:rFonts w:hint="default" w:ascii="Times New Roman" w:hAnsi="Times New Roman" w:cs="Times New Roman"/>
          <w:spacing w:val="20"/>
          <w:sz w:val="24"/>
          <w:u w:val="single"/>
        </w:rPr>
      </w:pPr>
      <w:r>
        <w:rPr>
          <w:rFonts w:hint="default" w:ascii="Times New Roman" w:hAnsi="Times New Roman" w:cs="Times New Roman"/>
          <w:spacing w:val="20"/>
          <w:sz w:val="24"/>
        </w:rPr>
        <w:t>机构注册地址：</w:t>
      </w:r>
      <w:r>
        <w:rPr>
          <w:rFonts w:hint="default" w:ascii="Times New Roman" w:hAnsi="Times New Roman" w:cs="Times New Roman"/>
          <w:spacing w:val="20"/>
          <w:sz w:val="24"/>
          <w:u w:val="single"/>
        </w:rPr>
        <w:t xml:space="preserve">XXXXXXXXXXXXXXXX                                 </w:t>
      </w:r>
    </w:p>
    <w:p>
      <w:pPr>
        <w:adjustRightInd w:val="0"/>
        <w:snapToGrid w:val="0"/>
        <w:spacing w:line="420" w:lineRule="exact"/>
        <w:ind w:right="-50" w:rightChars="-24"/>
        <w:rPr>
          <w:rFonts w:hint="default" w:ascii="Times New Roman" w:hAnsi="Times New Roman" w:cs="Times New Roman"/>
          <w:spacing w:val="20"/>
          <w:sz w:val="24"/>
          <w:u w:val="single"/>
        </w:rPr>
      </w:pPr>
      <w:r>
        <w:rPr>
          <w:rFonts w:hint="default" w:ascii="Times New Roman" w:hAnsi="Times New Roman" w:cs="Times New Roman"/>
          <w:spacing w:val="20"/>
          <w:sz w:val="24"/>
        </w:rPr>
        <w:t>机构实际地址：</w:t>
      </w:r>
      <w:r>
        <w:rPr>
          <w:rFonts w:hint="default" w:ascii="Times New Roman" w:hAnsi="Times New Roman" w:cs="Times New Roman"/>
          <w:spacing w:val="20"/>
          <w:sz w:val="24"/>
          <w:u w:val="single"/>
        </w:rPr>
        <w:t xml:space="preserve"> XXXXXXXXXXXXXXXX                     </w:t>
      </w:r>
    </w:p>
    <w:p>
      <w:pPr>
        <w:adjustRightInd w:val="0"/>
        <w:snapToGrid w:val="0"/>
        <w:spacing w:line="420" w:lineRule="exact"/>
        <w:ind w:right="-50" w:rightChars="-24"/>
        <w:rPr>
          <w:rFonts w:hint="default" w:ascii="Times New Roman" w:hAnsi="Times New Roman" w:cs="Times New Roman"/>
          <w:spacing w:val="20"/>
          <w:sz w:val="24"/>
          <w:u w:val="single"/>
        </w:rPr>
      </w:pPr>
      <w:r>
        <w:rPr>
          <w:rFonts w:hint="default" w:ascii="Times New Roman" w:hAnsi="Times New Roman" w:cs="Times New Roman"/>
          <w:spacing w:val="20"/>
          <w:sz w:val="24"/>
        </w:rPr>
        <w:t>多场所地址：</w:t>
      </w:r>
      <w:r>
        <w:rPr>
          <w:rFonts w:hint="default" w:ascii="Times New Roman" w:hAnsi="Times New Roman" w:cs="Times New Roman"/>
          <w:spacing w:val="20"/>
          <w:sz w:val="24"/>
          <w:u w:val="single"/>
        </w:rPr>
        <w:t xml:space="preserve">XXXXXX         </w:t>
      </w:r>
    </w:p>
    <w:p>
      <w:pPr>
        <w:adjustRightInd w:val="0"/>
        <w:snapToGrid w:val="0"/>
        <w:spacing w:line="460" w:lineRule="atLeast"/>
        <w:rPr>
          <w:rFonts w:hint="default" w:ascii="Times New Roman" w:hAnsi="Times New Roman" w:cs="Times New Roman"/>
          <w:spacing w:val="20"/>
          <w:sz w:val="24"/>
        </w:rPr>
      </w:pPr>
      <w:r>
        <w:rPr>
          <w:rFonts w:hint="default" w:ascii="Times New Roman" w:hAnsi="Times New Roman" w:cs="Times New Roman"/>
          <w:spacing w:val="20"/>
          <w:sz w:val="24"/>
        </w:rPr>
        <w:t>邮编：XXXXXXX　　传真：XXXXXXX    E-mail:</w:t>
      </w:r>
      <w:r>
        <w:rPr>
          <w:rFonts w:hint="default" w:ascii="Times New Roman" w:hAnsi="Times New Roman" w:cs="Times New Roman"/>
          <w:sz w:val="24"/>
        </w:rPr>
        <w:t>XXXXXXXXXX</w:t>
      </w:r>
    </w:p>
    <w:p>
      <w:pPr>
        <w:adjustRightInd w:val="0"/>
        <w:snapToGrid w:val="0"/>
        <w:spacing w:line="520" w:lineRule="exact"/>
        <w:jc w:val="left"/>
        <w:rPr>
          <w:rFonts w:hint="default" w:ascii="Times New Roman" w:hAnsi="Times New Roman" w:cs="Times New Roman"/>
          <w:spacing w:val="20"/>
          <w:sz w:val="24"/>
        </w:rPr>
      </w:pPr>
      <w:r>
        <w:rPr>
          <w:rFonts w:hint="default" w:ascii="Times New Roman" w:hAnsi="Times New Roman" w:eastAsia="宋体" w:cs="Times New Roman"/>
          <w:spacing w:val="20"/>
          <w:kern w:val="0"/>
          <w:sz w:val="24"/>
          <w:szCs w:val="20"/>
        </w:rPr>
        <w:t>法定代表人</w:t>
      </w:r>
      <w:r>
        <w:rPr>
          <w:rFonts w:hint="default" w:ascii="Times New Roman" w:hAnsi="Times New Roman" w:cs="Times New Roman"/>
          <w:spacing w:val="20"/>
          <w:sz w:val="24"/>
        </w:rPr>
        <w:t>：</w:t>
      </w:r>
      <w:r>
        <w:rPr>
          <w:rFonts w:hint="default" w:ascii="Times New Roman" w:hAnsi="Times New Roman" w:cs="Times New Roman"/>
          <w:sz w:val="24"/>
        </w:rPr>
        <w:t>XXX</w:t>
      </w:r>
      <w:r>
        <w:rPr>
          <w:rFonts w:hint="default" w:ascii="Times New Roman" w:hAnsi="Times New Roman" w:cs="Times New Roman"/>
          <w:spacing w:val="20"/>
          <w:sz w:val="24"/>
        </w:rPr>
        <w:t xml:space="preserve"> 职务：</w:t>
      </w:r>
      <w:r>
        <w:rPr>
          <w:rFonts w:hint="default" w:ascii="Times New Roman" w:hAnsi="Times New Roman" w:cs="Times New Roman"/>
          <w:sz w:val="24"/>
        </w:rPr>
        <w:t>XXXX</w:t>
      </w:r>
      <w:r>
        <w:rPr>
          <w:rFonts w:hint="default" w:ascii="Times New Roman" w:hAnsi="Times New Roman" w:cs="Times New Roman"/>
          <w:spacing w:val="20"/>
          <w:sz w:val="24"/>
        </w:rPr>
        <w:t xml:space="preserve"> 固定电话：</w:t>
      </w:r>
      <w:r>
        <w:rPr>
          <w:rFonts w:hint="default" w:ascii="Times New Roman" w:hAnsi="Times New Roman" w:cs="Times New Roman"/>
          <w:sz w:val="24"/>
        </w:rPr>
        <w:t xml:space="preserve"> XXXX</w:t>
      </w:r>
      <w:r>
        <w:rPr>
          <w:rFonts w:hint="default" w:ascii="Times New Roman" w:hAnsi="Times New Roman" w:cs="Times New Roman"/>
          <w:spacing w:val="20"/>
          <w:sz w:val="24"/>
        </w:rPr>
        <w:t xml:space="preserve"> 手机：</w:t>
      </w:r>
      <w:r>
        <w:rPr>
          <w:rFonts w:hint="default" w:ascii="Times New Roman" w:hAnsi="Times New Roman" w:cs="Times New Roman"/>
          <w:sz w:val="24"/>
        </w:rPr>
        <w:t>XXXXX</w:t>
      </w:r>
    </w:p>
    <w:p>
      <w:pPr>
        <w:adjustRightInd w:val="0"/>
        <w:snapToGrid w:val="0"/>
        <w:spacing w:line="460" w:lineRule="atLeast"/>
        <w:jc w:val="left"/>
        <w:rPr>
          <w:rFonts w:hint="default" w:ascii="Times New Roman" w:hAnsi="Times New Roman" w:cs="Times New Roman"/>
          <w:spacing w:val="20"/>
          <w:sz w:val="24"/>
        </w:rPr>
      </w:pPr>
      <w:r>
        <w:rPr>
          <w:rFonts w:hint="default" w:ascii="Times New Roman" w:hAnsi="Times New Roman" w:cs="Times New Roman"/>
          <w:spacing w:val="20"/>
          <w:sz w:val="24"/>
        </w:rPr>
        <w:t>身份证号码：</w:t>
      </w:r>
      <w:r>
        <w:rPr>
          <w:rFonts w:hint="default" w:ascii="Times New Roman" w:hAnsi="Times New Roman" w:cs="Times New Roman"/>
          <w:kern w:val="0"/>
          <w:sz w:val="24"/>
        </w:rPr>
        <w:t>XXXXXXXXXXXX</w:t>
      </w:r>
      <w:r>
        <w:rPr>
          <w:rFonts w:hint="default" w:ascii="Times New Roman" w:hAnsi="Times New Roman" w:cs="Times New Roman"/>
          <w:spacing w:val="20"/>
          <w:sz w:val="24"/>
        </w:rPr>
        <w:t xml:space="preserve"> </w:t>
      </w:r>
    </w:p>
    <w:p>
      <w:pPr>
        <w:adjustRightInd w:val="0"/>
        <w:snapToGrid w:val="0"/>
        <w:spacing w:line="460" w:lineRule="atLeast"/>
        <w:rPr>
          <w:rFonts w:hint="default" w:ascii="Times New Roman" w:hAnsi="Times New Roman" w:cs="Times New Roman"/>
          <w:sz w:val="24"/>
        </w:rPr>
      </w:pPr>
      <w:r>
        <w:rPr>
          <w:rFonts w:hint="default" w:ascii="Times New Roman" w:hAnsi="Times New Roman" w:cs="Times New Roman"/>
          <w:spacing w:val="20"/>
          <w:sz w:val="24"/>
        </w:rPr>
        <w:t>联络人:XXX 职务:</w:t>
      </w:r>
      <w:r>
        <w:rPr>
          <w:rFonts w:hint="default" w:ascii="Times New Roman" w:hAnsi="Times New Roman" w:cs="Times New Roman"/>
          <w:sz w:val="24"/>
        </w:rPr>
        <w:t xml:space="preserve">XXXXX </w:t>
      </w:r>
      <w:r>
        <w:rPr>
          <w:rFonts w:hint="default" w:ascii="Times New Roman" w:hAnsi="Times New Roman" w:cs="Times New Roman"/>
          <w:spacing w:val="20"/>
          <w:sz w:val="24"/>
        </w:rPr>
        <w:t>固定电话: XXXXXX手机：</w:t>
      </w:r>
      <w:r>
        <w:rPr>
          <w:rFonts w:hint="default" w:ascii="Times New Roman" w:hAnsi="Times New Roman" w:cs="Times New Roman"/>
          <w:sz w:val="24"/>
        </w:rPr>
        <w:t>XXXXXX</w:t>
      </w:r>
    </w:p>
    <w:p>
      <w:pPr>
        <w:adjustRightInd w:val="0"/>
        <w:snapToGrid w:val="0"/>
        <w:spacing w:line="460" w:lineRule="atLeast"/>
        <w:rPr>
          <w:rFonts w:hint="default" w:ascii="Times New Roman" w:hAnsi="Times New Roman" w:cs="Times New Roman"/>
          <w:spacing w:val="20"/>
          <w:sz w:val="24"/>
        </w:rPr>
      </w:pPr>
      <w:r>
        <w:rPr>
          <w:rFonts w:hint="default" w:ascii="Times New Roman" w:hAnsi="Times New Roman" w:cs="Times New Roman"/>
          <w:spacing w:val="20"/>
          <w:sz w:val="24"/>
        </w:rPr>
        <w:t>社会信用代码/组织机构代码：XXXXXXXXXXXXX</w:t>
      </w:r>
    </w:p>
    <w:p>
      <w:pPr>
        <w:adjustRightInd w:val="0"/>
        <w:snapToGrid w:val="0"/>
        <w:spacing w:line="460" w:lineRule="atLeast"/>
        <w:rPr>
          <w:rFonts w:hint="default" w:ascii="Times New Roman" w:hAnsi="Times New Roman" w:cs="Times New Roman"/>
          <w:spacing w:val="20"/>
          <w:sz w:val="24"/>
        </w:rPr>
      </w:pPr>
      <w:r>
        <w:rPr>
          <w:rFonts w:hint="default" w:ascii="Times New Roman" w:hAnsi="Times New Roman" w:cs="Times New Roman"/>
          <w:spacing w:val="20"/>
          <w:sz w:val="24"/>
        </w:rPr>
        <w:t>1.2 机构主要</w:t>
      </w:r>
      <w:r>
        <w:rPr>
          <w:rFonts w:hint="default" w:ascii="Times New Roman" w:hAnsi="Times New Roman" w:cs="Times New Roman"/>
          <w:spacing w:val="20"/>
          <w:sz w:val="24"/>
          <w:lang w:val="en-US" w:eastAsia="zh-CN"/>
        </w:rPr>
        <w:t>负责</w:t>
      </w:r>
      <w:r>
        <w:rPr>
          <w:rFonts w:hint="default" w:ascii="Times New Roman" w:hAnsi="Times New Roman" w:cs="Times New Roman"/>
          <w:spacing w:val="20"/>
          <w:sz w:val="24"/>
        </w:rPr>
        <w:t>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852"/>
        <w:gridCol w:w="852"/>
        <w:gridCol w:w="852"/>
        <w:gridCol w:w="1470"/>
        <w:gridCol w:w="85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职务</w:t>
            </w:r>
          </w:p>
        </w:tc>
        <w:tc>
          <w:tcPr>
            <w:tcW w:w="487"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姓名</w:t>
            </w:r>
          </w:p>
        </w:tc>
        <w:tc>
          <w:tcPr>
            <w:tcW w:w="487"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性别</w:t>
            </w:r>
          </w:p>
        </w:tc>
        <w:tc>
          <w:tcPr>
            <w:tcW w:w="487"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职称</w:t>
            </w:r>
          </w:p>
        </w:tc>
        <w:tc>
          <w:tcPr>
            <w:tcW w:w="840"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身份证号</w:t>
            </w:r>
          </w:p>
        </w:tc>
        <w:tc>
          <w:tcPr>
            <w:tcW w:w="487"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学历</w:t>
            </w:r>
          </w:p>
        </w:tc>
        <w:tc>
          <w:tcPr>
            <w:tcW w:w="1192" w:type="pct"/>
            <w:vAlign w:val="center"/>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pct"/>
            <w:vAlign w:val="top"/>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法定代表人</w:t>
            </w: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w:t>
            </w:r>
          </w:p>
        </w:tc>
        <w:tc>
          <w:tcPr>
            <w:tcW w:w="840"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w:t>
            </w:r>
          </w:p>
        </w:tc>
        <w:tc>
          <w:tcPr>
            <w:tcW w:w="1192" w:type="pct"/>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pct"/>
            <w:vAlign w:val="top"/>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cs="Times New Roman"/>
                <w:spacing w:val="20"/>
                <w:kern w:val="0"/>
                <w:sz w:val="24"/>
                <w:szCs w:val="20"/>
                <w:lang w:val="en-US" w:eastAsia="zh-CN"/>
              </w:rPr>
              <w:t>最高管理者</w:t>
            </w: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jc w:val="center"/>
              <w:rPr>
                <w:rFonts w:hint="default" w:ascii="Times New Roman" w:hAnsi="Times New Roman" w:eastAsia="宋体" w:cs="Times New Roman"/>
                <w:spacing w:val="20"/>
                <w:kern w:val="0"/>
                <w:sz w:val="24"/>
                <w:szCs w:val="20"/>
              </w:rPr>
            </w:pPr>
          </w:p>
        </w:tc>
        <w:tc>
          <w:tcPr>
            <w:tcW w:w="840"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jc w:val="center"/>
              <w:rPr>
                <w:rFonts w:hint="default" w:ascii="Times New Roman" w:hAnsi="Times New Roman" w:eastAsia="宋体" w:cs="Times New Roman"/>
                <w:spacing w:val="20"/>
                <w:kern w:val="0"/>
                <w:sz w:val="24"/>
                <w:szCs w:val="20"/>
              </w:rPr>
            </w:pPr>
          </w:p>
        </w:tc>
        <w:tc>
          <w:tcPr>
            <w:tcW w:w="1192" w:type="pct"/>
          </w:tcPr>
          <w:p>
            <w:pPr>
              <w:adjustRightInd w:val="0"/>
              <w:snapToGrid w:val="0"/>
              <w:spacing w:line="460" w:lineRule="atLeast"/>
              <w:jc w:val="center"/>
              <w:rPr>
                <w:rFonts w:hint="default"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5" w:type="pct"/>
            <w:vAlign w:val="top"/>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技术负责人</w:t>
            </w: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840"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192" w:type="pct"/>
          </w:tcPr>
          <w:p>
            <w:pPr>
              <w:adjustRightInd w:val="0"/>
              <w:snapToGrid w:val="0"/>
              <w:spacing w:line="460" w:lineRule="atLeast"/>
              <w:rPr>
                <w:rFonts w:hint="default"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pct"/>
            <w:vAlign w:val="top"/>
          </w:tcPr>
          <w:p>
            <w:pPr>
              <w:adjustRightInd w:val="0"/>
              <w:snapToGrid w:val="0"/>
              <w:spacing w:line="460" w:lineRule="atLeast"/>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质量负责人</w:t>
            </w: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840"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8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192" w:type="pct"/>
          </w:tcPr>
          <w:p>
            <w:pPr>
              <w:adjustRightInd w:val="0"/>
              <w:snapToGrid w:val="0"/>
              <w:spacing w:line="460" w:lineRule="atLeast"/>
              <w:rPr>
                <w:rFonts w:hint="default" w:ascii="Times New Roman" w:hAnsi="Times New Roman" w:eastAsia="宋体" w:cs="Times New Roman"/>
                <w:spacing w:val="20"/>
                <w:kern w:val="0"/>
                <w:sz w:val="24"/>
                <w:szCs w:val="20"/>
              </w:rPr>
            </w:pPr>
          </w:p>
        </w:tc>
      </w:tr>
    </w:tbl>
    <w:p>
      <w:pPr>
        <w:adjustRightInd w:val="0"/>
        <w:snapToGrid w:val="0"/>
        <w:spacing w:line="460" w:lineRule="atLeast"/>
        <w:rPr>
          <w:rFonts w:hint="default" w:ascii="Times New Roman" w:hAnsi="Times New Roman" w:cs="Times New Roman"/>
          <w:spacing w:val="20"/>
          <w:sz w:val="24"/>
        </w:rPr>
      </w:pPr>
      <w:r>
        <w:rPr>
          <w:rFonts w:hint="default" w:ascii="Times New Roman" w:hAnsi="Times New Roman" w:cs="Times New Roman"/>
          <w:spacing w:val="20"/>
          <w:sz w:val="24"/>
        </w:rPr>
        <w:t>1.3机构注册人员</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946"/>
        <w:gridCol w:w="2226"/>
        <w:gridCol w:w="1238"/>
        <w:gridCol w:w="974"/>
        <w:gridCol w:w="799"/>
        <w:gridCol w:w="83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59"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姓名</w:t>
            </w:r>
          </w:p>
        </w:tc>
        <w:tc>
          <w:tcPr>
            <w:tcW w:w="541"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性别</w:t>
            </w:r>
          </w:p>
        </w:tc>
        <w:tc>
          <w:tcPr>
            <w:tcW w:w="1273"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身份证号</w:t>
            </w:r>
          </w:p>
        </w:tc>
        <w:tc>
          <w:tcPr>
            <w:tcW w:w="708"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注册</w:t>
            </w:r>
          </w:p>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证书类别</w:t>
            </w:r>
          </w:p>
        </w:tc>
        <w:tc>
          <w:tcPr>
            <w:tcW w:w="557"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注册</w:t>
            </w:r>
          </w:p>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证书</w:t>
            </w:r>
          </w:p>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编号</w:t>
            </w:r>
          </w:p>
        </w:tc>
        <w:tc>
          <w:tcPr>
            <w:tcW w:w="457"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职称</w:t>
            </w:r>
          </w:p>
        </w:tc>
        <w:tc>
          <w:tcPr>
            <w:tcW w:w="477"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学历</w:t>
            </w:r>
          </w:p>
        </w:tc>
        <w:tc>
          <w:tcPr>
            <w:tcW w:w="525" w:type="pct"/>
            <w:vAlign w:val="center"/>
          </w:tcPr>
          <w:p>
            <w:pPr>
              <w:adjustRightInd w:val="0"/>
              <w:snapToGrid w:val="0"/>
              <w:spacing w:line="240" w:lineRule="auto"/>
              <w:jc w:val="center"/>
              <w:rPr>
                <w:rFonts w:hint="default" w:ascii="Times New Roman" w:hAnsi="Times New Roman" w:eastAsia="宋体" w:cs="Times New Roman"/>
                <w:spacing w:val="20"/>
                <w:kern w:val="0"/>
                <w:sz w:val="24"/>
                <w:szCs w:val="20"/>
              </w:rPr>
            </w:pPr>
            <w:r>
              <w:rPr>
                <w:rFonts w:hint="default" w:ascii="Times New Roman" w:hAnsi="Times New Roman" w:eastAsia="宋体" w:cs="Times New Roman"/>
                <w:spacing w:val="20"/>
                <w:kern w:val="0"/>
                <w:sz w:val="24"/>
                <w:szCs w:val="20"/>
              </w:rPr>
              <w:t>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9"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41"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273"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708"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7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25" w:type="pct"/>
          </w:tcPr>
          <w:p>
            <w:pPr>
              <w:adjustRightInd w:val="0"/>
              <w:snapToGrid w:val="0"/>
              <w:spacing w:line="460" w:lineRule="atLeast"/>
              <w:rPr>
                <w:rFonts w:hint="default"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9"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41"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273"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708"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7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25" w:type="pct"/>
          </w:tcPr>
          <w:p>
            <w:pPr>
              <w:adjustRightInd w:val="0"/>
              <w:snapToGrid w:val="0"/>
              <w:spacing w:line="460" w:lineRule="atLeast"/>
              <w:rPr>
                <w:rFonts w:hint="default"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9"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41"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273"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708"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7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25" w:type="pct"/>
          </w:tcPr>
          <w:p>
            <w:pPr>
              <w:adjustRightInd w:val="0"/>
              <w:snapToGrid w:val="0"/>
              <w:spacing w:line="460" w:lineRule="atLeast"/>
              <w:rPr>
                <w:rFonts w:hint="default"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9"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41"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273"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708"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7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25" w:type="pct"/>
          </w:tcPr>
          <w:p>
            <w:pPr>
              <w:adjustRightInd w:val="0"/>
              <w:snapToGrid w:val="0"/>
              <w:spacing w:line="460" w:lineRule="atLeast"/>
              <w:rPr>
                <w:rFonts w:hint="default"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9"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41"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1273"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708"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5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477" w:type="pct"/>
          </w:tcPr>
          <w:p>
            <w:pPr>
              <w:adjustRightInd w:val="0"/>
              <w:snapToGrid w:val="0"/>
              <w:spacing w:line="460" w:lineRule="atLeast"/>
              <w:rPr>
                <w:rFonts w:hint="default" w:ascii="Times New Roman" w:hAnsi="Times New Roman" w:eastAsia="宋体" w:cs="Times New Roman"/>
                <w:spacing w:val="20"/>
                <w:kern w:val="0"/>
                <w:sz w:val="24"/>
                <w:szCs w:val="20"/>
              </w:rPr>
            </w:pPr>
          </w:p>
        </w:tc>
        <w:tc>
          <w:tcPr>
            <w:tcW w:w="525" w:type="pct"/>
          </w:tcPr>
          <w:p>
            <w:pPr>
              <w:adjustRightInd w:val="0"/>
              <w:snapToGrid w:val="0"/>
              <w:spacing w:line="460" w:lineRule="atLeast"/>
              <w:rPr>
                <w:rFonts w:hint="default" w:ascii="Times New Roman" w:hAnsi="Times New Roman" w:eastAsia="宋体" w:cs="Times New Roman"/>
                <w:spacing w:val="20"/>
                <w:kern w:val="0"/>
                <w:sz w:val="24"/>
                <w:szCs w:val="20"/>
              </w:rPr>
            </w:pPr>
          </w:p>
        </w:tc>
      </w:tr>
    </w:tbl>
    <w:p>
      <w:pPr>
        <w:adjustRightInd w:val="0"/>
        <w:snapToGrid w:val="0"/>
        <w:spacing w:line="420" w:lineRule="exact"/>
        <w:rPr>
          <w:rFonts w:hint="default" w:ascii="Times New Roman" w:hAnsi="Times New Roman" w:cs="Times New Roman"/>
          <w:spacing w:val="20"/>
          <w:sz w:val="24"/>
        </w:rPr>
      </w:pPr>
      <w:r>
        <w:rPr>
          <w:rFonts w:hint="default" w:ascii="Times New Roman" w:hAnsi="Times New Roman" w:cs="Times New Roman"/>
          <w:spacing w:val="20"/>
          <w:sz w:val="24"/>
        </w:rPr>
        <w:t>1</w:t>
      </w:r>
      <w:r>
        <w:rPr>
          <w:rFonts w:hint="default" w:ascii="Times New Roman" w:hAnsi="Times New Roman" w:cs="Times New Roman"/>
          <w:b/>
          <w:bCs/>
          <w:spacing w:val="20"/>
          <w:sz w:val="24"/>
        </w:rPr>
        <w:t>.</w:t>
      </w:r>
      <w:r>
        <w:rPr>
          <w:rFonts w:hint="default" w:ascii="Times New Roman" w:hAnsi="Times New Roman" w:cs="Times New Roman"/>
          <w:spacing w:val="20"/>
          <w:sz w:val="24"/>
        </w:rPr>
        <w:t xml:space="preserve">4 </w:t>
      </w:r>
      <w:r>
        <w:rPr>
          <w:rFonts w:hint="default" w:ascii="Times New Roman" w:hAnsi="Times New Roman" w:cs="Times New Roman"/>
          <w:b w:val="0"/>
          <w:bCs w:val="0"/>
          <w:spacing w:val="20"/>
          <w:sz w:val="24"/>
        </w:rPr>
        <w:t>检测</w:t>
      </w:r>
      <w:r>
        <w:rPr>
          <w:rFonts w:hint="default" w:ascii="Times New Roman" w:hAnsi="Times New Roman" w:cs="Times New Roman"/>
          <w:spacing w:val="20"/>
          <w:sz w:val="24"/>
        </w:rPr>
        <w:t>机构场所特点：</w:t>
      </w:r>
    </w:p>
    <w:p>
      <w:pPr>
        <w:adjustRightInd w:val="0"/>
        <w:snapToGrid w:val="0"/>
        <w:spacing w:line="420" w:lineRule="exact"/>
        <w:ind w:firstLine="560" w:firstLineChars="200"/>
        <w:jc w:val="left"/>
        <w:rPr>
          <w:rFonts w:hint="default" w:ascii="Times New Roman" w:hAnsi="Times New Roman" w:cs="Times New Roman"/>
          <w:spacing w:val="20"/>
          <w:sz w:val="24"/>
        </w:rPr>
      </w:pPr>
      <w:r>
        <w:rPr>
          <w:rFonts w:hint="default" w:ascii="Times New Roman" w:hAnsi="Times New Roman" w:cs="Times New Roman"/>
          <w:spacing w:val="20"/>
          <w:sz w:val="24"/>
        </w:rPr>
        <w:t>单一□</w:t>
      </w:r>
      <w:r>
        <w:rPr>
          <w:rFonts w:hint="default" w:ascii="Times New Roman" w:hAnsi="Times New Roman" w:cs="Times New Roman"/>
          <w:spacing w:val="20"/>
          <w:sz w:val="24"/>
        </w:rPr>
        <w:sym w:font="方正小标宋简体" w:char="F0FE"/>
      </w:r>
      <w:r>
        <w:rPr>
          <w:rFonts w:hint="default" w:ascii="Times New Roman" w:hAnsi="Times New Roman" w:cs="Times New Roman"/>
          <w:spacing w:val="20"/>
          <w:sz w:val="24"/>
        </w:rPr>
        <w:t xml:space="preserve">       多场所□</w:t>
      </w:r>
      <w:r>
        <w:rPr>
          <w:rFonts w:hint="default" w:ascii="Times New Roman" w:hAnsi="Times New Roman" w:cs="Times New Roman"/>
          <w:spacing w:val="20"/>
          <w:sz w:val="24"/>
        </w:rPr>
        <w:sym w:font="方正小标宋简体" w:char="F0FE"/>
      </w:r>
    </w:p>
    <w:p>
      <w:pPr>
        <w:adjustRightInd w:val="0"/>
        <w:snapToGrid w:val="0"/>
        <w:spacing w:line="420" w:lineRule="exact"/>
        <w:rPr>
          <w:rFonts w:hint="default" w:ascii="Times New Roman" w:hAnsi="Times New Roman" w:cs="Times New Roman"/>
          <w:spacing w:val="20"/>
          <w:sz w:val="24"/>
        </w:rPr>
      </w:pPr>
      <w:r>
        <w:rPr>
          <w:rFonts w:hint="default" w:ascii="Times New Roman" w:hAnsi="Times New Roman" w:cs="Times New Roman"/>
          <w:spacing w:val="20"/>
          <w:sz w:val="24"/>
        </w:rPr>
        <w:t>1</w:t>
      </w:r>
      <w:r>
        <w:rPr>
          <w:rFonts w:hint="default" w:ascii="Times New Roman" w:hAnsi="Times New Roman" w:cs="Times New Roman"/>
          <w:b/>
          <w:bCs/>
          <w:spacing w:val="20"/>
          <w:sz w:val="24"/>
        </w:rPr>
        <w:t>.</w:t>
      </w:r>
      <w:r>
        <w:rPr>
          <w:rFonts w:hint="default" w:ascii="Times New Roman" w:hAnsi="Times New Roman" w:cs="Times New Roman"/>
          <w:spacing w:val="20"/>
          <w:sz w:val="24"/>
        </w:rPr>
        <w:t>5 法人类别：</w:t>
      </w:r>
    </w:p>
    <w:p>
      <w:pPr>
        <w:adjustRightInd w:val="0"/>
        <w:snapToGrid w:val="0"/>
        <w:spacing w:line="420" w:lineRule="exact"/>
        <w:rPr>
          <w:rFonts w:hint="default" w:ascii="Times New Roman" w:hAnsi="Times New Roman" w:cs="Times New Roman"/>
          <w:spacing w:val="20"/>
          <w:sz w:val="24"/>
        </w:rPr>
      </w:pPr>
      <w:r>
        <w:rPr>
          <w:rFonts w:hint="default" w:ascii="Times New Roman" w:hAnsi="Times New Roman" w:cs="Times New Roman"/>
          <w:spacing w:val="20"/>
          <w:sz w:val="24"/>
        </w:rPr>
        <w:t>企业法人□      事业法人□     合伙人企业□       其它□</w:t>
      </w:r>
    </w:p>
    <w:p>
      <w:pPr>
        <w:adjustRightInd w:val="0"/>
        <w:snapToGrid w:val="0"/>
        <w:spacing w:line="420" w:lineRule="exact"/>
        <w:rPr>
          <w:rFonts w:hint="default" w:ascii="Times New Roman" w:hAnsi="Times New Roman" w:cs="Times New Roman"/>
          <w:spacing w:val="20"/>
          <w:sz w:val="24"/>
        </w:rPr>
      </w:pPr>
      <w:r>
        <w:rPr>
          <w:rFonts w:hint="default" w:ascii="Times New Roman" w:hAnsi="Times New Roman" w:cs="Times New Roman"/>
          <w:spacing w:val="20"/>
          <w:sz w:val="24"/>
        </w:rPr>
        <w:t>1.6 评审类型</w:t>
      </w:r>
    </w:p>
    <w:p>
      <w:pPr>
        <w:adjustRightInd w:val="0"/>
        <w:snapToGrid w:val="0"/>
        <w:spacing w:line="420" w:lineRule="exact"/>
        <w:rPr>
          <w:rFonts w:hint="default" w:ascii="Times New Roman" w:hAnsi="Times New Roman" w:cs="Times New Roman"/>
          <w:spacing w:val="20"/>
          <w:kern w:val="0"/>
          <w:sz w:val="24"/>
        </w:rPr>
      </w:pPr>
      <w:r>
        <w:rPr>
          <w:rFonts w:hint="default" w:ascii="Times New Roman" w:hAnsi="Times New Roman" w:cs="Times New Roman"/>
          <w:spacing w:val="20"/>
          <w:sz w:val="24"/>
        </w:rPr>
        <w:t>首次□  扩项(参数)□  增项□  地</w:t>
      </w:r>
      <w:r>
        <w:rPr>
          <w:rFonts w:hint="default" w:ascii="Times New Roman" w:hAnsi="Times New Roman" w:cs="Times New Roman"/>
          <w:spacing w:val="20"/>
          <w:kern w:val="0"/>
          <w:sz w:val="24"/>
        </w:rPr>
        <w:t>址变更□</w:t>
      </w:r>
      <w:r>
        <w:rPr>
          <w:rFonts w:hint="default" w:ascii="Times New Roman" w:hAnsi="Times New Roman" w:cs="Times New Roman"/>
          <w:spacing w:val="20"/>
          <w:kern w:val="0"/>
          <w:sz w:val="24"/>
          <w:lang w:val="en-US" w:eastAsia="zh-CN"/>
        </w:rPr>
        <w:t xml:space="preserve"> </w:t>
      </w:r>
      <w:r>
        <w:rPr>
          <w:rFonts w:hint="default" w:ascii="Times New Roman" w:hAnsi="Times New Roman" w:cs="Times New Roman"/>
          <w:spacing w:val="20"/>
          <w:kern w:val="0"/>
          <w:sz w:val="24"/>
        </w:rPr>
        <w:t> 延期□  其它□</w:t>
      </w:r>
    </w:p>
    <w:p>
      <w:pPr>
        <w:widowControl/>
        <w:shd w:val="clear" w:color="auto" w:fill="FFFFFF"/>
        <w:wordWrap w:val="0"/>
        <w:snapToGrid w:val="0"/>
        <w:spacing w:line="420" w:lineRule="atLeast"/>
        <w:jc w:val="left"/>
        <w:rPr>
          <w:rFonts w:hint="default" w:ascii="Times New Roman" w:hAnsi="Times New Roman" w:cs="Times New Roman"/>
          <w:kern w:val="0"/>
          <w:sz w:val="20"/>
          <w:szCs w:val="20"/>
        </w:rPr>
      </w:pPr>
      <w:r>
        <w:rPr>
          <w:rFonts w:hint="default" w:ascii="Times New Roman" w:hAnsi="Times New Roman" w:cs="Times New Roman"/>
          <w:spacing w:val="20"/>
          <w:kern w:val="0"/>
          <w:sz w:val="24"/>
        </w:rPr>
        <w:t>1.7 已获资质情况</w:t>
      </w:r>
    </w:p>
    <w:p>
      <w:pPr>
        <w:spacing w:line="440" w:lineRule="exact"/>
        <w:rPr>
          <w:rFonts w:hint="default" w:ascii="Times New Roman" w:hAnsi="Times New Roman" w:cs="Times New Roman"/>
          <w:sz w:val="24"/>
        </w:rPr>
      </w:pPr>
      <w:r>
        <w:rPr>
          <w:rFonts w:hint="default" w:ascii="Times New Roman" w:hAnsi="Times New Roman" w:cs="Times New Roman"/>
          <w:spacing w:val="20"/>
          <w:sz w:val="24"/>
        </w:rPr>
        <w:t>建设工程质量检测机构资质</w:t>
      </w:r>
      <w:r>
        <w:rPr>
          <w:rFonts w:hint="default" w:ascii="Times New Roman" w:hAnsi="Times New Roman" w:cs="Times New Roman"/>
          <w:sz w:val="24"/>
        </w:rPr>
        <w:t>证书编号：</w:t>
      </w:r>
      <w:r>
        <w:rPr>
          <w:rFonts w:hint="default" w:ascii="Times New Roman" w:hAnsi="Times New Roman" w:cs="Times New Roman"/>
          <w:color w:val="000000"/>
          <w:sz w:val="24"/>
        </w:rPr>
        <w:t>XXXXXXXXXX</w:t>
      </w:r>
      <w:r>
        <w:rPr>
          <w:rFonts w:hint="default" w:ascii="Times New Roman" w:hAnsi="Times New Roman" w:cs="Times New Roman"/>
          <w:sz w:val="24"/>
        </w:rPr>
        <w:t xml:space="preserve">        </w:t>
      </w:r>
    </w:p>
    <w:p>
      <w:pPr>
        <w:spacing w:line="440" w:lineRule="exact"/>
        <w:rPr>
          <w:rFonts w:hint="default" w:ascii="Times New Roman" w:hAnsi="Times New Roman" w:cs="Times New Roman"/>
          <w:sz w:val="24"/>
        </w:rPr>
      </w:pPr>
      <w:r>
        <w:rPr>
          <w:rFonts w:hint="default" w:ascii="Times New Roman" w:hAnsi="Times New Roman" w:cs="Times New Roman"/>
          <w:color w:val="000000"/>
          <w:sz w:val="24"/>
        </w:rPr>
        <w:t>首次获得</w:t>
      </w:r>
      <w:r>
        <w:rPr>
          <w:rFonts w:hint="default" w:ascii="Times New Roman" w:hAnsi="Times New Roman" w:cs="Times New Roman"/>
          <w:color w:val="000000" w:themeColor="text1"/>
          <w:spacing w:val="20"/>
          <w:sz w:val="24"/>
          <w14:textFill>
            <w14:solidFill>
              <w14:schemeClr w14:val="tx1"/>
            </w14:solidFill>
          </w14:textFill>
        </w:rPr>
        <w:t>建设工程质量检测机构</w:t>
      </w:r>
      <w:r>
        <w:rPr>
          <w:rFonts w:hint="default" w:ascii="Times New Roman" w:hAnsi="Times New Roman" w:cs="Times New Roman"/>
          <w:color w:val="000000" w:themeColor="text1"/>
          <w:sz w:val="24"/>
          <w14:textFill>
            <w14:solidFill>
              <w14:schemeClr w14:val="tx1"/>
            </w14:solidFill>
          </w14:textFill>
        </w:rPr>
        <w:t>资质</w:t>
      </w:r>
      <w:r>
        <w:rPr>
          <w:rFonts w:hint="default" w:ascii="Times New Roman" w:hAnsi="Times New Roman" w:cs="Times New Roman"/>
          <w:color w:val="000000"/>
          <w:sz w:val="24"/>
        </w:rPr>
        <w:t>时间： XXXX年XX月XX日</w:t>
      </w:r>
    </w:p>
    <w:p>
      <w:pPr>
        <w:spacing w:line="440" w:lineRule="exact"/>
        <w:rPr>
          <w:rFonts w:hint="default" w:ascii="Times New Roman" w:hAnsi="Times New Roman" w:cs="Times New Roman"/>
          <w:color w:val="000000"/>
          <w:sz w:val="24"/>
        </w:rPr>
      </w:pPr>
      <w:r>
        <w:rPr>
          <w:rFonts w:hint="default" w:ascii="Times New Roman" w:hAnsi="Times New Roman" w:cs="Times New Roman"/>
          <w:sz w:val="24"/>
        </w:rPr>
        <w:t>证书有效期至：</w:t>
      </w:r>
      <w:r>
        <w:rPr>
          <w:rFonts w:hint="default" w:ascii="Times New Roman" w:hAnsi="Times New Roman" w:cs="Times New Roman"/>
          <w:color w:val="000000"/>
          <w:sz w:val="24"/>
        </w:rPr>
        <w:t>XXXX年XX月XX日</w:t>
      </w:r>
    </w:p>
    <w:p>
      <w:pPr>
        <w:rPr>
          <w:rFonts w:hint="default" w:ascii="Times New Roman" w:hAnsi="Times New Roman" w:cs="Times New Roman"/>
          <w:b/>
          <w:bCs/>
          <w:kern w:val="0"/>
          <w:sz w:val="28"/>
        </w:rPr>
      </w:pPr>
      <w:r>
        <w:rPr>
          <w:rFonts w:hint="default" w:ascii="Times New Roman" w:hAnsi="Times New Roman" w:cs="Times New Roman"/>
          <w:b/>
          <w:bCs/>
          <w:kern w:val="0"/>
          <w:sz w:val="28"/>
        </w:rPr>
        <w:t>2、评审地点（多场所的另附页）：</w:t>
      </w:r>
    </w:p>
    <w:p>
      <w:pPr>
        <w:rPr>
          <w:rFonts w:hint="default" w:ascii="Times New Roman" w:hAnsi="Times New Roman" w:cs="Times New Roman"/>
          <w:sz w:val="24"/>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widowControl/>
        <w:shd w:val="clear" w:color="auto" w:fill="FFFFFF"/>
        <w:wordWrap w:val="0"/>
        <w:spacing w:line="264" w:lineRule="auto"/>
        <w:jc w:val="left"/>
        <w:rPr>
          <w:rFonts w:hint="default" w:ascii="Times New Roman" w:hAnsi="Times New Roman" w:cs="Times New Roman"/>
          <w:b/>
          <w:bCs/>
          <w:kern w:val="0"/>
          <w:sz w:val="28"/>
          <w:szCs w:val="28"/>
        </w:rPr>
      </w:pPr>
    </w:p>
    <w:p>
      <w:pPr>
        <w:pStyle w:val="8"/>
        <w:rPr>
          <w:rFonts w:hint="default"/>
        </w:rPr>
      </w:pPr>
    </w:p>
    <w:p>
      <w:pPr>
        <w:widowControl/>
        <w:shd w:val="clear" w:color="auto" w:fill="FFFFFF"/>
        <w:wordWrap w:val="0"/>
        <w:spacing w:line="264" w:lineRule="auto"/>
        <w:jc w:val="left"/>
        <w:rPr>
          <w:rFonts w:hint="default" w:ascii="Times New Roman" w:hAnsi="Times New Roman" w:cs="Times New Roman"/>
          <w:kern w:val="0"/>
          <w:sz w:val="20"/>
          <w:szCs w:val="20"/>
        </w:rPr>
      </w:pPr>
      <w:r>
        <w:rPr>
          <w:rFonts w:hint="default" w:ascii="Times New Roman" w:hAnsi="Times New Roman" w:cs="Times New Roman"/>
          <w:b/>
          <w:bCs/>
          <w:kern w:val="0"/>
          <w:sz w:val="28"/>
          <w:szCs w:val="28"/>
        </w:rPr>
        <w:t>3.评审组意见：</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XXXXX（检测机构名称）：</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XXXX年XX月XX日</w:t>
      </w:r>
      <w:r>
        <w:rPr>
          <w:rFonts w:hint="default" w:ascii="Times New Roman" w:hAnsi="Times New Roman" w:eastAsia="仿宋" w:cs="Times New Roman"/>
          <w:sz w:val="32"/>
          <w:szCs w:val="32"/>
          <w:lang w:val="en-US" w:eastAsia="zh-CN"/>
        </w:rPr>
        <w:t>至</w:t>
      </w:r>
      <w:r>
        <w:rPr>
          <w:rFonts w:hint="default" w:ascii="Times New Roman" w:hAnsi="Times New Roman" w:eastAsia="仿宋" w:cs="Times New Roman"/>
          <w:sz w:val="32"/>
          <w:szCs w:val="32"/>
        </w:rPr>
        <w:t>XXXX年XX月XX日，经陕西省住房和城乡建设厅建设工程质量检测机构资质许可专家评审组现场评审，你机构符合□/基本符合□/不符合□《建设工程质量检测机构资质标准》等相关法规、规章、标准要求。</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当评审结果为基本符合时，你机构应于XXXX年XX月XX日前</w:t>
      </w:r>
      <w:r>
        <w:rPr>
          <w:rFonts w:hint="default" w:ascii="Times New Roman" w:hAnsi="Times New Roman" w:eastAsia="仿宋" w:cs="Times New Roman"/>
          <w:sz w:val="32"/>
          <w:szCs w:val="32"/>
          <w:lang w:val="en-US" w:eastAsia="zh-CN"/>
        </w:rPr>
        <w:t>对不符合项</w:t>
      </w:r>
      <w:r>
        <w:rPr>
          <w:rFonts w:hint="default" w:ascii="Times New Roman" w:hAnsi="Times New Roman" w:eastAsia="仿宋" w:cs="Times New Roman"/>
          <w:sz w:val="32"/>
          <w:szCs w:val="32"/>
        </w:rPr>
        <w:t>完</w:t>
      </w:r>
      <w:r>
        <w:rPr>
          <w:rFonts w:hint="default" w:ascii="Times New Roman" w:hAnsi="Times New Roman" w:eastAsia="仿宋" w:cs="Times New Roman"/>
          <w:sz w:val="32"/>
          <w:szCs w:val="32"/>
          <w:lang w:val="en-US" w:eastAsia="zh-CN"/>
        </w:rPr>
        <w:t>成</w:t>
      </w:r>
      <w:r>
        <w:rPr>
          <w:rFonts w:hint="default" w:ascii="Times New Roman" w:hAnsi="Times New Roman" w:eastAsia="仿宋" w:cs="Times New Roman"/>
          <w:sz w:val="32"/>
          <w:szCs w:val="32"/>
        </w:rPr>
        <w:t>有效整改，并形成书面材料报评审组确认。</w:t>
      </w:r>
    </w:p>
    <w:p>
      <w:pPr>
        <w:pStyle w:val="8"/>
        <w:rPr>
          <w:rFonts w:hint="default" w:ascii="Times New Roman" w:hAnsi="Times New Roman" w:cs="Times New Roman"/>
        </w:rPr>
      </w:pPr>
    </w:p>
    <w:p>
      <w:pPr>
        <w:spacing w:line="360" w:lineRule="exact"/>
        <w:ind w:firstLine="482"/>
        <w:rPr>
          <w:rFonts w:hint="default" w:ascii="Times New Roman" w:hAnsi="Times New Roman" w:cs="Times New Roman"/>
          <w:sz w:val="24"/>
        </w:rPr>
      </w:pPr>
    </w:p>
    <w:p>
      <w:pPr>
        <w:spacing w:line="360" w:lineRule="exact"/>
        <w:ind w:firstLine="482"/>
        <w:rPr>
          <w:rFonts w:hint="default" w:ascii="Times New Roman" w:hAnsi="Times New Roman" w:cs="Times New Roman"/>
          <w:sz w:val="24"/>
        </w:rPr>
      </w:pPr>
    </w:p>
    <w:p>
      <w:pPr>
        <w:spacing w:line="360" w:lineRule="exact"/>
        <w:ind w:firstLine="482"/>
        <w:rPr>
          <w:rFonts w:hint="default" w:ascii="Times New Roman" w:hAnsi="Times New Roman" w:cs="Times New Roman"/>
          <w:sz w:val="24"/>
        </w:rPr>
      </w:pPr>
    </w:p>
    <w:p>
      <w:pPr>
        <w:spacing w:line="360" w:lineRule="exact"/>
        <w:ind w:firstLine="482"/>
        <w:rPr>
          <w:rFonts w:hint="default" w:ascii="Times New Roman" w:hAnsi="Times New Roman" w:cs="Times New Roman"/>
          <w:sz w:val="24"/>
        </w:rPr>
      </w:pPr>
    </w:p>
    <w:p>
      <w:pPr>
        <w:spacing w:line="360" w:lineRule="exact"/>
        <w:ind w:firstLine="482"/>
        <w:rPr>
          <w:rFonts w:hint="default" w:ascii="Times New Roman" w:hAnsi="Times New Roman" w:cs="Times New Roman"/>
          <w:sz w:val="24"/>
        </w:rPr>
      </w:pPr>
    </w:p>
    <w:p>
      <w:pPr>
        <w:spacing w:line="360" w:lineRule="exact"/>
        <w:rPr>
          <w:rFonts w:hint="default" w:ascii="Times New Roman" w:hAnsi="Times New Roman" w:cs="Times New Roman"/>
          <w:sz w:val="24"/>
        </w:rPr>
      </w:pPr>
    </w:p>
    <w:p>
      <w:pPr>
        <w:spacing w:line="360" w:lineRule="exact"/>
        <w:ind w:firstLine="0"/>
        <w:rPr>
          <w:rFonts w:hint="default" w:ascii="Times New Roman" w:hAnsi="Times New Roman" w:eastAsia="宋体" w:cs="Times New Roman"/>
          <w:sz w:val="24"/>
          <w:lang w:eastAsia="zh-CN"/>
        </w:rPr>
      </w:pPr>
    </w:p>
    <w:p>
      <w:pPr>
        <w:pStyle w:val="8"/>
        <w:rPr>
          <w:rFonts w:hint="default" w:ascii="Times New Roman" w:hAnsi="Times New Roman" w:cs="Times New Roman"/>
          <w:lang w:eastAsia="zh-CN"/>
        </w:rPr>
      </w:pPr>
    </w:p>
    <w:p>
      <w:pPr>
        <w:spacing w:line="360" w:lineRule="exact"/>
        <w:ind w:firstLine="482"/>
        <w:rPr>
          <w:rFonts w:hint="default" w:ascii="Times New Roman" w:hAnsi="Times New Roman" w:cs="Times New Roman"/>
          <w:sz w:val="24"/>
        </w:rPr>
      </w:pPr>
    </w:p>
    <w:p>
      <w:pPr>
        <w:spacing w:line="360" w:lineRule="exact"/>
        <w:rPr>
          <w:rFonts w:hint="default" w:ascii="Times New Roman" w:hAnsi="Times New Roman" w:cs="Times New Roman"/>
          <w:sz w:val="24"/>
        </w:rPr>
      </w:pPr>
    </w:p>
    <w:p>
      <w:pPr>
        <w:spacing w:line="360" w:lineRule="exact"/>
        <w:ind w:firstLine="482"/>
        <w:rPr>
          <w:rFonts w:hint="default" w:ascii="Times New Roman" w:hAnsi="Times New Roman" w:cs="Times New Roman"/>
          <w:sz w:val="24"/>
        </w:rPr>
      </w:pPr>
    </w:p>
    <w:p>
      <w:pPr>
        <w:widowControl/>
        <w:shd w:val="clear" w:color="auto" w:fill="FFFFFF"/>
        <w:wordWrap w:val="0"/>
        <w:spacing w:line="300" w:lineRule="auto"/>
        <w:jc w:val="left"/>
        <w:rPr>
          <w:rFonts w:hint="default" w:ascii="Times New Roman" w:hAnsi="Times New Roman" w:cs="Times New Roman"/>
          <w:kern w:val="0"/>
          <w:sz w:val="24"/>
        </w:rPr>
      </w:pPr>
    </w:p>
    <w:p>
      <w:pPr>
        <w:widowControl/>
        <w:shd w:val="clear" w:color="auto" w:fill="FFFFFF"/>
        <w:wordWrap w:val="0"/>
        <w:spacing w:line="300" w:lineRule="auto"/>
        <w:jc w:val="left"/>
        <w:rPr>
          <w:rFonts w:hint="default" w:ascii="Times New Roman" w:hAnsi="Times New Roman" w:cs="Times New Roman"/>
          <w:kern w:val="0"/>
          <w:sz w:val="24"/>
        </w:rPr>
      </w:pPr>
      <w:r>
        <w:rPr>
          <w:rFonts w:hint="default" w:ascii="Times New Roman" w:hAnsi="Times New Roman" w:cs="Times New Roman"/>
          <w:kern w:val="0"/>
          <w:sz w:val="24"/>
        </w:rPr>
        <w:t>评审组长签名：</w:t>
      </w:r>
    </w:p>
    <w:p>
      <w:pPr>
        <w:widowControl/>
        <w:shd w:val="clear" w:color="auto" w:fill="FFFFFF"/>
        <w:wordWrap w:val="0"/>
        <w:spacing w:line="300" w:lineRule="auto"/>
        <w:jc w:val="left"/>
        <w:rPr>
          <w:rFonts w:hint="default" w:ascii="Times New Roman" w:hAnsi="Times New Roman" w:cs="Times New Roman"/>
          <w:kern w:val="0"/>
          <w:sz w:val="24"/>
        </w:rPr>
      </w:pPr>
      <w:r>
        <w:rPr>
          <w:rFonts w:hint="default" w:ascii="Times New Roman" w:hAnsi="Times New Roman" w:cs="Times New Roman"/>
          <w:kern w:val="0"/>
          <w:sz w:val="24"/>
        </w:rPr>
        <w:t>               </w:t>
      </w:r>
    </w:p>
    <w:p>
      <w:pPr>
        <w:widowControl/>
        <w:shd w:val="clear" w:color="auto" w:fill="FFFFFF"/>
        <w:wordWrap w:val="0"/>
        <w:spacing w:line="300" w:lineRule="auto"/>
        <w:jc w:val="left"/>
        <w:rPr>
          <w:rFonts w:hint="default" w:ascii="Times New Roman" w:hAnsi="Times New Roman" w:cs="Times New Roman"/>
          <w:kern w:val="0"/>
          <w:sz w:val="24"/>
        </w:rPr>
      </w:pPr>
      <w:r>
        <w:rPr>
          <w:rFonts w:hint="default" w:ascii="Times New Roman" w:hAnsi="Times New Roman" w:cs="Times New Roman"/>
          <w:kern w:val="0"/>
          <w:sz w:val="24"/>
        </w:rPr>
        <w:t>评审组成员：</w:t>
      </w:r>
    </w:p>
    <w:p>
      <w:pPr>
        <w:widowControl/>
        <w:shd w:val="clear" w:color="auto" w:fill="FFFFFF"/>
        <w:wordWrap w:val="0"/>
        <w:spacing w:line="300" w:lineRule="auto"/>
        <w:jc w:val="left"/>
        <w:rPr>
          <w:rFonts w:hint="default" w:ascii="Times New Roman" w:hAnsi="Times New Roman" w:cs="Times New Roman"/>
          <w:kern w:val="0"/>
          <w:sz w:val="24"/>
        </w:rPr>
      </w:pPr>
    </w:p>
    <w:p>
      <w:pPr>
        <w:widowControl/>
        <w:shd w:val="clear" w:color="auto" w:fill="FFFFFF"/>
        <w:wordWrap w:val="0"/>
        <w:spacing w:line="300" w:lineRule="auto"/>
        <w:jc w:val="left"/>
        <w:rPr>
          <w:rFonts w:hint="default" w:ascii="Times New Roman" w:hAnsi="Times New Roman" w:cs="Times New Roman"/>
          <w:kern w:val="0"/>
          <w:sz w:val="24"/>
        </w:rPr>
      </w:pPr>
      <w:r>
        <w:rPr>
          <w:rFonts w:hint="default" w:ascii="Times New Roman" w:hAnsi="Times New Roman" w:cs="Times New Roman"/>
          <w:kern w:val="0"/>
          <w:sz w:val="24"/>
        </w:rPr>
        <w:t>检测机构法定代表人确认：</w:t>
      </w:r>
    </w:p>
    <w:p>
      <w:pPr>
        <w:widowControl/>
        <w:shd w:val="clear" w:color="auto" w:fill="FFFFFF"/>
        <w:wordWrap w:val="0"/>
        <w:spacing w:line="300" w:lineRule="auto"/>
        <w:jc w:val="left"/>
        <w:rPr>
          <w:rFonts w:hint="default" w:ascii="Times New Roman" w:hAnsi="Times New Roman" w:cs="Times New Roman"/>
          <w:kern w:val="0"/>
          <w:sz w:val="20"/>
          <w:szCs w:val="20"/>
        </w:rPr>
      </w:pPr>
      <w:r>
        <w:rPr>
          <w:rFonts w:hint="default" w:ascii="Times New Roman" w:hAnsi="Times New Roman" w:cs="Times New Roman"/>
          <w:color w:val="000000"/>
          <w:sz w:val="32"/>
          <w:szCs w:val="32"/>
        </w:rPr>
        <w:t xml:space="preserve">                          </w:t>
      </w:r>
      <w:r>
        <w:rPr>
          <w:rFonts w:hint="default" w:ascii="Times New Roman" w:hAnsi="Times New Roman" w:cs="Times New Roman"/>
          <w:kern w:val="0"/>
          <w:sz w:val="24"/>
        </w:rPr>
        <w:t>日期：XXXX年XX月XX日</w:t>
      </w:r>
    </w:p>
    <w:p>
      <w:pPr>
        <w:widowControl/>
        <w:shd w:val="clear" w:color="auto" w:fill="FFFFFF"/>
        <w:wordWrap w:val="0"/>
        <w:spacing w:line="264" w:lineRule="auto"/>
        <w:ind w:left="-567" w:leftChars="-270" w:firstLine="643" w:firstLineChars="201"/>
        <w:jc w:val="left"/>
        <w:rPr>
          <w:rFonts w:hint="default" w:ascii="Times New Roman" w:hAnsi="Times New Roman" w:eastAsia="黑体" w:cs="Times New Roman"/>
          <w:sz w:val="32"/>
          <w:szCs w:val="32"/>
        </w:rPr>
        <w:sectPr>
          <w:headerReference r:id="rId4" w:type="default"/>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264" w:lineRule="auto"/>
        <w:ind w:left="-567" w:leftChars="-270" w:firstLine="643" w:firstLineChars="201"/>
        <w:jc w:val="left"/>
        <w:rPr>
          <w:rFonts w:hint="default" w:ascii="Times New Roman" w:hAnsi="Times New Roman" w:eastAsia="宋体" w:cs="Times New Roman"/>
          <w:kern w:val="0"/>
          <w:sz w:val="20"/>
          <w:szCs w:val="20"/>
        </w:rPr>
      </w:pPr>
      <w:r>
        <w:rPr>
          <w:rFonts w:hint="default" w:ascii="Times New Roman" w:hAnsi="Times New Roman" w:eastAsia="黑体" w:cs="Times New Roman"/>
          <w:sz w:val="32"/>
          <w:szCs w:val="32"/>
        </w:rPr>
        <w:t>附表1</w:t>
      </w:r>
    </w:p>
    <w:p>
      <w:pPr>
        <w:widowControl/>
        <w:numPr>
          <w:ilvl w:val="0"/>
          <w:numId w:val="2"/>
        </w:numPr>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建筑材料及构配件检测项目/参数能力表（必选）</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416"/>
        <w:gridCol w:w="416"/>
        <w:gridCol w:w="980"/>
        <w:gridCol w:w="1268"/>
        <w:gridCol w:w="3088"/>
        <w:gridCol w:w="621"/>
        <w:gridCol w:w="84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5000" w:type="pct"/>
            <w:gridSpan w:val="9"/>
            <w:tcBorders>
              <w:top w:val="nil"/>
              <w:left w:val="nil"/>
              <w:bottom w:val="single" w:color="auto" w:sz="4" w:space="0"/>
              <w:right w:val="nil"/>
              <w:tl2br w:val="nil"/>
              <w:tr2bl w:val="nil"/>
            </w:tcBorders>
            <w:shd w:val="clear" w:color="auto" w:fill="auto"/>
            <w:vAlign w:val="center"/>
          </w:tcPr>
          <w:p>
            <w:pPr>
              <w:widowControl/>
              <w:shd w:val="clear" w:color="auto" w:fill="FFFFFF"/>
              <w:wordWrap w:val="0"/>
              <w:snapToGrid w:val="0"/>
              <w:spacing w:before="120" w:line="300" w:lineRule="atLeast"/>
              <w:ind w:right="-336" w:firstLine="240" w:firstLineChars="100"/>
              <w:jc w:val="left"/>
              <w:rPr>
                <w:rFonts w:hint="default" w:ascii="Times New Roman" w:hAnsi="Times New Roman"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475" w:type="pct"/>
            <w:gridSpan w:val="2"/>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检测项目</w:t>
            </w:r>
          </w:p>
        </w:tc>
        <w:tc>
          <w:tcPr>
            <w:tcW w:w="1219" w:type="pct"/>
            <w:gridSpan w:val="2"/>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检测参数</w:t>
            </w:r>
          </w:p>
        </w:tc>
        <w:tc>
          <w:tcPr>
            <w:tcW w:w="1791"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（方法）</w:t>
            </w:r>
          </w:p>
        </w:tc>
        <w:tc>
          <w:tcPr>
            <w:tcW w:w="888" w:type="pct"/>
            <w:gridSpan w:val="2"/>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确认结果</w:t>
            </w:r>
          </w:p>
        </w:tc>
        <w:tc>
          <w:tcPr>
            <w:tcW w:w="38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237" w:type="pct"/>
            <w:vMerge w:val="continue"/>
            <w:tcBorders>
              <w:top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op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750"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名称</w:t>
            </w:r>
          </w:p>
        </w:tc>
        <w:tc>
          <w:tcPr>
            <w:tcW w:w="1791" w:type="pct"/>
            <w:vMerge w:val="continue"/>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380"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w:t>
            </w:r>
          </w:p>
        </w:tc>
        <w:tc>
          <w:tcPr>
            <w:tcW w:w="507"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不通过</w:t>
            </w:r>
          </w:p>
        </w:tc>
        <w:tc>
          <w:tcPr>
            <w:tcW w:w="387" w:type="pct"/>
            <w:vMerge w:val="continue"/>
            <w:tcBorders>
              <w:top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水泥</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凝结</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时间</w:t>
            </w:r>
          </w:p>
        </w:tc>
        <w:tc>
          <w:tcPr>
            <w:tcW w:w="1791"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lang w:eastAsia="zh-CN"/>
              </w:rPr>
            </w:pPr>
            <w:r>
              <w:rPr>
                <w:rFonts w:hint="eastAsia" w:ascii="Times New Roman" w:hAnsi="Times New Roman" w:cs="Times New Roman"/>
                <w:b/>
                <w:bCs/>
                <w:color w:val="000000"/>
                <w:kern w:val="0"/>
                <w:sz w:val="20"/>
                <w:szCs w:val="20"/>
                <w:lang w:val="en-US" w:eastAsia="zh-CN"/>
              </w:rPr>
              <w:t>示例：</w:t>
            </w:r>
            <w:r>
              <w:rPr>
                <w:rFonts w:hint="default" w:ascii="Times New Roman" w:hAnsi="Times New Roman" w:cs="Times New Roman"/>
                <w:color w:val="000000"/>
                <w:kern w:val="0"/>
                <w:sz w:val="20"/>
                <w:szCs w:val="20"/>
              </w:rPr>
              <w:t>《水泥标准稠度用水量、凝结时间、安定性检验方法》GB/T 1346-2011</w:t>
            </w: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安定性</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胶砂</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氯离子含量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eastAsia" w:ascii="Times New Roman" w:hAnsi="Times New Roman" w:cs="Times New Roman"/>
                <w:b/>
                <w:bCs/>
                <w:color w:val="000000"/>
                <w:kern w:val="0"/>
                <w:sz w:val="20"/>
                <w:szCs w:val="20"/>
                <w:lang w:val="en-US" w:eastAsia="zh-CN"/>
              </w:rPr>
              <w:t>示例：</w:t>
            </w:r>
            <w:r>
              <w:rPr>
                <w:rFonts w:hint="default" w:ascii="Times New Roman" w:hAnsi="Times New Roman" w:cs="Times New Roman"/>
                <w:color w:val="000000"/>
                <w:kern w:val="0"/>
                <w:sz w:val="20"/>
                <w:szCs w:val="20"/>
              </w:rPr>
              <w:t>《水泥化学分析方法》GB/T 176-2017</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lang w:val="en-US" w:eastAsia="zh-CN"/>
              </w:rPr>
              <w:t>6.13</w:t>
            </w:r>
            <w:r>
              <w:rPr>
                <w:rFonts w:hint="default" w:ascii="Times New Roman" w:hAnsi="Times New Roman" w:cs="Times New Roman"/>
                <w:color w:val="000000"/>
                <w:kern w:val="0"/>
                <w:sz w:val="20"/>
                <w:szCs w:val="20"/>
                <w:lang w:eastAsia="zh-CN"/>
              </w:rPr>
              <w:t>）</w:t>
            </w: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钢筋（含焊接与机械连接）</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屈服</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抗拉</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断后伸长率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钢筋（含焊接与机械连接）</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最大力下总延伸率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反向</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弯曲</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重量</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偏差</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2.7</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残余</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变形</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细</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骨</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料</w:t>
            </w: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颗粒</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级配</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含泥量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泥块</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亚甲蓝值与石粉含量（人工砂）</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475" w:type="pct"/>
            <w:gridSpan w:val="2"/>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细</w:t>
            </w:r>
          </w:p>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骨</w:t>
            </w:r>
          </w:p>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料</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压碎指标（人工砂）</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3.1.6</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氯离子含量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粗</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骨</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料</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颗粒</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级配</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含泥量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泥块</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压碎值指标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针片状颗粒含量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砖、砌块、瓦、墙板</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抗压</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抗折</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混凝土及拌合用水</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抗压</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抗渗</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等级</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坍落度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氯离子含量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kern w:val="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拌合用水（氯离子含量）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混凝土外加剂</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减水率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pH值</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密度（或细度）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抗压强度比</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凝结时间（差）</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6.6</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含气量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6.7</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固体含量（或含水率）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6.8</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限制膨胀率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kern w:val="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6.9</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泌水率比</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6.10 </w:t>
            </w:r>
          </w:p>
        </w:tc>
        <w:tc>
          <w:tcPr>
            <w:tcW w:w="750"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氯离子含量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vMerge w:val="continue"/>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p>
        </w:tc>
        <w:tc>
          <w:tcPr>
            <w:tcW w:w="750" w:type="pct"/>
            <w:vMerge w:val="continue"/>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混凝土掺合料</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细度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烧失量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需水</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量比</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比表</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面积</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活性</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指数</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7.6</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流动</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度比</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7.7</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氯离子含量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砂浆</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抗压</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稠度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保水率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拉伸粘结强度（抹灰、砌筑）</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土</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最大干密度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最优含水率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压实</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系数</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防水</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材料</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及防</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水密</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封材</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料</w:t>
            </w:r>
          </w:p>
        </w:tc>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防水卷材</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可溶物含量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拉力</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延伸率（或最大力时延伸率）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低温</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柔度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热老化后低温柔度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10.1.6</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不透</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水性</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10.1.7</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耐热度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10.1.8</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断裂拉伸强度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10.1.9</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断裂伸长率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10.1.10</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撕裂</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防水涂料</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固体</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含量</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拉伸</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10.2.3</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耐热性</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10.2.4</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低温</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柔性</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10.2.5</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不透</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水性</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10.2.6</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断裂伸长率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475"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瓷砖及石材</w:t>
            </w: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吸水率</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3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75"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6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11.2</w:t>
            </w:r>
          </w:p>
        </w:tc>
        <w:tc>
          <w:tcPr>
            <w:tcW w:w="750"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弯曲</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1791"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8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87"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bl>
    <w:p>
      <w:pPr>
        <w:widowControl/>
        <w:shd w:val="clear" w:color="auto" w:fill="FFFFFF"/>
        <w:wordWrap w:val="0"/>
        <w:spacing w:line="440" w:lineRule="atLeast"/>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一、建筑材料及构配件检测项目/参数能力表（可选）</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80"/>
        <w:gridCol w:w="668"/>
        <w:gridCol w:w="587"/>
        <w:gridCol w:w="980"/>
        <w:gridCol w:w="989"/>
        <w:gridCol w:w="3270"/>
        <w:gridCol w:w="584"/>
        <w:gridCol w:w="750"/>
        <w:gridCol w:w="4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blHeader/>
          <w:jc w:val="center"/>
        </w:trPr>
        <w:tc>
          <w:tcPr>
            <w:tcW w:w="5000" w:type="pct"/>
            <w:gridSpan w:val="9"/>
            <w:tcBorders>
              <w:top w:val="nil"/>
              <w:left w:val="nil"/>
              <w:bottom w:val="single" w:color="auto" w:sz="4" w:space="0"/>
              <w:right w:val="nil"/>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28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序号</w:t>
            </w:r>
          </w:p>
        </w:tc>
        <w:tc>
          <w:tcPr>
            <w:tcW w:w="738" w:type="pct"/>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检测项目</w:t>
            </w:r>
          </w:p>
        </w:tc>
        <w:tc>
          <w:tcPr>
            <w:tcW w:w="1055"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检测参数</w:t>
            </w:r>
          </w:p>
        </w:tc>
        <w:tc>
          <w:tcPr>
            <w:tcW w:w="188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检测标准</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（方法）</w:t>
            </w:r>
          </w:p>
        </w:tc>
        <w:tc>
          <w:tcPr>
            <w:tcW w:w="783"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确认结果</w:t>
            </w:r>
          </w:p>
        </w:tc>
        <w:tc>
          <w:tcPr>
            <w:tcW w:w="25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 w:hRule="atLeast"/>
          <w:tblHeader/>
          <w:jc w:val="center"/>
        </w:trPr>
        <w:tc>
          <w:tcPr>
            <w:tcW w:w="28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序号</w:t>
            </w:r>
          </w:p>
        </w:tc>
        <w:tc>
          <w:tcPr>
            <w:tcW w:w="57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名称</w:t>
            </w:r>
          </w:p>
        </w:tc>
        <w:tc>
          <w:tcPr>
            <w:tcW w:w="188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34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通过</w:t>
            </w: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不通过</w:t>
            </w:r>
          </w:p>
        </w:tc>
        <w:tc>
          <w:tcPr>
            <w:tcW w:w="257"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738" w:type="pct"/>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水泥*</w:t>
            </w:r>
          </w:p>
        </w:tc>
        <w:tc>
          <w:tcPr>
            <w:tcW w:w="47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w:t>
            </w:r>
          </w:p>
        </w:tc>
        <w:tc>
          <w:tcPr>
            <w:tcW w:w="57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保水率*</w:t>
            </w:r>
          </w:p>
        </w:tc>
        <w:tc>
          <w:tcPr>
            <w:tcW w:w="18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w:t>
            </w:r>
          </w:p>
        </w:tc>
        <w:tc>
          <w:tcPr>
            <w:tcW w:w="575"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氧化镁含量*</w:t>
            </w:r>
          </w:p>
        </w:tc>
        <w:tc>
          <w:tcPr>
            <w:tcW w:w="1880"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lang w:eastAsia="zh-CN"/>
              </w:rPr>
            </w:pPr>
          </w:p>
        </w:tc>
        <w:tc>
          <w:tcPr>
            <w:tcW w:w="344"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碱含量*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三氧化硫含量*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738"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钢筋（含焊接与机械连接）*</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弯曲性能*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w:t>
            </w:r>
          </w:p>
        </w:tc>
        <w:tc>
          <w:tcPr>
            <w:tcW w:w="392"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骨料、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集料*</w:t>
            </w: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骨</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表观密度*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吸水率*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坚固性*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碱活性*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硫化物和硫酸盐含量*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轻物质含量*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w:t>
            </w:r>
          </w:p>
        </w:tc>
        <w:tc>
          <w:tcPr>
            <w:tcW w:w="392"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骨料、</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集料*</w:t>
            </w:r>
          </w:p>
        </w:tc>
        <w:tc>
          <w:tcPr>
            <w:tcW w:w="345" w:type="pct"/>
            <w:vMerge w:val="restart"/>
            <w:tcBorders>
              <w:top w:val="single" w:color="auto" w:sz="4" w:space="0"/>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骨</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3.1.7</w:t>
            </w:r>
          </w:p>
        </w:tc>
        <w:tc>
          <w:tcPr>
            <w:tcW w:w="575"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有机物含量*</w:t>
            </w:r>
          </w:p>
        </w:tc>
        <w:tc>
          <w:tcPr>
            <w:tcW w:w="1880"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3.1.8</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贝壳含量*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粗</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骨</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坚固性*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FF0000"/>
                <w:sz w:val="20"/>
                <w:szCs w:val="20"/>
              </w:rPr>
            </w:pPr>
          </w:p>
        </w:tc>
        <w:tc>
          <w:tcPr>
            <w:tcW w:w="344"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碱活性*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表观密度*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堆积密度*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空隙率*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轻</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集</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筒压强度*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堆积密度*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吸水率*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粒型系数*</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筛分析*</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1"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738" w:type="pct"/>
            <w:gridSpan w:val="2"/>
            <w:vMerge w:val="restart"/>
            <w:tcBorders>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砖、砌块、</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瓦、墙板*</w:t>
            </w:r>
          </w:p>
        </w:tc>
        <w:tc>
          <w:tcPr>
            <w:tcW w:w="479" w:type="pct"/>
            <w:tcBorders>
              <w:bottom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4.1</w:t>
            </w:r>
          </w:p>
        </w:tc>
        <w:tc>
          <w:tcPr>
            <w:tcW w:w="575" w:type="pct"/>
            <w:tcBorders>
              <w:bottom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干密度*</w:t>
            </w:r>
          </w:p>
        </w:tc>
        <w:tc>
          <w:tcPr>
            <w:tcW w:w="1880" w:type="pct"/>
            <w:tcBorders>
              <w:bottom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吸水率*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抗渗性能*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抗弯曲性能（或承载力）*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耐急冷急热性*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抗冲击性能*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4.7</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抗弯破坏荷载*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4.8</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吊挂力*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抗冻性能*  </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4.10</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738"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混凝土及</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拌合用水*</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限制膨胀率*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抗冻性能*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表观密度*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含气量*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凝结时间*</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抗折强度*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5.7</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劈裂抗拉强度*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5.8</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静力受压弹性模量*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抑制碱-骨料反应有效性*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5.10</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碱含量*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5.11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配合比设计*</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5.12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拌合用水（pH值、硫酸根离子含量、不溶物含量、可溶物含量）*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5.13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w:t>
            </w:r>
          </w:p>
        </w:tc>
        <w:tc>
          <w:tcPr>
            <w:tcW w:w="738"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混凝土外加剂*</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相对耐久性指标*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含气量1h经时变化量（坍落度、含气量）*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硫酸钠含量*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收缩率比*</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碱含量*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w:t>
            </w:r>
          </w:p>
        </w:tc>
        <w:tc>
          <w:tcPr>
            <w:tcW w:w="738"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混凝土掺合料*</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含水率*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三氧化硫含量*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放射性*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738"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砂浆*</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分层度*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配合比设计*</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凝结时间*</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8.4</w:t>
            </w:r>
          </w:p>
        </w:tc>
        <w:tc>
          <w:tcPr>
            <w:tcW w:w="57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抗渗性能*</w:t>
            </w:r>
          </w:p>
        </w:tc>
        <w:tc>
          <w:tcPr>
            <w:tcW w:w="1880"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7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1880"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44"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w:t>
            </w:r>
          </w:p>
        </w:tc>
        <w:tc>
          <w:tcPr>
            <w:tcW w:w="738" w:type="pct"/>
            <w:gridSpan w:val="2"/>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土*</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392"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封材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卷</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10.1.1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接缝剥离强度*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10.1.2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搭接缝不透水性*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FF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10.1.3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涂</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涂膜抗渗性*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浸水168h后拉伸强度*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浸水168h后断裂伸长率*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耐水性*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抗压强度*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抗折强度*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10.2.7</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粘结强度*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10.2.8</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抗渗性*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392"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封材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密封</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及其</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它防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耐热性*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低温柔性*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拉伸粘结性*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施工度*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表干时间*</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挤出性*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10.3.7</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弹性恢复率*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10.3.8</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浸水后定伸粘结性*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流动性*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10.3.10</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单位面积质量*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膨润土膨胀指数*</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渗透系数*</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392"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封材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密封</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及其</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它防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滤失量*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撕裂强度*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硬度*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10.3.17</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7d膨胀率</w:t>
            </w:r>
            <w:r>
              <w:rPr>
                <w:rFonts w:hint="default" w:ascii="Times New Roman" w:hAnsi="Times New Roman" w:eastAsia="宋体" w:cs="Times New Roman"/>
                <w:color w:val="000000" w:themeColor="text1"/>
                <w:kern w:val="0"/>
                <w:sz w:val="20"/>
                <w:szCs w:val="20"/>
                <w:lang w:bidi="ar"/>
                <w14:textFill>
                  <w14:solidFill>
                    <w14:schemeClr w14:val="tx1"/>
                  </w14:solidFill>
                </w14:textFill>
              </w:rPr>
              <w:t>(体积膨胀倍率)</w:t>
            </w:r>
            <w:r>
              <w:rPr>
                <w:rFonts w:hint="default" w:ascii="Times New Roman" w:hAnsi="Times New Roman" w:eastAsia="宋体" w:cs="Times New Roman"/>
                <w:color w:val="000000"/>
                <w:kern w:val="0"/>
                <w:sz w:val="20"/>
                <w:szCs w:val="20"/>
                <w:lang w:bidi="ar"/>
              </w:rPr>
              <w:t>*</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FF0000"/>
                <w:sz w:val="20"/>
                <w:szCs w:val="20"/>
              </w:rPr>
            </w:pPr>
          </w:p>
        </w:tc>
        <w:tc>
          <w:tcPr>
            <w:tcW w:w="439"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c>
          <w:tcPr>
            <w:tcW w:w="257"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10.3.18</w:t>
            </w:r>
          </w:p>
        </w:tc>
        <w:tc>
          <w:tcPr>
            <w:tcW w:w="575" w:type="pct"/>
            <w:tcBorders>
              <w:tl2br w:val="nil"/>
              <w:tr2bl w:val="nil"/>
            </w:tcBorders>
            <w:shd w:val="clear" w:color="auto" w:fill="auto"/>
            <w:vAlign w:val="center"/>
          </w:tcPr>
          <w:p>
            <w:pPr>
              <w:widowControl/>
              <w:jc w:val="left"/>
              <w:textAlignment w:val="top"/>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最终膨胀率</w:t>
            </w:r>
            <w:r>
              <w:rPr>
                <w:rFonts w:hint="default" w:ascii="Times New Roman" w:hAnsi="Times New Roman" w:eastAsia="宋体" w:cs="Times New Roman"/>
                <w:color w:val="000000" w:themeColor="text1"/>
                <w:kern w:val="0"/>
                <w:sz w:val="20"/>
                <w:szCs w:val="20"/>
                <w:lang w:bidi="ar"/>
                <w14:textFill>
                  <w14:solidFill>
                    <w14:schemeClr w14:val="tx1"/>
                  </w14:solidFill>
                </w14:textFill>
              </w:rPr>
              <w:t>(长期浸水后体积膨胀倍率)</w:t>
            </w:r>
            <w:r>
              <w:rPr>
                <w:rFonts w:hint="default" w:ascii="Times New Roman" w:hAnsi="Times New Roman" w:eastAsia="宋体" w:cs="Times New Roman"/>
                <w:color w:val="000000"/>
                <w:kern w:val="0"/>
                <w:sz w:val="20"/>
                <w:szCs w:val="20"/>
                <w:lang w:bidi="ar"/>
              </w:rPr>
              <w:t>*</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FF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FF0000"/>
                <w:sz w:val="20"/>
                <w:szCs w:val="20"/>
              </w:rPr>
            </w:pPr>
          </w:p>
        </w:tc>
        <w:tc>
          <w:tcPr>
            <w:tcW w:w="257"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10.3.19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耐水性*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10.3.20</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体积膨胀倍率*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压缩永久变形*</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392"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封材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防水</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密封</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及其</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它防</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水材</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低温弯折*</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剥离强度*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浸水168h后的剥离强度保持率*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kern w:val="0"/>
                <w:sz w:val="20"/>
                <w:szCs w:val="20"/>
                <w:lang w:bidi="ar"/>
                <w14:textFill>
                  <w14:solidFill>
                    <w14:schemeClr w14:val="tx1"/>
                  </w14:solidFill>
                </w14:textFill>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拉力(拉伸性能)*</w:t>
            </w:r>
          </w:p>
          <w:p>
            <w:pPr>
              <w:widowControl/>
              <w:textAlignment w:val="center"/>
              <w:rPr>
                <w:rFonts w:hint="default" w:ascii="Times New Roman" w:hAnsi="Times New Roman" w:eastAsia="宋体" w:cs="Times New Roman"/>
                <w:color w:val="000000" w:themeColor="text1"/>
                <w:kern w:val="0"/>
                <w:sz w:val="20"/>
                <w:szCs w:val="20"/>
                <w:lang w:bidi="ar"/>
                <w14:textFill>
                  <w14:solidFill>
                    <w14:schemeClr w14:val="tx1"/>
                  </w14:solidFill>
                </w14:textFill>
              </w:rPr>
            </w:pP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10.3.26</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延伸率(断裂伸长率)*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10.3.27</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固体含量*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10.3.28</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7d粘结强度*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10.3.29</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7d抗渗性</w:t>
            </w:r>
            <w:r>
              <w:rPr>
                <w:rFonts w:hint="default" w:ascii="Times New Roman" w:hAnsi="Times New Roman" w:eastAsia="宋体" w:cs="Times New Roman"/>
                <w:color w:val="000000" w:themeColor="text1"/>
                <w:kern w:val="0"/>
                <w:sz w:val="20"/>
                <w:szCs w:val="20"/>
                <w:lang w:bidi="ar"/>
                <w14:textFill>
                  <w14:solidFill>
                    <w14:schemeClr w14:val="tx1"/>
                  </w14:solidFill>
                </w14:textFill>
              </w:rPr>
              <w:t>(抗渗压力)</w:t>
            </w:r>
            <w:r>
              <w:rPr>
                <w:rFonts w:hint="default" w:ascii="Times New Roman" w:hAnsi="Times New Roman" w:eastAsia="宋体" w:cs="Times New Roman"/>
                <w:color w:val="000000"/>
                <w:kern w:val="0"/>
                <w:sz w:val="20"/>
                <w:szCs w:val="20"/>
                <w:lang w:bidi="ar"/>
              </w:rPr>
              <w:t>*</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c>
          <w:tcPr>
            <w:tcW w:w="257" w:type="pct"/>
            <w:tcBorders>
              <w:tl2br w:val="nil"/>
              <w:tr2bl w:val="nil"/>
            </w:tcBorders>
            <w:shd w:val="clear" w:color="auto" w:fill="auto"/>
          </w:tcPr>
          <w:p>
            <w:pPr>
              <w:widowControl/>
              <w:jc w:val="left"/>
              <w:textAlignment w:val="top"/>
              <w:rPr>
                <w:rFonts w:hint="default" w:ascii="Times New Roman" w:hAnsi="Times New Roman" w:eastAsia="宋体" w:cs="Times New Roman"/>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10.3.30</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拉伸模量*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10.3.31</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定伸粘结性*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10.3.32</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断裂伸长率*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10.3.33</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剪切性能*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10.3.34</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剥离性能*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10.3.35</w:t>
            </w:r>
          </w:p>
        </w:tc>
        <w:tc>
          <w:tcPr>
            <w:tcW w:w="575"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restart"/>
            <w:tcBorders>
              <w:bottom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w:t>
            </w:r>
          </w:p>
        </w:tc>
        <w:tc>
          <w:tcPr>
            <w:tcW w:w="738" w:type="pct"/>
            <w:gridSpan w:val="2"/>
            <w:vMerge w:val="restart"/>
            <w:tcBorders>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瓷砖及石材</w:t>
            </w:r>
          </w:p>
        </w:tc>
        <w:tc>
          <w:tcPr>
            <w:tcW w:w="479" w:type="pct"/>
            <w:tcBorders>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11.1</w:t>
            </w:r>
          </w:p>
        </w:tc>
        <w:tc>
          <w:tcPr>
            <w:tcW w:w="575" w:type="pct"/>
            <w:tcBorders>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抗冻性（耐冻融性）*</w:t>
            </w:r>
          </w:p>
        </w:tc>
        <w:tc>
          <w:tcPr>
            <w:tcW w:w="1880" w:type="pct"/>
            <w:tcBorders>
              <w:bottom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放射性*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8"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11.3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kern w:val="0"/>
                <w:sz w:val="20"/>
                <w:szCs w:val="20"/>
                <w:lang w:bidi="ar"/>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9"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w:t>
            </w:r>
          </w:p>
        </w:tc>
        <w:tc>
          <w:tcPr>
            <w:tcW w:w="392"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静液压强度*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落锤冲击试验*</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w:t>
            </w:r>
          </w:p>
        </w:tc>
        <w:tc>
          <w:tcPr>
            <w:tcW w:w="392"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12.1.3</w:t>
            </w:r>
          </w:p>
        </w:tc>
        <w:tc>
          <w:tcPr>
            <w:tcW w:w="575"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外观质量*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9"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12.1.4</w:t>
            </w:r>
          </w:p>
        </w:tc>
        <w:tc>
          <w:tcPr>
            <w:tcW w:w="575" w:type="pc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截面尺寸*</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12.1.5</w:t>
            </w:r>
          </w:p>
        </w:tc>
        <w:tc>
          <w:tcPr>
            <w:tcW w:w="575"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纵向回缩率*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交联度*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熔融温度*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简支梁冲击*</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12.1.9</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炭黑分散度*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12.1.10</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炭黑含量*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w:t>
            </w:r>
          </w:p>
        </w:tc>
        <w:tc>
          <w:tcPr>
            <w:tcW w:w="392"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拉伸屈服应力*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密度*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爆破压力*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12.1.14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管环剥离力（管环最小平均剥离力）*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熔体质量流动速率*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氧化诱导时间*</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维卡软化温度*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8"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热变形温度(负荷变形温度)*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widowControl/>
              <w:jc w:val="left"/>
              <w:textAlignment w:val="top"/>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12.1.19</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拉伸断裂伸长率*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12.1.20</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拉伸弹性模量*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restart"/>
            <w:tcBorders>
              <w:top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w:t>
            </w:r>
          </w:p>
        </w:tc>
        <w:tc>
          <w:tcPr>
            <w:tcW w:w="392"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灰分*</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烘箱试验*</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坠落试验*</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12.1.25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45"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屈服强度*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抗拉强度*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厚度偏差*</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restart"/>
            <w:tcBorders>
              <w:top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w:t>
            </w:r>
          </w:p>
        </w:tc>
        <w:tc>
          <w:tcPr>
            <w:tcW w:w="392"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及</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345" w:type="pct"/>
            <w:vMerge w:val="restart"/>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截面尺寸*</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9"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w:t>
            </w:r>
          </w:p>
        </w:tc>
        <w:tc>
          <w:tcPr>
            <w:tcW w:w="738" w:type="pct"/>
            <w:gridSpan w:val="2"/>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预制混凝土*</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承载力*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挠度*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裂缝宽度*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抗裂检验*</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外观质量*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构件尺寸*</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保护层厚度*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4"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w:t>
            </w:r>
          </w:p>
        </w:tc>
        <w:tc>
          <w:tcPr>
            <w:tcW w:w="738"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预应力钢绞线*</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整根钢绞线最大力*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最大力总伸长率*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抗拉强度*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0.2%屈服力*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弹性模量*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松弛率*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w:t>
            </w:r>
          </w:p>
        </w:tc>
        <w:tc>
          <w:tcPr>
            <w:tcW w:w="738"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预应力混凝</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土用锚具夹</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具及连接器*</w:t>
            </w:r>
          </w:p>
        </w:tc>
        <w:tc>
          <w:tcPr>
            <w:tcW w:w="479"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15.1</w:t>
            </w:r>
          </w:p>
        </w:tc>
        <w:tc>
          <w:tcPr>
            <w:tcW w:w="57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外观质量*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7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尺寸*</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15.3</w:t>
            </w:r>
          </w:p>
        </w:tc>
        <w:tc>
          <w:tcPr>
            <w:tcW w:w="57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静载锚固性能*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7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疲劳荷载性能*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硬度 *</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w:t>
            </w:r>
          </w:p>
        </w:tc>
        <w:tc>
          <w:tcPr>
            <w:tcW w:w="392" w:type="pct"/>
            <w:vMerge w:val="restart"/>
            <w:tcBorders>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预应</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力混</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凝用</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波纹</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管*</w:t>
            </w:r>
          </w:p>
        </w:tc>
        <w:tc>
          <w:tcPr>
            <w:tcW w:w="345" w:type="pct"/>
            <w:vMerge w:val="restart"/>
            <w:tcBorders>
              <w:lef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属</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波</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纹</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16.1.1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外观质量*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尺寸*</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局部横向荷载*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16.1.4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弯曲后抗渗漏性能*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16.1.5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w:t>
            </w:r>
          </w:p>
        </w:tc>
        <w:tc>
          <w:tcPr>
            <w:tcW w:w="392" w:type="pct"/>
            <w:vMerge w:val="restart"/>
            <w:tcBorders>
              <w:top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预应</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力混</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凝用</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波纹</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管*</w:t>
            </w:r>
          </w:p>
        </w:tc>
        <w:tc>
          <w:tcPr>
            <w:tcW w:w="34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塑</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料</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波</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纹</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管</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环刚度*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局部横向载荷*</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纵向载荷*</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柔韧性*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抗冲击性能*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拉伸性能*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拉拔力*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密封性*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16.2.9</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w:t>
            </w:r>
          </w:p>
        </w:tc>
        <w:tc>
          <w:tcPr>
            <w:tcW w:w="738"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材料中有害</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物质*</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放射性*</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游离甲醛*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VOC*</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苯*</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甲苯*</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w:t>
            </w:r>
          </w:p>
        </w:tc>
        <w:tc>
          <w:tcPr>
            <w:tcW w:w="738" w:type="pct"/>
            <w:gridSpan w:val="2"/>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材料中有害</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物质*</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二甲苯*</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乙苯*</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游离甲苯二异氰酸酯（TDI）*</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17.9</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氨*</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17.10 </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w:t>
            </w:r>
          </w:p>
        </w:tc>
        <w:tc>
          <w:tcPr>
            <w:tcW w:w="392" w:type="pct"/>
            <w:vMerge w:val="restart"/>
            <w:tcBorders>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建筑</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消能</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减震</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装置*</w:t>
            </w:r>
          </w:p>
        </w:tc>
        <w:tc>
          <w:tcPr>
            <w:tcW w:w="345" w:type="pct"/>
            <w:vMerge w:val="restart"/>
            <w:tcBorders>
              <w:lef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位移</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相关</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型阻</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尼器</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18.1.1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屈服承载力*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弹性刚度*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设计承载力*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延性系数*</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滞回曲线面积*</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极限位移*</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极限承载力*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速度</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相关</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型阻</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尼器</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18.2.1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最大阻尼力*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18.2.2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阻尼力与速度相关规律*</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18.2.3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滞回曲线*</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18.2.4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极限位移*</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18.2.5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w:t>
            </w:r>
          </w:p>
        </w:tc>
        <w:tc>
          <w:tcPr>
            <w:tcW w:w="392" w:type="pct"/>
            <w:vMerge w:val="restart"/>
            <w:tcBorders>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建筑</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隔震</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装置*</w:t>
            </w:r>
          </w:p>
        </w:tc>
        <w:tc>
          <w:tcPr>
            <w:tcW w:w="34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叠层</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橡胶</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隔震</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支座</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19.1.1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竖向压缩刚度*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竖向变形性能*</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竖向极限压应力*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w:t>
            </w:r>
          </w:p>
        </w:tc>
        <w:tc>
          <w:tcPr>
            <w:tcW w:w="392" w:type="pct"/>
            <w:vMerge w:val="restart"/>
            <w:tcBorders>
              <w:top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建筑</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隔震</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装置*</w:t>
            </w:r>
          </w:p>
        </w:tc>
        <w:tc>
          <w:tcPr>
            <w:tcW w:w="345"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叠层</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橡胶</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隔震</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支座</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当水平位移为支座内部橡胶直径0.55倍状态时的极限压应力*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竖向极限拉应力*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竖向拉伸刚度*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侧向不均匀变形*</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水平等效刚度*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19.1.9</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屈服后水平刚度*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19.1.10</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等效阻尼比*</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屈服力*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水平极限变形能力*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建筑</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摩擦</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摆隔</w:t>
            </w:r>
          </w:p>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震支</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座*</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竖向压缩变形*</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竖向承载力*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静摩擦系数*</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动摩擦系数*</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屈服后刚度*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极限剪切变形*</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92" w:type="pct"/>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5"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w:t>
            </w:r>
          </w:p>
        </w:tc>
        <w:tc>
          <w:tcPr>
            <w:tcW w:w="738" w:type="pct"/>
            <w:gridSpan w:val="2"/>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铝塑复合板*</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剥离强度*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p>
        </w:tc>
        <w:tc>
          <w:tcPr>
            <w:tcW w:w="575"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kern w:val="0"/>
                <w:sz w:val="20"/>
                <w:szCs w:val="20"/>
                <w:lang w:bidi="ar"/>
              </w:rPr>
            </w:pPr>
          </w:p>
        </w:tc>
        <w:tc>
          <w:tcPr>
            <w:tcW w:w="344"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w:t>
            </w:r>
          </w:p>
        </w:tc>
        <w:tc>
          <w:tcPr>
            <w:tcW w:w="738"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木材料及构</w:t>
            </w:r>
          </w:p>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配件*</w:t>
            </w:r>
          </w:p>
        </w:tc>
        <w:tc>
          <w:tcPr>
            <w:tcW w:w="479"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21.1</w:t>
            </w:r>
          </w:p>
        </w:tc>
        <w:tc>
          <w:tcPr>
            <w:tcW w:w="57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含水率*</w:t>
            </w:r>
          </w:p>
        </w:tc>
        <w:tc>
          <w:tcPr>
            <w:tcW w:w="1880"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7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1880"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4"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弹性模量*</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静曲强度*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钉抗弯强度（握螺钉力）*</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widowControl/>
              <w:jc w:val="left"/>
              <w:textAlignment w:val="top"/>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w:t>
            </w:r>
          </w:p>
        </w:tc>
        <w:tc>
          <w:tcPr>
            <w:tcW w:w="738"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加固材料*</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抗拉强度*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22.2</w:t>
            </w:r>
          </w:p>
        </w:tc>
        <w:tc>
          <w:tcPr>
            <w:tcW w:w="57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抗剪强度*</w:t>
            </w:r>
          </w:p>
        </w:tc>
        <w:tc>
          <w:tcPr>
            <w:tcW w:w="1880"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7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1880"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4"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22.3</w:t>
            </w:r>
          </w:p>
        </w:tc>
        <w:tc>
          <w:tcPr>
            <w:tcW w:w="575"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正拉粘结强度*</w:t>
            </w:r>
          </w:p>
        </w:tc>
        <w:tc>
          <w:tcPr>
            <w:tcW w:w="1880"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restar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75"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1880"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44"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vMerge w:val="continue"/>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抗拉强度标准值（纤维复合材）*</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弹性模量（纤维复合材）*</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22.6</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极限伸长率（纤维复合材）*</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22.7</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不挥发物含量(结构胶粘剂)*</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w:t>
            </w:r>
          </w:p>
        </w:tc>
        <w:tc>
          <w:tcPr>
            <w:tcW w:w="738" w:type="pct"/>
            <w:gridSpan w:val="2"/>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加固材料*</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22.8</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耐湿热老化性能(结构胶粘剂)*</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bottom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22.9</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单位面积质量（纤维织物）*</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22.10</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纤维体积含量（预成型板）*</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22.11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K数（碳纤维织物）*</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22.12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23</w:t>
            </w:r>
          </w:p>
        </w:tc>
        <w:tc>
          <w:tcPr>
            <w:tcW w:w="738" w:type="pct"/>
            <w:gridSpan w:val="2"/>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焊接材料*</w:t>
            </w: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23.1</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抗拉强度*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23.2</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屈服强度*</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23.3</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断后伸长率*</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23.4</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化学成分*</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738" w:type="pct"/>
            <w:gridSpan w:val="2"/>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7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23.5</w:t>
            </w:r>
          </w:p>
        </w:tc>
        <w:tc>
          <w:tcPr>
            <w:tcW w:w="575"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bidi="ar"/>
                <w14:textFill>
                  <w14:solidFill>
                    <w14:schemeClr w14:val="tx1"/>
                  </w14:solidFill>
                </w14:textFill>
              </w:rPr>
              <w:t>其它*</w:t>
            </w:r>
          </w:p>
        </w:tc>
        <w:tc>
          <w:tcPr>
            <w:tcW w:w="188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FF0000"/>
                <w:sz w:val="20"/>
                <w:szCs w:val="20"/>
              </w:rPr>
            </w:pPr>
          </w:p>
        </w:tc>
        <w:tc>
          <w:tcPr>
            <w:tcW w:w="344" w:type="pct"/>
            <w:tcBorders>
              <w:tl2br w:val="nil"/>
              <w:tr2bl w:val="nil"/>
            </w:tcBorders>
            <w:shd w:val="clear" w:color="auto" w:fill="auto"/>
          </w:tcPr>
          <w:p>
            <w:pPr>
              <w:jc w:val="left"/>
              <w:rPr>
                <w:rFonts w:hint="default" w:ascii="Times New Roman" w:hAnsi="Times New Roman" w:eastAsia="宋体" w:cs="Times New Roman"/>
                <w:color w:val="FF0000"/>
                <w:sz w:val="20"/>
                <w:szCs w:val="20"/>
              </w:rPr>
            </w:pPr>
          </w:p>
        </w:tc>
        <w:tc>
          <w:tcPr>
            <w:tcW w:w="439" w:type="pct"/>
            <w:tcBorders>
              <w:tl2br w:val="nil"/>
              <w:tr2bl w:val="nil"/>
            </w:tcBorders>
            <w:shd w:val="clear" w:color="auto" w:fill="auto"/>
          </w:tcPr>
          <w:p>
            <w:pPr>
              <w:jc w:val="left"/>
              <w:rPr>
                <w:rFonts w:hint="default" w:ascii="Times New Roman" w:hAnsi="Times New Roman" w:eastAsia="宋体" w:cs="Times New Roman"/>
                <w:color w:val="FF0000"/>
                <w:sz w:val="20"/>
                <w:szCs w:val="20"/>
              </w:rPr>
            </w:pPr>
          </w:p>
        </w:tc>
        <w:tc>
          <w:tcPr>
            <w:tcW w:w="257" w:type="pct"/>
            <w:tcBorders>
              <w:tl2br w:val="nil"/>
              <w:tr2bl w:val="nil"/>
            </w:tcBorders>
            <w:shd w:val="clear" w:color="auto" w:fill="auto"/>
          </w:tcPr>
          <w:p>
            <w:pPr>
              <w:jc w:val="left"/>
              <w:rPr>
                <w:rFonts w:hint="default" w:ascii="Times New Roman" w:hAnsi="Times New Roman" w:eastAsia="宋体" w:cs="Times New Roman"/>
                <w:color w:val="FF0000"/>
                <w:sz w:val="20"/>
                <w:szCs w:val="20"/>
              </w:rPr>
            </w:pPr>
          </w:p>
        </w:tc>
      </w:tr>
    </w:tbl>
    <w:p>
      <w:pPr>
        <w:pStyle w:val="8"/>
        <w:rPr>
          <w:rFonts w:hint="default" w:ascii="Times New Roman" w:hAnsi="Times New Roman" w:cs="Times New Roman"/>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二、主体结构及装饰装修检测项目/参数能力表（必选）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62"/>
        <w:gridCol w:w="558"/>
        <w:gridCol w:w="796"/>
        <w:gridCol w:w="923"/>
        <w:gridCol w:w="3249"/>
        <w:gridCol w:w="504"/>
        <w:gridCol w:w="684"/>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5000" w:type="pct"/>
            <w:gridSpan w:val="9"/>
            <w:tcBorders>
              <w:top w:val="nil"/>
              <w:left w:val="nil"/>
              <w:bottom w:val="single" w:color="auto" w:sz="4" w:space="0"/>
              <w:right w:val="nil"/>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268"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607" w:type="pct"/>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检测项目</w:t>
            </w:r>
          </w:p>
        </w:tc>
        <w:tc>
          <w:tcPr>
            <w:tcW w:w="1302" w:type="pct"/>
            <w:gridSpan w:val="3"/>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检测参数</w:t>
            </w:r>
          </w:p>
        </w:tc>
        <w:tc>
          <w:tcPr>
            <w:tcW w:w="1858" w:type="pct"/>
            <w:vMerge w:val="restar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（方法）</w:t>
            </w:r>
          </w:p>
        </w:tc>
        <w:tc>
          <w:tcPr>
            <w:tcW w:w="679" w:type="pct"/>
            <w:gridSpan w:val="2"/>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确认结果</w:t>
            </w:r>
          </w:p>
        </w:tc>
        <w:tc>
          <w:tcPr>
            <w:tcW w:w="284" w:type="pct"/>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blHeader/>
          <w:jc w:val="center"/>
        </w:trPr>
        <w:tc>
          <w:tcPr>
            <w:tcW w:w="268" w:type="pct"/>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07" w:type="pct"/>
            <w:vMerge w:val="continue"/>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hint="default" w:ascii="Times New Roman" w:hAnsi="Times New Roman" w:cs="Times New Roman"/>
                <w:kern w:val="0"/>
                <w:sz w:val="20"/>
                <w:szCs w:val="20"/>
              </w:rPr>
            </w:pPr>
          </w:p>
        </w:tc>
        <w:tc>
          <w:tcPr>
            <w:tcW w:w="319" w:type="pc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982" w:type="pct"/>
            <w:gridSpan w:val="2"/>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名称</w:t>
            </w:r>
          </w:p>
        </w:tc>
        <w:tc>
          <w:tcPr>
            <w:tcW w:w="1858" w:type="pct"/>
            <w:vMerge w:val="continue"/>
            <w:tcBorders>
              <w:top w:val="single" w:color="auto" w:sz="4" w:space="0"/>
              <w:bottom w:val="single" w:color="auto" w:sz="4" w:space="0"/>
            </w:tcBorders>
          </w:tcPr>
          <w:p>
            <w:pPr>
              <w:widowControl/>
              <w:ind w:firstLine="800" w:firstLineChars="400"/>
              <w:jc w:val="left"/>
              <w:textAlignment w:val="center"/>
              <w:rPr>
                <w:rFonts w:hint="default" w:ascii="Times New Roman" w:hAnsi="Times New Roman" w:cs="Times New Roman"/>
                <w:color w:val="000000"/>
                <w:kern w:val="0"/>
                <w:sz w:val="20"/>
                <w:szCs w:val="20"/>
              </w:rPr>
            </w:pPr>
          </w:p>
        </w:tc>
        <w:tc>
          <w:tcPr>
            <w:tcW w:w="288"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通过</w:t>
            </w:r>
          </w:p>
        </w:tc>
        <w:tc>
          <w:tcPr>
            <w:tcW w:w="391"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不通过</w:t>
            </w:r>
          </w:p>
        </w:tc>
        <w:tc>
          <w:tcPr>
            <w:tcW w:w="284" w:type="pct"/>
            <w:vMerge w:val="continue"/>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restart"/>
            <w:tcBorders>
              <w:top w:val="single" w:color="auto" w:sz="4" w:space="0"/>
            </w:tcBorders>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607" w:type="pct"/>
            <w:vMerge w:val="restar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混凝土结构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构件强度、</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砌体结构构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件强度</w:t>
            </w:r>
          </w:p>
        </w:tc>
        <w:tc>
          <w:tcPr>
            <w:tcW w:w="319" w:type="pct"/>
            <w:vMerge w:val="restart"/>
            <w:tcBorders>
              <w:top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1.1</w:t>
            </w:r>
          </w:p>
        </w:tc>
        <w:tc>
          <w:tcPr>
            <w:tcW w:w="455" w:type="pct"/>
            <w:vMerge w:val="restart"/>
            <w:tcBorders>
              <w:top w:val="single" w:color="auto" w:sz="4" w:space="0"/>
            </w:tcBorders>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混凝土强度</w:t>
            </w:r>
          </w:p>
        </w:tc>
        <w:tc>
          <w:tcPr>
            <w:tcW w:w="527" w:type="pct"/>
            <w:tcBorders>
              <w:top w:val="single" w:color="auto" w:sz="4" w:space="0"/>
            </w:tcBorders>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回弹法</w:t>
            </w:r>
          </w:p>
        </w:tc>
        <w:tc>
          <w:tcPr>
            <w:tcW w:w="1858" w:type="pct"/>
            <w:tcBorders>
              <w:top w:val="single" w:color="auto" w:sz="4" w:space="0"/>
            </w:tcBorders>
            <w:vAlign w:val="center"/>
          </w:tcPr>
          <w:p>
            <w:pPr>
              <w:widowControl/>
              <w:jc w:val="left"/>
              <w:textAlignment w:val="center"/>
              <w:rPr>
                <w:rFonts w:hint="default" w:ascii="Times New Roman" w:hAnsi="Times New Roman" w:cs="Times New Roman"/>
                <w:color w:val="000000"/>
                <w:kern w:val="0"/>
                <w:sz w:val="20"/>
                <w:szCs w:val="20"/>
              </w:rPr>
            </w:pPr>
          </w:p>
        </w:tc>
        <w:tc>
          <w:tcPr>
            <w:tcW w:w="288"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91"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p>
        </w:tc>
        <w:tc>
          <w:tcPr>
            <w:tcW w:w="607"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钻芯法</w:t>
            </w:r>
          </w:p>
        </w:tc>
        <w:tc>
          <w:tcPr>
            <w:tcW w:w="1858" w:type="pct"/>
            <w:vAlign w:val="center"/>
          </w:tcPr>
          <w:p>
            <w:pPr>
              <w:widowControl/>
              <w:jc w:val="left"/>
              <w:textAlignment w:val="center"/>
              <w:rPr>
                <w:rFonts w:hint="default" w:ascii="Times New Roman" w:hAnsi="Times New Roman" w:cs="Times New Roman"/>
                <w:color w:val="00000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p>
        </w:tc>
        <w:tc>
          <w:tcPr>
            <w:tcW w:w="607"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回弹-钻芯综合法</w:t>
            </w:r>
          </w:p>
        </w:tc>
        <w:tc>
          <w:tcPr>
            <w:tcW w:w="1858" w:type="pct"/>
            <w:vAlign w:val="center"/>
          </w:tcPr>
          <w:p>
            <w:pPr>
              <w:widowControl/>
              <w:jc w:val="left"/>
              <w:textAlignment w:val="center"/>
              <w:rPr>
                <w:rFonts w:hint="default" w:ascii="Times New Roman" w:hAnsi="Times New Roman" w:cs="Times New Roman"/>
                <w:color w:val="00000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p>
        </w:tc>
        <w:tc>
          <w:tcPr>
            <w:tcW w:w="607"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超声回弹综合法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07"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restart"/>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1.2</w:t>
            </w:r>
          </w:p>
        </w:tc>
        <w:tc>
          <w:tcPr>
            <w:tcW w:w="455" w:type="pct"/>
            <w:vMerge w:val="restar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砂浆</w:t>
            </w:r>
          </w:p>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强度</w:t>
            </w: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推出法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jc w:val="left"/>
              <w:textAlignment w:val="center"/>
              <w:rPr>
                <w:rFonts w:hint="default" w:ascii="Times New Roman" w:hAnsi="Times New Roman" w:cs="Times New Roman"/>
                <w:sz w:val="20"/>
                <w:szCs w:val="20"/>
              </w:rPr>
            </w:pPr>
          </w:p>
        </w:tc>
        <w:tc>
          <w:tcPr>
            <w:tcW w:w="607" w:type="pct"/>
            <w:vMerge w:val="continue"/>
            <w:vAlign w:val="center"/>
          </w:tcPr>
          <w:p>
            <w:pPr>
              <w:widowControl/>
              <w:jc w:val="left"/>
              <w:textAlignment w:val="center"/>
              <w:rPr>
                <w:rFonts w:hint="default" w:ascii="Times New Roman" w:hAnsi="Times New Roman" w:cs="Times New Roman"/>
                <w:sz w:val="20"/>
                <w:szCs w:val="20"/>
              </w:rPr>
            </w:pPr>
          </w:p>
        </w:tc>
        <w:tc>
          <w:tcPr>
            <w:tcW w:w="319" w:type="pct"/>
            <w:vMerge w:val="continue"/>
            <w:vAlign w:val="center"/>
          </w:tcPr>
          <w:p>
            <w:pPr>
              <w:widowControl/>
              <w:jc w:val="left"/>
              <w:textAlignment w:val="center"/>
              <w:rPr>
                <w:rFonts w:hint="default" w:ascii="Times New Roman" w:hAnsi="Times New Roman" w:cs="Times New Roman"/>
                <w:sz w:val="20"/>
                <w:szCs w:val="20"/>
              </w:rPr>
            </w:pPr>
          </w:p>
        </w:tc>
        <w:tc>
          <w:tcPr>
            <w:tcW w:w="455" w:type="pct"/>
            <w:vMerge w:val="continue"/>
            <w:vAlign w:val="center"/>
          </w:tcPr>
          <w:p>
            <w:pPr>
              <w:widowControl/>
              <w:jc w:val="center"/>
              <w:textAlignment w:val="center"/>
              <w:rPr>
                <w:rFonts w:hint="default" w:ascii="Times New Roman" w:hAnsi="Times New Roman" w:cs="Times New Roman"/>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筒压法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jc w:val="left"/>
              <w:textAlignment w:val="center"/>
              <w:rPr>
                <w:rFonts w:hint="default" w:ascii="Times New Roman" w:hAnsi="Times New Roman" w:cs="Times New Roman"/>
                <w:kern w:val="0"/>
                <w:sz w:val="20"/>
                <w:szCs w:val="20"/>
              </w:rPr>
            </w:pPr>
          </w:p>
        </w:tc>
        <w:tc>
          <w:tcPr>
            <w:tcW w:w="284" w:type="pct"/>
          </w:tcPr>
          <w:p>
            <w:pPr>
              <w:widowControl/>
              <w:jc w:val="left"/>
              <w:textAlignment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jc w:val="left"/>
              <w:textAlignment w:val="center"/>
              <w:rPr>
                <w:rFonts w:hint="default" w:ascii="Times New Roman" w:hAnsi="Times New Roman" w:cs="Times New Roman"/>
                <w:kern w:val="0"/>
                <w:sz w:val="20"/>
                <w:szCs w:val="20"/>
              </w:rPr>
            </w:pPr>
          </w:p>
        </w:tc>
        <w:tc>
          <w:tcPr>
            <w:tcW w:w="607" w:type="pct"/>
            <w:vMerge w:val="continue"/>
            <w:vAlign w:val="center"/>
          </w:tcPr>
          <w:p>
            <w:pPr>
              <w:widowControl/>
              <w:jc w:val="left"/>
              <w:textAlignment w:val="center"/>
              <w:rPr>
                <w:rFonts w:hint="default" w:ascii="Times New Roman" w:hAnsi="Times New Roman" w:cs="Times New Roman"/>
                <w:kern w:val="0"/>
                <w:sz w:val="20"/>
                <w:szCs w:val="20"/>
              </w:rPr>
            </w:pPr>
          </w:p>
        </w:tc>
        <w:tc>
          <w:tcPr>
            <w:tcW w:w="319" w:type="pct"/>
            <w:vMerge w:val="continue"/>
            <w:vAlign w:val="center"/>
          </w:tcPr>
          <w:p>
            <w:pPr>
              <w:widowControl/>
              <w:jc w:val="left"/>
              <w:textAlignment w:val="center"/>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砂浆片剪切法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jc w:val="left"/>
              <w:textAlignment w:val="center"/>
              <w:rPr>
                <w:rFonts w:hint="default" w:ascii="Times New Roman" w:hAnsi="Times New Roman" w:cs="Times New Roman"/>
                <w:kern w:val="0"/>
                <w:sz w:val="20"/>
                <w:szCs w:val="20"/>
              </w:rPr>
            </w:pPr>
          </w:p>
        </w:tc>
        <w:tc>
          <w:tcPr>
            <w:tcW w:w="284" w:type="pct"/>
          </w:tcPr>
          <w:p>
            <w:pPr>
              <w:widowControl/>
              <w:jc w:val="left"/>
              <w:textAlignment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jc w:val="left"/>
              <w:textAlignment w:val="center"/>
              <w:rPr>
                <w:rFonts w:hint="default" w:ascii="Times New Roman" w:hAnsi="Times New Roman" w:cs="Times New Roman"/>
                <w:kern w:val="0"/>
                <w:sz w:val="20"/>
                <w:szCs w:val="20"/>
              </w:rPr>
            </w:pPr>
          </w:p>
        </w:tc>
        <w:tc>
          <w:tcPr>
            <w:tcW w:w="607" w:type="pct"/>
            <w:vMerge w:val="continue"/>
            <w:vAlign w:val="center"/>
          </w:tcPr>
          <w:p>
            <w:pPr>
              <w:widowControl/>
              <w:jc w:val="left"/>
              <w:textAlignment w:val="center"/>
              <w:rPr>
                <w:rFonts w:hint="default" w:ascii="Times New Roman" w:hAnsi="Times New Roman" w:cs="Times New Roman"/>
                <w:kern w:val="0"/>
                <w:sz w:val="20"/>
                <w:szCs w:val="20"/>
              </w:rPr>
            </w:pPr>
          </w:p>
        </w:tc>
        <w:tc>
          <w:tcPr>
            <w:tcW w:w="319" w:type="pct"/>
            <w:vMerge w:val="continue"/>
            <w:vAlign w:val="center"/>
          </w:tcPr>
          <w:p>
            <w:pPr>
              <w:widowControl/>
              <w:jc w:val="left"/>
              <w:textAlignment w:val="center"/>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回弹法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jc w:val="left"/>
              <w:textAlignment w:val="center"/>
              <w:rPr>
                <w:rFonts w:hint="default" w:ascii="Times New Roman" w:hAnsi="Times New Roman" w:cs="Times New Roman"/>
                <w:kern w:val="0"/>
                <w:sz w:val="20"/>
                <w:szCs w:val="20"/>
              </w:rPr>
            </w:pPr>
          </w:p>
        </w:tc>
        <w:tc>
          <w:tcPr>
            <w:tcW w:w="284" w:type="pct"/>
          </w:tcPr>
          <w:p>
            <w:pPr>
              <w:widowControl/>
              <w:jc w:val="left"/>
              <w:textAlignment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jc w:val="left"/>
              <w:textAlignment w:val="center"/>
              <w:rPr>
                <w:rFonts w:hint="default" w:ascii="Times New Roman" w:hAnsi="Times New Roman" w:cs="Times New Roman"/>
                <w:kern w:val="0"/>
                <w:sz w:val="20"/>
                <w:szCs w:val="20"/>
              </w:rPr>
            </w:pPr>
          </w:p>
        </w:tc>
        <w:tc>
          <w:tcPr>
            <w:tcW w:w="607" w:type="pct"/>
            <w:vMerge w:val="continue"/>
            <w:vAlign w:val="center"/>
          </w:tcPr>
          <w:p>
            <w:pPr>
              <w:widowControl/>
              <w:jc w:val="left"/>
              <w:textAlignment w:val="center"/>
              <w:rPr>
                <w:rFonts w:hint="default" w:ascii="Times New Roman" w:hAnsi="Times New Roman" w:cs="Times New Roman"/>
                <w:kern w:val="0"/>
                <w:sz w:val="20"/>
                <w:szCs w:val="20"/>
              </w:rPr>
            </w:pPr>
          </w:p>
        </w:tc>
        <w:tc>
          <w:tcPr>
            <w:tcW w:w="319" w:type="pct"/>
            <w:vMerge w:val="continue"/>
            <w:vAlign w:val="center"/>
          </w:tcPr>
          <w:p>
            <w:pPr>
              <w:widowControl/>
              <w:jc w:val="left"/>
              <w:textAlignment w:val="center"/>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点荷法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jc w:val="left"/>
              <w:textAlignment w:val="center"/>
              <w:rPr>
                <w:rFonts w:hint="default" w:ascii="Times New Roman" w:hAnsi="Times New Roman" w:cs="Times New Roman"/>
                <w:kern w:val="0"/>
                <w:sz w:val="20"/>
                <w:szCs w:val="20"/>
              </w:rPr>
            </w:pPr>
          </w:p>
        </w:tc>
        <w:tc>
          <w:tcPr>
            <w:tcW w:w="284" w:type="pct"/>
          </w:tcPr>
          <w:p>
            <w:pPr>
              <w:widowControl/>
              <w:jc w:val="left"/>
              <w:textAlignment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jc w:val="left"/>
              <w:textAlignment w:val="center"/>
              <w:rPr>
                <w:rFonts w:hint="default" w:ascii="Times New Roman" w:hAnsi="Times New Roman" w:cs="Times New Roman"/>
                <w:kern w:val="0"/>
                <w:sz w:val="20"/>
                <w:szCs w:val="20"/>
              </w:rPr>
            </w:pPr>
          </w:p>
        </w:tc>
        <w:tc>
          <w:tcPr>
            <w:tcW w:w="607" w:type="pct"/>
            <w:vMerge w:val="continue"/>
            <w:vAlign w:val="center"/>
          </w:tcPr>
          <w:p>
            <w:pPr>
              <w:widowControl/>
              <w:jc w:val="left"/>
              <w:textAlignment w:val="center"/>
              <w:rPr>
                <w:rFonts w:hint="default" w:ascii="Times New Roman" w:hAnsi="Times New Roman" w:cs="Times New Roman"/>
                <w:kern w:val="0"/>
                <w:sz w:val="20"/>
                <w:szCs w:val="20"/>
              </w:rPr>
            </w:pPr>
          </w:p>
        </w:tc>
        <w:tc>
          <w:tcPr>
            <w:tcW w:w="319" w:type="pct"/>
            <w:vMerge w:val="continue"/>
            <w:vAlign w:val="center"/>
          </w:tcPr>
          <w:p>
            <w:pPr>
              <w:widowControl/>
              <w:jc w:val="left"/>
              <w:textAlignment w:val="center"/>
              <w:rPr>
                <w:rFonts w:hint="default" w:ascii="Times New Roman" w:hAnsi="Times New Roman" w:cs="Times New Roman"/>
                <w:kern w:val="0"/>
                <w:sz w:val="20"/>
                <w:szCs w:val="20"/>
              </w:rPr>
            </w:pPr>
          </w:p>
        </w:tc>
        <w:tc>
          <w:tcPr>
            <w:tcW w:w="455" w:type="pct"/>
            <w:vMerge w:val="continue"/>
            <w:vAlign w:val="center"/>
          </w:tcPr>
          <w:p>
            <w:pPr>
              <w:widowControl/>
              <w:jc w:val="center"/>
              <w:textAlignment w:val="center"/>
              <w:rPr>
                <w:rFonts w:hint="default" w:ascii="Times New Roman" w:hAnsi="Times New Roman" w:cs="Times New Roman"/>
                <w:kern w:val="0"/>
                <w:sz w:val="20"/>
                <w:szCs w:val="20"/>
              </w:rPr>
            </w:pP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贯入</w:t>
            </w:r>
          </w:p>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法等</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jc w:val="left"/>
              <w:textAlignment w:val="center"/>
              <w:rPr>
                <w:rFonts w:hint="default" w:ascii="Times New Roman" w:hAnsi="Times New Roman" w:cs="Times New Roman"/>
                <w:kern w:val="0"/>
                <w:sz w:val="20"/>
                <w:szCs w:val="20"/>
              </w:rPr>
            </w:pPr>
          </w:p>
        </w:tc>
        <w:tc>
          <w:tcPr>
            <w:tcW w:w="284" w:type="pct"/>
          </w:tcPr>
          <w:p>
            <w:pPr>
              <w:widowControl/>
              <w:jc w:val="left"/>
              <w:textAlignment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07"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1.3</w:t>
            </w:r>
          </w:p>
        </w:tc>
        <w:tc>
          <w:tcPr>
            <w:tcW w:w="455"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砖强度</w:t>
            </w:r>
          </w:p>
        </w:tc>
        <w:tc>
          <w:tcPr>
            <w:tcW w:w="527" w:type="pct"/>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回弹法</w:t>
            </w:r>
          </w:p>
        </w:tc>
        <w:tc>
          <w:tcPr>
            <w:tcW w:w="1858" w:type="pct"/>
            <w:vAlign w:val="center"/>
          </w:tcPr>
          <w:p>
            <w:pPr>
              <w:widowControl/>
              <w:jc w:val="left"/>
              <w:textAlignment w:val="center"/>
              <w:rPr>
                <w:rFonts w:hint="default" w:ascii="Times New Roman" w:hAnsi="Times New Roman" w:cs="Times New Roman"/>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607" w:type="pc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钢筋及保护</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层厚度</w:t>
            </w:r>
          </w:p>
        </w:tc>
        <w:tc>
          <w:tcPr>
            <w:tcW w:w="319" w:type="pct"/>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2.1</w:t>
            </w:r>
          </w:p>
        </w:tc>
        <w:tc>
          <w:tcPr>
            <w:tcW w:w="982" w:type="pct"/>
            <w:gridSpan w:val="2"/>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钢筋保护层厚度 </w:t>
            </w:r>
          </w:p>
        </w:tc>
        <w:tc>
          <w:tcPr>
            <w:tcW w:w="1858" w:type="pct"/>
            <w:vAlign w:val="center"/>
          </w:tcPr>
          <w:p>
            <w:pPr>
              <w:widowControl/>
              <w:jc w:val="left"/>
              <w:textAlignment w:val="center"/>
              <w:rPr>
                <w:rFonts w:hint="default" w:ascii="Times New Roman" w:hAnsi="Times New Roman" w:cs="Times New Roman"/>
                <w:color w:val="000000"/>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607" w:type="pct"/>
            <w:vAlign w:val="center"/>
          </w:tcPr>
          <w:p>
            <w:pPr>
              <w:widowControl/>
              <w:textAlignment w:val="center"/>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 xml:space="preserve">植筋锚固力 </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w:t>
            </w:r>
          </w:p>
        </w:tc>
        <w:tc>
          <w:tcPr>
            <w:tcW w:w="982" w:type="pct"/>
            <w:gridSpan w:val="2"/>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锚固承载力</w:t>
            </w:r>
          </w:p>
        </w:tc>
        <w:tc>
          <w:tcPr>
            <w:tcW w:w="1858" w:type="pct"/>
            <w:vAlign w:val="center"/>
          </w:tcPr>
          <w:p>
            <w:pPr>
              <w:widowControl/>
              <w:jc w:val="left"/>
              <w:textAlignment w:val="center"/>
              <w:rPr>
                <w:rFonts w:hint="default" w:ascii="Times New Roman" w:hAnsi="Times New Roman" w:cs="Times New Roman"/>
                <w:color w:val="000000"/>
                <w:kern w:val="0"/>
                <w:sz w:val="20"/>
                <w:szCs w:val="20"/>
              </w:rPr>
            </w:pPr>
          </w:p>
        </w:tc>
        <w:tc>
          <w:tcPr>
            <w:tcW w:w="288" w:type="pct"/>
            <w:vAlign w:val="top"/>
          </w:tcPr>
          <w:p>
            <w:pPr>
              <w:widowControl/>
              <w:wordWrap w:val="0"/>
              <w:snapToGrid w:val="0"/>
              <w:spacing w:before="120" w:line="300" w:lineRule="atLeast"/>
              <w:ind w:right="-336" w:rightChars="0"/>
              <w:jc w:val="left"/>
              <w:rPr>
                <w:rFonts w:hint="default" w:ascii="Times New Roman" w:hAnsi="Times New Roman" w:cs="Times New Roman"/>
                <w:kern w:val="0"/>
                <w:sz w:val="20"/>
                <w:szCs w:val="20"/>
              </w:rPr>
            </w:pPr>
          </w:p>
        </w:tc>
        <w:tc>
          <w:tcPr>
            <w:tcW w:w="391"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284"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bl>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二、主体结构及装饰装修检测项目/参数能力表（可选）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103"/>
        <w:gridCol w:w="662"/>
        <w:gridCol w:w="972"/>
        <w:gridCol w:w="868"/>
        <w:gridCol w:w="2928"/>
        <w:gridCol w:w="491"/>
        <w:gridCol w:w="631"/>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5000" w:type="pct"/>
            <w:gridSpan w:val="9"/>
            <w:tcBorders>
              <w:top w:val="nil"/>
              <w:left w:val="nil"/>
              <w:bottom w:val="single" w:color="auto" w:sz="4" w:space="0"/>
              <w:right w:val="nil"/>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336"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638" w:type="pct"/>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检测项目</w:t>
            </w:r>
          </w:p>
        </w:tc>
        <w:tc>
          <w:tcPr>
            <w:tcW w:w="1386" w:type="pct"/>
            <w:gridSpan w:val="3"/>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检测参数</w:t>
            </w:r>
          </w:p>
        </w:tc>
        <w:tc>
          <w:tcPr>
            <w:tcW w:w="1682" w:type="pct"/>
            <w:vMerge w:val="restar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（方法）</w:t>
            </w:r>
          </w:p>
        </w:tc>
        <w:tc>
          <w:tcPr>
            <w:tcW w:w="656" w:type="pct"/>
            <w:gridSpan w:val="2"/>
            <w:tcBorders>
              <w:top w:val="single" w:color="auto" w:sz="4" w:space="0"/>
              <w:bottom w:val="single" w:color="auto" w:sz="4" w:space="0"/>
            </w:tcBorders>
          </w:tcPr>
          <w:p>
            <w:pPr>
              <w:widowControl/>
              <w:wordWrap w:val="0"/>
              <w:snapToGrid w:val="0"/>
              <w:spacing w:before="120" w:line="300" w:lineRule="atLeast"/>
              <w:ind w:right="-336" w:firstLine="200" w:firstLineChars="10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确认结果</w:t>
            </w:r>
          </w:p>
        </w:tc>
        <w:tc>
          <w:tcPr>
            <w:tcW w:w="300" w:type="pct"/>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blHeader/>
          <w:jc w:val="center"/>
        </w:trPr>
        <w:tc>
          <w:tcPr>
            <w:tcW w:w="336" w:type="pct"/>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hint="default" w:ascii="Times New Roman" w:hAnsi="Times New Roman" w:cs="Times New Roman"/>
                <w:kern w:val="0"/>
                <w:sz w:val="20"/>
                <w:szCs w:val="20"/>
              </w:rPr>
            </w:pPr>
          </w:p>
        </w:tc>
        <w:tc>
          <w:tcPr>
            <w:tcW w:w="319" w:type="pc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1067" w:type="pct"/>
            <w:gridSpan w:val="2"/>
            <w:tcBorders>
              <w:top w:val="single" w:color="auto" w:sz="4" w:space="0"/>
              <w:bottom w:val="single" w:color="auto" w:sz="4" w:space="0"/>
            </w:tcBorders>
            <w:vAlign w:val="center"/>
          </w:tcPr>
          <w:p>
            <w:pPr>
              <w:widowControl/>
              <w:ind w:firstLine="800" w:firstLineChars="40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名称</w:t>
            </w:r>
          </w:p>
        </w:tc>
        <w:tc>
          <w:tcPr>
            <w:tcW w:w="1682" w:type="pct"/>
            <w:vMerge w:val="continue"/>
            <w:tcBorders>
              <w:top w:val="single" w:color="auto" w:sz="4" w:space="0"/>
              <w:bottom w:val="single" w:color="auto" w:sz="4" w:space="0"/>
            </w:tcBorders>
          </w:tcPr>
          <w:p>
            <w:pPr>
              <w:widowControl/>
              <w:ind w:firstLine="800" w:firstLineChars="400"/>
              <w:jc w:val="left"/>
              <w:textAlignment w:val="center"/>
              <w:rPr>
                <w:rFonts w:hint="default" w:ascii="Times New Roman" w:hAnsi="Times New Roman" w:cs="Times New Roman"/>
                <w:color w:val="000000"/>
                <w:kern w:val="0"/>
                <w:sz w:val="20"/>
                <w:szCs w:val="20"/>
              </w:rPr>
            </w:pPr>
          </w:p>
        </w:tc>
        <w:tc>
          <w:tcPr>
            <w:tcW w:w="288"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通过</w:t>
            </w:r>
          </w:p>
        </w:tc>
        <w:tc>
          <w:tcPr>
            <w:tcW w:w="367"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不通过</w:t>
            </w:r>
          </w:p>
        </w:tc>
        <w:tc>
          <w:tcPr>
            <w:tcW w:w="300" w:type="pct"/>
            <w:vMerge w:val="continue"/>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tcBorders>
              <w:top w:val="single" w:color="auto" w:sz="4" w:space="0"/>
              <w:bottom w:val="single" w:color="auto" w:sz="4" w:space="0"/>
            </w:tcBorders>
            <w:vAlign w:val="center"/>
          </w:tcPr>
          <w:p>
            <w:pPr>
              <w:widowControl/>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638" w:type="pct"/>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混凝土结构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构件强度</w:t>
            </w:r>
            <w:r>
              <w:rPr>
                <w:rFonts w:hint="default" w:ascii="Times New Roman" w:hAnsi="Times New Roman" w:cs="Times New Roman"/>
                <w:color w:val="000000"/>
                <w:kern w:val="0"/>
                <w:sz w:val="20"/>
                <w:szCs w:val="20"/>
              </w:rPr>
              <w:t>*</w:t>
            </w:r>
            <w:r>
              <w:rPr>
                <w:rFonts w:hint="default" w:ascii="Times New Roman" w:hAnsi="Times New Roman" w:cs="Times New Roman"/>
                <w:kern w:val="0"/>
                <w:sz w:val="20"/>
                <w:szCs w:val="20"/>
              </w:rPr>
              <w:t>、</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砌体结构构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件强度</w:t>
            </w:r>
            <w:r>
              <w:rPr>
                <w:rFonts w:hint="default" w:ascii="Times New Roman" w:hAnsi="Times New Roman" w:cs="Times New Roman"/>
                <w:color w:val="000000"/>
                <w:kern w:val="0"/>
                <w:sz w:val="20"/>
                <w:szCs w:val="20"/>
              </w:rPr>
              <w:t>*</w:t>
            </w:r>
          </w:p>
        </w:tc>
        <w:tc>
          <w:tcPr>
            <w:tcW w:w="319" w:type="pct"/>
            <w:vMerge w:val="restart"/>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1.1</w:t>
            </w:r>
          </w:p>
        </w:tc>
        <w:tc>
          <w:tcPr>
            <w:tcW w:w="563" w:type="pct"/>
            <w:vMerge w:val="restart"/>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砌体抗压强度*</w:t>
            </w:r>
          </w:p>
        </w:tc>
        <w:tc>
          <w:tcPr>
            <w:tcW w:w="503" w:type="pc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原位轴压法</w:t>
            </w:r>
          </w:p>
        </w:tc>
        <w:tc>
          <w:tcPr>
            <w:tcW w:w="1682" w:type="pct"/>
            <w:tcBorders>
              <w:top w:val="single" w:color="auto" w:sz="4" w:space="0"/>
              <w:bottom w:val="single" w:color="auto" w:sz="4" w:space="0"/>
            </w:tcBorders>
          </w:tcPr>
          <w:p>
            <w:pPr>
              <w:widowControl/>
              <w:jc w:val="left"/>
              <w:textAlignment w:val="center"/>
              <w:rPr>
                <w:rFonts w:hint="default" w:ascii="Times New Roman" w:hAnsi="Times New Roman" w:cs="Times New Roman"/>
                <w:kern w:val="0"/>
                <w:sz w:val="20"/>
                <w:szCs w:val="20"/>
              </w:rPr>
            </w:pPr>
          </w:p>
        </w:tc>
        <w:tc>
          <w:tcPr>
            <w:tcW w:w="288"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p>
        </w:tc>
        <w:tc>
          <w:tcPr>
            <w:tcW w:w="638" w:type="pct"/>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continue"/>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563" w:type="pct"/>
            <w:vMerge w:val="continue"/>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503" w:type="pc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扁顶法</w:t>
            </w:r>
          </w:p>
        </w:tc>
        <w:tc>
          <w:tcPr>
            <w:tcW w:w="1682" w:type="pct"/>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288"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restart"/>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1.2</w:t>
            </w:r>
          </w:p>
        </w:tc>
        <w:tc>
          <w:tcPr>
            <w:tcW w:w="563" w:type="pct"/>
            <w:vMerge w:val="restart"/>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砌体抗剪强度*</w:t>
            </w:r>
          </w:p>
        </w:tc>
        <w:tc>
          <w:tcPr>
            <w:tcW w:w="503" w:type="pc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原位单剪法</w:t>
            </w:r>
          </w:p>
        </w:tc>
        <w:tc>
          <w:tcPr>
            <w:tcW w:w="1682" w:type="pct"/>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288"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Borders>
              <w:top w:val="single" w:color="auto" w:sz="4" w:space="0"/>
              <w:bottom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tcBorders>
              <w:top w:val="single" w:color="auto" w:sz="4" w:space="0"/>
            </w:tcBorders>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Merge w:val="continue"/>
            <w:tcBorders>
              <w:top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563" w:type="pct"/>
            <w:vMerge w:val="continue"/>
            <w:tcBorders>
              <w:top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503" w:type="pct"/>
            <w:tcBorders>
              <w:top w:val="single" w:color="auto" w:sz="4" w:space="0"/>
            </w:tcBorders>
            <w:vAlign w:val="center"/>
          </w:tcPr>
          <w:p>
            <w:pPr>
              <w:widowControl/>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原位单砖双剪法</w:t>
            </w:r>
          </w:p>
        </w:tc>
        <w:tc>
          <w:tcPr>
            <w:tcW w:w="1682" w:type="pct"/>
            <w:tcBorders>
              <w:top w:val="single" w:color="auto" w:sz="4" w:space="0"/>
            </w:tcBorders>
            <w:vAlign w:val="center"/>
          </w:tcPr>
          <w:p>
            <w:pPr>
              <w:widowControl/>
              <w:jc w:val="left"/>
              <w:textAlignment w:val="center"/>
              <w:rPr>
                <w:rFonts w:hint="default" w:ascii="Times New Roman" w:hAnsi="Times New Roman" w:cs="Times New Roman"/>
                <w:kern w:val="0"/>
                <w:sz w:val="20"/>
                <w:szCs w:val="20"/>
              </w:rPr>
            </w:pPr>
          </w:p>
        </w:tc>
        <w:tc>
          <w:tcPr>
            <w:tcW w:w="288"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钢筋及保护</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层厚度</w:t>
            </w:r>
            <w:r>
              <w:rPr>
                <w:rFonts w:hint="default" w:ascii="Times New Roman" w:hAnsi="Times New Roman" w:cs="Times New Roman"/>
                <w:color w:val="000000"/>
                <w:kern w:val="0"/>
                <w:sz w:val="20"/>
                <w:szCs w:val="20"/>
              </w:rPr>
              <w:t>*</w:t>
            </w:r>
          </w:p>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钢筋数量*</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间距*</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直径*</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2.4</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锈蚀状况*</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2.5</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336" w:type="pc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638" w:type="pc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构件位置和</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尺寸*（涵盖</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砌体、混凝</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土、木结构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轴线位置*</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构件位置和</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尺寸*（涵盖</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砌体、混凝</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土、木结构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标高*</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截面尺寸*</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3.4</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预埋件位置*</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3.5</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预留插筋位置及外露长度*</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3.6</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垂直度*</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3.7</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平整度*</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构件位置和</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尺寸*（涵盖</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砌体、混凝</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土、木结构</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3.8</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构件挠度*</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3.9</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平面外变形* </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3.10</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4</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外观质量及</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内部缺陷*</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外观质量*</w:t>
            </w:r>
          </w:p>
        </w:tc>
        <w:tc>
          <w:tcPr>
            <w:tcW w:w="1682" w:type="pct"/>
            <w:vAlign w:val="center"/>
          </w:tcPr>
          <w:p>
            <w:pPr>
              <w:widowControl/>
              <w:jc w:val="left"/>
              <w:textAlignment w:val="center"/>
              <w:rPr>
                <w:rFonts w:hint="default" w:ascii="Times New Roman" w:hAnsi="Times New Roman" w:cs="Times New Roman"/>
                <w:color w:val="000000"/>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内部缺陷*</w:t>
            </w:r>
          </w:p>
        </w:tc>
        <w:tc>
          <w:tcPr>
            <w:tcW w:w="1682" w:type="pct"/>
            <w:vAlign w:val="center"/>
          </w:tcPr>
          <w:p>
            <w:pPr>
              <w:widowControl/>
              <w:jc w:val="left"/>
              <w:textAlignment w:val="center"/>
              <w:rPr>
                <w:rFonts w:hint="default" w:ascii="Times New Roman" w:hAnsi="Times New Roman" w:cs="Times New Roman"/>
                <w:color w:val="000000"/>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装配式混凝</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土结构节点*</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钢筋套筒灌浆连接灌浆饱满性*</w:t>
            </w:r>
          </w:p>
        </w:tc>
        <w:tc>
          <w:tcPr>
            <w:tcW w:w="1682" w:type="pct"/>
            <w:vAlign w:val="center"/>
          </w:tcPr>
          <w:p>
            <w:pPr>
              <w:widowControl/>
              <w:jc w:val="left"/>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钢筋浆锚搭接连接灌浆饱满性*</w:t>
            </w:r>
          </w:p>
        </w:tc>
        <w:tc>
          <w:tcPr>
            <w:tcW w:w="1682" w:type="pct"/>
            <w:vAlign w:val="center"/>
          </w:tcPr>
          <w:p>
            <w:pPr>
              <w:widowControl/>
              <w:jc w:val="left"/>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外墙板接缝防水性能* </w:t>
            </w:r>
          </w:p>
        </w:tc>
        <w:tc>
          <w:tcPr>
            <w:tcW w:w="1682" w:type="pct"/>
            <w:vAlign w:val="center"/>
          </w:tcPr>
          <w:p>
            <w:pPr>
              <w:widowControl/>
              <w:jc w:val="left"/>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5.4</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6</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结构构件性</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能（涵盖砌</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体、混凝土</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、木结构）*</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静载试验*</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动力测试*</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7</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装饰装修</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工程*</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后置埋件现场拉拔力* </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饰面砖粘结强度*</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抹灰砂浆拉伸粘接强度*</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7.4</w:t>
            </w:r>
          </w:p>
        </w:tc>
        <w:tc>
          <w:tcPr>
            <w:tcW w:w="1067" w:type="pct"/>
            <w:gridSpan w:val="2"/>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8</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室内环境</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污染物*</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8.1</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甲醛*</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8.2</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氨*</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8.3</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TVOC*</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8.4</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苯*</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8.5</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氡*</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8</w:t>
            </w:r>
          </w:p>
        </w:tc>
        <w:tc>
          <w:tcPr>
            <w:tcW w:w="638" w:type="pct"/>
            <w:vMerge w:val="restar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室内环境</w:t>
            </w:r>
          </w:p>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污染物*</w:t>
            </w: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8.6</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甲苯*</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8.7</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二甲苯*</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8.8</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土壤中的氡*</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638" w:type="pct"/>
            <w:vMerge w:val="continue"/>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19" w:type="pct"/>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8.9</w:t>
            </w:r>
          </w:p>
        </w:tc>
        <w:tc>
          <w:tcPr>
            <w:tcW w:w="1067" w:type="pct"/>
            <w:gridSpan w:val="2"/>
            <w:vAlign w:val="center"/>
          </w:tcPr>
          <w:p>
            <w:pPr>
              <w:widowControl/>
              <w:jc w:val="left"/>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1682" w:type="pct"/>
            <w:vAlign w:val="center"/>
          </w:tcPr>
          <w:p>
            <w:pPr>
              <w:widowControl/>
              <w:jc w:val="left"/>
              <w:textAlignment w:val="center"/>
              <w:rPr>
                <w:rFonts w:hint="default" w:ascii="Times New Roman" w:hAnsi="Times New Roman" w:cs="Times New Roman"/>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Align w:val="center"/>
          </w:tcPr>
          <w:p>
            <w:pPr>
              <w:widowControl/>
              <w:wordWrap w:val="0"/>
              <w:snapToGrid w:val="0"/>
              <w:spacing w:before="120" w:line="300" w:lineRule="atLeast"/>
              <w:ind w:right="-336"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9</w:t>
            </w:r>
          </w:p>
        </w:tc>
        <w:tc>
          <w:tcPr>
            <w:tcW w:w="638" w:type="pct"/>
            <w:vAlign w:val="center"/>
          </w:tcPr>
          <w:p>
            <w:pPr>
              <w:widowControl/>
              <w:wordWrap w:val="0"/>
              <w:snapToGrid w:val="0"/>
              <w:spacing w:before="120" w:line="300" w:lineRule="atLeast"/>
              <w:ind w:right="-336"/>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其它</w:t>
            </w:r>
            <w:r>
              <w:rPr>
                <w:rFonts w:hint="default" w:ascii="Times New Roman" w:hAnsi="Times New Roman" w:cs="Times New Roman"/>
                <w:color w:val="000000"/>
                <w:kern w:val="0"/>
                <w:sz w:val="20"/>
                <w:szCs w:val="20"/>
              </w:rPr>
              <w:t>*</w:t>
            </w:r>
          </w:p>
        </w:tc>
        <w:tc>
          <w:tcPr>
            <w:tcW w:w="319" w:type="pct"/>
            <w:vAlign w:val="center"/>
          </w:tcPr>
          <w:p>
            <w:pPr>
              <w:widowControl/>
              <w:wordWrap w:val="0"/>
              <w:snapToGrid w:val="0"/>
              <w:spacing w:before="120" w:line="300" w:lineRule="atLeast"/>
              <w:ind w:right="-336"/>
              <w:rPr>
                <w:rFonts w:hint="default" w:ascii="Times New Roman" w:hAnsi="Times New Roman" w:cs="Times New Roman"/>
                <w:kern w:val="0"/>
                <w:sz w:val="20"/>
                <w:szCs w:val="20"/>
              </w:rPr>
            </w:pPr>
          </w:p>
        </w:tc>
        <w:tc>
          <w:tcPr>
            <w:tcW w:w="1067" w:type="pct"/>
            <w:gridSpan w:val="2"/>
            <w:vAlign w:val="center"/>
          </w:tcPr>
          <w:p>
            <w:pPr>
              <w:widowControl/>
              <w:jc w:val="left"/>
              <w:textAlignment w:val="center"/>
              <w:rPr>
                <w:rFonts w:hint="default" w:ascii="Times New Roman" w:hAnsi="Times New Roman" w:cs="Times New Roman"/>
                <w:color w:val="000000"/>
                <w:kern w:val="0"/>
                <w:sz w:val="20"/>
                <w:szCs w:val="20"/>
              </w:rPr>
            </w:pPr>
          </w:p>
        </w:tc>
        <w:tc>
          <w:tcPr>
            <w:tcW w:w="1682" w:type="pct"/>
          </w:tcPr>
          <w:p>
            <w:pPr>
              <w:widowControl/>
              <w:jc w:val="left"/>
              <w:textAlignment w:val="center"/>
              <w:rPr>
                <w:rFonts w:hint="default" w:ascii="Times New Roman" w:hAnsi="Times New Roman" w:cs="Times New Roman"/>
                <w:color w:val="000000"/>
                <w:kern w:val="0"/>
                <w:sz w:val="20"/>
                <w:szCs w:val="20"/>
              </w:rPr>
            </w:pPr>
          </w:p>
        </w:tc>
        <w:tc>
          <w:tcPr>
            <w:tcW w:w="288"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67"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c>
          <w:tcPr>
            <w:tcW w:w="300" w:type="pct"/>
          </w:tcPr>
          <w:p>
            <w:pPr>
              <w:widowControl/>
              <w:wordWrap w:val="0"/>
              <w:snapToGrid w:val="0"/>
              <w:spacing w:before="120" w:line="300" w:lineRule="atLeast"/>
              <w:ind w:right="-336"/>
              <w:jc w:val="left"/>
              <w:rPr>
                <w:rFonts w:hint="default" w:ascii="Times New Roman" w:hAnsi="Times New Roman" w:cs="Times New Roman"/>
                <w:kern w:val="0"/>
                <w:sz w:val="20"/>
                <w:szCs w:val="20"/>
              </w:rPr>
            </w:pPr>
          </w:p>
        </w:tc>
      </w:tr>
    </w:tbl>
    <w:p>
      <w:pPr>
        <w:widowControl/>
        <w:shd w:val="clear" w:color="auto" w:fill="FFFFFF"/>
        <w:wordWrap w:val="0"/>
        <w:spacing w:line="440" w:lineRule="atLeast"/>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三、钢结构检测项目/参数能力表（必选）</w:t>
      </w:r>
    </w:p>
    <w:tbl>
      <w:tblPr>
        <w:tblStyle w:val="12"/>
        <w:tblW w:w="5000" w:type="pct"/>
        <w:tblInd w:w="0" w:type="dxa"/>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57"/>
        <w:gridCol w:w="1053"/>
        <w:gridCol w:w="581"/>
        <w:gridCol w:w="621"/>
        <w:gridCol w:w="883"/>
        <w:gridCol w:w="3220"/>
        <w:gridCol w:w="558"/>
        <w:gridCol w:w="787"/>
        <w:gridCol w:w="484"/>
      </w:tblGrid>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 w:hRule="atLeast"/>
          <w:tblHeader/>
        </w:trPr>
        <w:tc>
          <w:tcPr>
            <w:tcW w:w="5000" w:type="pct"/>
            <w:gridSpan w:val="9"/>
            <w:tcBorders>
              <w:top w:val="nil"/>
              <w:left w:val="nil"/>
              <w:bottom w:val="single" w:color="auto" w:sz="4" w:space="0"/>
              <w:right w:val="nil"/>
              <w:tl2br w:val="nil"/>
              <w:tr2bl w:val="nil"/>
            </w:tcBorders>
            <w:shd w:val="clear" w:color="auto" w:fill="auto"/>
            <w:vAlign w:val="center"/>
          </w:tcPr>
          <w:p>
            <w:pPr>
              <w:widowControl/>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31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602"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检测项目</w:t>
            </w:r>
          </w:p>
        </w:tc>
        <w:tc>
          <w:tcPr>
            <w:tcW w:w="1192"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检测参数</w:t>
            </w:r>
          </w:p>
        </w:tc>
        <w:tc>
          <w:tcPr>
            <w:tcW w:w="184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（方法）</w:t>
            </w:r>
          </w:p>
        </w:tc>
        <w:tc>
          <w:tcPr>
            <w:tcW w:w="76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确认结果</w:t>
            </w:r>
          </w:p>
        </w:tc>
        <w:tc>
          <w:tcPr>
            <w:tcW w:w="27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说明</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319" w:type="pct"/>
            <w:vMerge w:val="continue"/>
            <w:tcBorders>
              <w:top w:val="single" w:color="auto" w:sz="4" w:space="0"/>
              <w:lef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op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860" w:type="pct"/>
            <w:gridSpan w:val="2"/>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名称</w:t>
            </w:r>
          </w:p>
        </w:tc>
        <w:tc>
          <w:tcPr>
            <w:tcW w:w="1841" w:type="pct"/>
            <w:vMerge w:val="continue"/>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319"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w:t>
            </w:r>
          </w:p>
        </w:tc>
        <w:tc>
          <w:tcPr>
            <w:tcW w:w="450"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不通过</w:t>
            </w:r>
          </w:p>
        </w:tc>
        <w:tc>
          <w:tcPr>
            <w:tcW w:w="275" w:type="pct"/>
            <w:vMerge w:val="continue"/>
            <w:tcBorders>
              <w:top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60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钢材及焊接</w:t>
            </w: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860"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屈服强度</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19"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75"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860"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抗拉强度</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319"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75"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860"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伸长率</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19"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75"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860"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厚度偏差</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19"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0"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75"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60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焊缝</w:t>
            </w:r>
          </w:p>
        </w:tc>
        <w:tc>
          <w:tcPr>
            <w:tcW w:w="33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355"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外观质量</w:t>
            </w:r>
          </w:p>
        </w:tc>
        <w:tc>
          <w:tcPr>
            <w:tcW w:w="504"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磁粉法</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kern w:val="0"/>
                <w:sz w:val="20"/>
                <w:szCs w:val="20"/>
              </w:rPr>
            </w:pPr>
          </w:p>
        </w:tc>
        <w:tc>
          <w:tcPr>
            <w:tcW w:w="319"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450"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275"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55"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4"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渗透法</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19"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450"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275"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355"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内部缺陷探伤</w:t>
            </w:r>
          </w:p>
        </w:tc>
        <w:tc>
          <w:tcPr>
            <w:tcW w:w="504"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超声法</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19"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450"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275"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55"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04"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射线法</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19"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450"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275"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60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钢结构防腐</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及防火涂装</w:t>
            </w:r>
          </w:p>
        </w:tc>
        <w:tc>
          <w:tcPr>
            <w:tcW w:w="332"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w:t>
            </w:r>
          </w:p>
        </w:tc>
        <w:tc>
          <w:tcPr>
            <w:tcW w:w="860"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涂层厚度</w:t>
            </w:r>
          </w:p>
        </w:tc>
        <w:tc>
          <w:tcPr>
            <w:tcW w:w="1841"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19" w:type="pct"/>
            <w:vMerge w:val="restart"/>
            <w:tcBorders>
              <w:tl2br w:val="nil"/>
              <w:tr2bl w:val="nil"/>
            </w:tcBorders>
            <w:shd w:val="clear" w:color="auto" w:fill="auto"/>
            <w:noWrap/>
            <w:vAlign w:val="center"/>
          </w:tcPr>
          <w:p>
            <w:pPr>
              <w:jc w:val="center"/>
              <w:rPr>
                <w:rFonts w:hint="default" w:ascii="Times New Roman" w:hAnsi="Times New Roman" w:cs="Times New Roman"/>
                <w:color w:val="000000"/>
                <w:sz w:val="20"/>
                <w:szCs w:val="20"/>
              </w:rPr>
            </w:pPr>
          </w:p>
        </w:tc>
        <w:tc>
          <w:tcPr>
            <w:tcW w:w="450" w:type="pct"/>
            <w:vMerge w:val="restart"/>
            <w:tcBorders>
              <w:tl2br w:val="nil"/>
              <w:tr2bl w:val="nil"/>
            </w:tcBorders>
            <w:shd w:val="clear" w:color="auto" w:fill="auto"/>
            <w:noWrap/>
            <w:vAlign w:val="center"/>
          </w:tcPr>
          <w:p>
            <w:pPr>
              <w:jc w:val="center"/>
              <w:rPr>
                <w:rFonts w:hint="default" w:ascii="Times New Roman" w:hAnsi="Times New Roman" w:cs="Times New Roman"/>
                <w:color w:val="000000"/>
                <w:sz w:val="20"/>
                <w:szCs w:val="20"/>
              </w:rPr>
            </w:pPr>
          </w:p>
        </w:tc>
        <w:tc>
          <w:tcPr>
            <w:tcW w:w="275" w:type="pct"/>
            <w:vMerge w:val="restart"/>
            <w:tcBorders>
              <w:tl2br w:val="nil"/>
              <w:tr2bl w:val="nil"/>
            </w:tcBorders>
            <w:shd w:val="clear" w:color="auto" w:fill="auto"/>
            <w:noWrap/>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860" w:type="pct"/>
            <w:gridSpan w:val="2"/>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1841"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19" w:type="pct"/>
            <w:vMerge w:val="continue"/>
            <w:tcBorders>
              <w:tl2br w:val="nil"/>
              <w:tr2bl w:val="nil"/>
            </w:tcBorders>
            <w:shd w:val="clear" w:color="auto" w:fill="auto"/>
            <w:noWrap/>
            <w:vAlign w:val="center"/>
          </w:tcPr>
          <w:p>
            <w:pPr>
              <w:jc w:val="center"/>
              <w:rPr>
                <w:rFonts w:hint="default" w:ascii="Times New Roman" w:hAnsi="Times New Roman" w:cs="Times New Roman"/>
                <w:color w:val="000000"/>
                <w:sz w:val="20"/>
                <w:szCs w:val="20"/>
              </w:rPr>
            </w:pPr>
          </w:p>
        </w:tc>
        <w:tc>
          <w:tcPr>
            <w:tcW w:w="450" w:type="pct"/>
            <w:vMerge w:val="continue"/>
            <w:tcBorders>
              <w:tl2br w:val="nil"/>
              <w:tr2bl w:val="nil"/>
            </w:tcBorders>
            <w:shd w:val="clear" w:color="auto" w:fill="auto"/>
            <w:noWrap/>
            <w:vAlign w:val="center"/>
          </w:tcPr>
          <w:p>
            <w:pPr>
              <w:jc w:val="center"/>
              <w:rPr>
                <w:rFonts w:hint="default" w:ascii="Times New Roman" w:hAnsi="Times New Roman" w:cs="Times New Roman"/>
                <w:color w:val="000000"/>
                <w:sz w:val="20"/>
                <w:szCs w:val="20"/>
              </w:rPr>
            </w:pPr>
          </w:p>
        </w:tc>
        <w:tc>
          <w:tcPr>
            <w:tcW w:w="275" w:type="pct"/>
            <w:vMerge w:val="continue"/>
            <w:tcBorders>
              <w:tl2br w:val="nil"/>
              <w:tr2bl w:val="nil"/>
            </w:tcBorders>
            <w:shd w:val="clear" w:color="auto" w:fill="auto"/>
            <w:noWrap/>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60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高强度螺栓</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及普通紧固件</w:t>
            </w:r>
          </w:p>
        </w:tc>
        <w:tc>
          <w:tcPr>
            <w:tcW w:w="33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w:t>
            </w:r>
          </w:p>
        </w:tc>
        <w:tc>
          <w:tcPr>
            <w:tcW w:w="860"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抗滑移系数</w:t>
            </w:r>
          </w:p>
        </w:tc>
        <w:tc>
          <w:tcPr>
            <w:tcW w:w="1841" w:type="pct"/>
            <w:tcBorders>
              <w:tl2br w:val="nil"/>
              <w:tr2bl w:val="nil"/>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p>
        </w:tc>
        <w:tc>
          <w:tcPr>
            <w:tcW w:w="319"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450"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275"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1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02"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3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4.2</w:t>
            </w:r>
          </w:p>
        </w:tc>
        <w:tc>
          <w:tcPr>
            <w:tcW w:w="860"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硬度</w:t>
            </w:r>
          </w:p>
        </w:tc>
        <w:tc>
          <w:tcPr>
            <w:tcW w:w="1841"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19"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450"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c>
          <w:tcPr>
            <w:tcW w:w="275"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bl>
    <w:p>
      <w:pPr>
        <w:rPr>
          <w:rFonts w:hint="default" w:ascii="Times New Roman" w:hAnsi="Times New Roman" w:cs="Times New Roman"/>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三、钢结构检测项目/参数能力表（可选）</w:t>
      </w:r>
    </w:p>
    <w:tbl>
      <w:tblPr>
        <w:tblStyle w:val="12"/>
        <w:tblW w:w="5000" w:type="pct"/>
        <w:tblInd w:w="0" w:type="dxa"/>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06"/>
        <w:gridCol w:w="1716"/>
        <w:gridCol w:w="586"/>
        <w:gridCol w:w="1317"/>
        <w:gridCol w:w="3060"/>
        <w:gridCol w:w="418"/>
        <w:gridCol w:w="621"/>
        <w:gridCol w:w="420"/>
      </w:tblGrid>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5000" w:type="pct"/>
            <w:gridSpan w:val="8"/>
            <w:tcBorders>
              <w:top w:val="nil"/>
              <w:left w:val="nil"/>
              <w:bottom w:val="single" w:color="auto" w:sz="4" w:space="0"/>
              <w:right w:val="nil"/>
              <w:tl2br w:val="nil"/>
              <w:tr2bl w:val="nil"/>
            </w:tcBorders>
            <w:shd w:val="clear" w:color="auto" w:fill="auto"/>
            <w:vAlign w:val="center"/>
          </w:tcPr>
          <w:p>
            <w:pPr>
              <w:widowControl/>
              <w:ind w:firstLine="240" w:firstLineChars="100"/>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34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98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检测项目</w:t>
            </w:r>
          </w:p>
        </w:tc>
        <w:tc>
          <w:tcPr>
            <w:tcW w:w="108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检测参数</w:t>
            </w:r>
          </w:p>
        </w:tc>
        <w:tc>
          <w:tcPr>
            <w:tcW w:w="175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检测标准</w:t>
            </w:r>
          </w:p>
        </w:tc>
        <w:tc>
          <w:tcPr>
            <w:tcW w:w="59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确认结果</w:t>
            </w:r>
          </w:p>
        </w:tc>
        <w:tc>
          <w:tcPr>
            <w:tcW w:w="23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说明</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347" w:type="pct"/>
            <w:vMerge w:val="continue"/>
            <w:tcBorders>
              <w:top w:val="single" w:color="auto" w:sz="4" w:space="0"/>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5"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753"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名称</w:t>
            </w:r>
          </w:p>
        </w:tc>
        <w:tc>
          <w:tcPr>
            <w:tcW w:w="1750"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（方法）</w:t>
            </w:r>
          </w:p>
        </w:tc>
        <w:tc>
          <w:tcPr>
            <w:tcW w:w="239"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通过</w:t>
            </w:r>
          </w:p>
        </w:tc>
        <w:tc>
          <w:tcPr>
            <w:tcW w:w="354"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不通过</w:t>
            </w:r>
          </w:p>
        </w:tc>
        <w:tc>
          <w:tcPr>
            <w:tcW w:w="237" w:type="pct"/>
            <w:vMerge w:val="continue"/>
            <w:tcBorders>
              <w:top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w:t>
            </w:r>
          </w:p>
        </w:tc>
        <w:tc>
          <w:tcPr>
            <w:tcW w:w="981"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钢材及焊接材料*</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1.1</w:t>
            </w:r>
          </w:p>
        </w:tc>
        <w:tc>
          <w:tcPr>
            <w:tcW w:w="753"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断面收缩率*</w:t>
            </w:r>
          </w:p>
        </w:tc>
        <w:tc>
          <w:tcPr>
            <w:tcW w:w="1750" w:type="pct"/>
            <w:tcBorders>
              <w:tl2br w:val="nil"/>
              <w:tr2bl w:val="nil"/>
            </w:tcBorders>
            <w:shd w:val="clear" w:color="auto" w:fill="auto"/>
            <w:vAlign w:val="center"/>
          </w:tcPr>
          <w:p>
            <w:pPr>
              <w:widowControl/>
              <w:jc w:val="left"/>
              <w:textAlignment w:val="top"/>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1.2</w:t>
            </w:r>
          </w:p>
        </w:tc>
        <w:tc>
          <w:tcPr>
            <w:tcW w:w="753"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硬度*</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1.3</w:t>
            </w:r>
          </w:p>
        </w:tc>
        <w:tc>
          <w:tcPr>
            <w:tcW w:w="753"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冲击韧性*</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1.4</w:t>
            </w:r>
          </w:p>
        </w:tc>
        <w:tc>
          <w:tcPr>
            <w:tcW w:w="753"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冷弯性能*</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1.5</w:t>
            </w:r>
          </w:p>
        </w:tc>
        <w:tc>
          <w:tcPr>
            <w:tcW w:w="753"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钢材元素含量（钢材化学分析C、S、P）*</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1.6</w:t>
            </w:r>
          </w:p>
        </w:tc>
        <w:tc>
          <w:tcPr>
            <w:tcW w:w="753"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w:t>
            </w:r>
          </w:p>
        </w:tc>
        <w:tc>
          <w:tcPr>
            <w:tcW w:w="981"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焊缝*</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2.1</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尺寸*</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2.2</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w:t>
            </w:r>
          </w:p>
        </w:tc>
        <w:tc>
          <w:tcPr>
            <w:tcW w:w="981"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钢结构防腐及防火涂装*</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3.1</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涂料粘结强度*</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3.2</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涂料抗压强度*</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3.3</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涂层附着力*</w:t>
            </w:r>
          </w:p>
        </w:tc>
        <w:tc>
          <w:tcPr>
            <w:tcW w:w="1750"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3.4</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w:t>
            </w:r>
          </w:p>
        </w:tc>
        <w:tc>
          <w:tcPr>
            <w:tcW w:w="981"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高强度螺栓及普通紧固件*</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4.1</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紧固轴力*</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4.2</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扭矩系数*</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4.3</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最小拉力载荷（普通紧固件）*</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4.4</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w:t>
            </w:r>
          </w:p>
        </w:tc>
        <w:tc>
          <w:tcPr>
            <w:tcW w:w="981"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构件位置与尺寸*</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5.1</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垂直度*</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5.2</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弯曲矢高*</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5.3</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侧向弯曲*</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4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5.4</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结构挠度*</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restart"/>
            <w:tcBorders>
              <w:top w:val="single" w:color="auto" w:sz="4" w:space="0"/>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w:t>
            </w:r>
          </w:p>
        </w:tc>
        <w:tc>
          <w:tcPr>
            <w:tcW w:w="981" w:type="pct"/>
            <w:vMerge w:val="restart"/>
            <w:tcBorders>
              <w:top w:val="single" w:color="auto" w:sz="4" w:space="0"/>
              <w:tl2br w:val="nil"/>
              <w:tr2bl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构件位置与尺寸*</w:t>
            </w:r>
          </w:p>
        </w:tc>
        <w:tc>
          <w:tcPr>
            <w:tcW w:w="335"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5.4</w:t>
            </w:r>
          </w:p>
        </w:tc>
        <w:tc>
          <w:tcPr>
            <w:tcW w:w="753" w:type="pct"/>
            <w:tcBorders>
              <w:top w:val="single" w:color="auto" w:sz="4" w:space="0"/>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结构挠度*</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5.5</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轴线位置*</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5.6</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标高*</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5.7</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截面尺寸*</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5.8</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w:t>
            </w:r>
          </w:p>
        </w:tc>
        <w:tc>
          <w:tcPr>
            <w:tcW w:w="981"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结构构件性能*</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6.1</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静载试验*</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6.2</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动力测试*</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6.3</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w:t>
            </w:r>
          </w:p>
        </w:tc>
        <w:tc>
          <w:tcPr>
            <w:tcW w:w="981" w:type="pct"/>
            <w:vMerge w:val="restar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金属屋面*</w:t>
            </w: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7.1</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静态压力抗风掀*</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7.2</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动态压力抗风掀 *</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981"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7.3</w:t>
            </w: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4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w:t>
            </w:r>
          </w:p>
        </w:tc>
        <w:tc>
          <w:tcPr>
            <w:tcW w:w="981"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335"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75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1750"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239"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354"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c>
          <w:tcPr>
            <w:tcW w:w="237"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bl>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四、地基基础检测项目/参数能力表（必选）</w:t>
      </w:r>
    </w:p>
    <w:tbl>
      <w:tblPr>
        <w:tblStyle w:val="1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autofit"/>
        <w:tblCellMar>
          <w:top w:w="0" w:type="dxa"/>
          <w:left w:w="108" w:type="dxa"/>
          <w:bottom w:w="0" w:type="dxa"/>
          <w:right w:w="108" w:type="dxa"/>
        </w:tblCellMar>
      </w:tblPr>
      <w:tblGrid>
        <w:gridCol w:w="523"/>
        <w:gridCol w:w="1055"/>
        <w:gridCol w:w="535"/>
        <w:gridCol w:w="444"/>
        <w:gridCol w:w="862"/>
        <w:gridCol w:w="3515"/>
        <w:gridCol w:w="565"/>
        <w:gridCol w:w="701"/>
        <w:gridCol w:w="5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340" w:hRule="atLeast"/>
          <w:tblHeader/>
        </w:trPr>
        <w:tc>
          <w:tcPr>
            <w:tcW w:w="5000" w:type="pct"/>
            <w:gridSpan w:val="9"/>
            <w:tcBorders>
              <w:top w:val="nil"/>
              <w:left w:val="nil"/>
              <w:bottom w:val="single" w:color="auto" w:sz="4" w:space="0"/>
              <w:right w:val="nil"/>
              <w:tl2br w:val="nil"/>
              <w:tr2bl w:val="nil"/>
            </w:tcBorders>
            <w:shd w:val="clear" w:color="auto" w:fill="auto"/>
            <w:vAlign w:val="center"/>
          </w:tcPr>
          <w:p>
            <w:pPr>
              <w:widowControl/>
              <w:ind w:firstLine="240" w:firstLineChars="100"/>
              <w:textAlignment w:val="center"/>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272" w:hRule="atLeast"/>
          <w:tblHeader/>
        </w:trPr>
        <w:tc>
          <w:tcPr>
            <w:tcW w:w="30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60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检测项目</w:t>
            </w:r>
          </w:p>
        </w:tc>
        <w:tc>
          <w:tcPr>
            <w:tcW w:w="1045"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检测参数</w:t>
            </w:r>
          </w:p>
        </w:tc>
        <w:tc>
          <w:tcPr>
            <w:tcW w:w="201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检测标准</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（方法）</w:t>
            </w:r>
          </w:p>
        </w:tc>
        <w:tc>
          <w:tcPr>
            <w:tcW w:w="726"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确认结果</w:t>
            </w:r>
          </w:p>
        </w:tc>
        <w:tc>
          <w:tcPr>
            <w:tcW w:w="31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272" w:hRule="atLeast"/>
          <w:tblHeader/>
        </w:trPr>
        <w:tc>
          <w:tcPr>
            <w:tcW w:w="301" w:type="pct"/>
            <w:vMerge w:val="continue"/>
            <w:tcBorders>
              <w:top w:val="single" w:color="auto" w:sz="4" w:space="0"/>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749" w:type="pct"/>
            <w:gridSpan w:val="2"/>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名称</w:t>
            </w:r>
          </w:p>
        </w:tc>
        <w:tc>
          <w:tcPr>
            <w:tcW w:w="2011" w:type="pct"/>
            <w:vMerge w:val="continue"/>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324"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通过</w:t>
            </w:r>
          </w:p>
        </w:tc>
        <w:tc>
          <w:tcPr>
            <w:tcW w:w="401"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不通过</w:t>
            </w:r>
          </w:p>
        </w:tc>
        <w:tc>
          <w:tcPr>
            <w:tcW w:w="310" w:type="pct"/>
            <w:vMerge w:val="continue"/>
            <w:tcBorders>
              <w:top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w:t>
            </w:r>
          </w:p>
        </w:tc>
        <w:tc>
          <w:tcPr>
            <w:tcW w:w="60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地基及复合地基</w:t>
            </w:r>
          </w:p>
        </w:tc>
        <w:tc>
          <w:tcPr>
            <w:tcW w:w="2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1.1</w:t>
            </w:r>
          </w:p>
        </w:tc>
        <w:tc>
          <w:tcPr>
            <w:tcW w:w="25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承载力</w:t>
            </w: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静载试验</w:t>
            </w:r>
          </w:p>
        </w:tc>
        <w:tc>
          <w:tcPr>
            <w:tcW w:w="2011"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1.2</w:t>
            </w:r>
          </w:p>
        </w:tc>
        <w:tc>
          <w:tcPr>
            <w:tcW w:w="25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动力触探试验</w:t>
            </w:r>
          </w:p>
        </w:tc>
        <w:tc>
          <w:tcPr>
            <w:tcW w:w="2011" w:type="pct"/>
            <w:tcBorders>
              <w:tl2br w:val="nil"/>
              <w:tr2bl w:val="nil"/>
            </w:tcBorders>
            <w:shd w:val="clear" w:color="auto" w:fill="auto"/>
            <w:vAlign w:val="center"/>
          </w:tcPr>
          <w:p>
            <w:pPr>
              <w:rPr>
                <w:rFonts w:hint="default" w:ascii="Times New Roman" w:hAnsi="Times New Roman" w:eastAsia="宋体" w:cs="Times New Roman"/>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w:t>
            </w:r>
          </w:p>
        </w:tc>
        <w:tc>
          <w:tcPr>
            <w:tcW w:w="60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桩的承载力</w:t>
            </w:r>
          </w:p>
        </w:tc>
        <w:tc>
          <w:tcPr>
            <w:tcW w:w="2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2.1</w:t>
            </w:r>
          </w:p>
        </w:tc>
        <w:tc>
          <w:tcPr>
            <w:tcW w:w="25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水平承载力</w:t>
            </w: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静载试验</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2.2</w:t>
            </w:r>
          </w:p>
        </w:tc>
        <w:tc>
          <w:tcPr>
            <w:tcW w:w="25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竖向抗压承载力</w:t>
            </w: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静载试验</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FF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5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自平衡</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5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高应变法</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2.3</w:t>
            </w:r>
          </w:p>
        </w:tc>
        <w:tc>
          <w:tcPr>
            <w:tcW w:w="25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竖向抗拔承载力</w:t>
            </w: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静载试验</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301"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w:t>
            </w:r>
          </w:p>
        </w:tc>
        <w:tc>
          <w:tcPr>
            <w:tcW w:w="60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桩身完整性</w:t>
            </w:r>
          </w:p>
        </w:tc>
        <w:tc>
          <w:tcPr>
            <w:tcW w:w="296"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3.1</w:t>
            </w:r>
          </w:p>
        </w:tc>
        <w:tc>
          <w:tcPr>
            <w:tcW w:w="255" w:type="pct"/>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桩身完整性</w:t>
            </w: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低应变法</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5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声波透射法</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FF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301"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60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96"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255"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钻芯法</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30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w:t>
            </w:r>
          </w:p>
        </w:tc>
        <w:tc>
          <w:tcPr>
            <w:tcW w:w="60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锚杆抗拔承载力</w:t>
            </w:r>
          </w:p>
        </w:tc>
        <w:tc>
          <w:tcPr>
            <w:tcW w:w="2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4.1</w:t>
            </w:r>
          </w:p>
        </w:tc>
        <w:tc>
          <w:tcPr>
            <w:tcW w:w="255"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锚杆抗拔承载力</w:t>
            </w:r>
          </w:p>
        </w:tc>
        <w:tc>
          <w:tcPr>
            <w:tcW w:w="4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拉拔试验</w:t>
            </w:r>
          </w:p>
        </w:tc>
        <w:tc>
          <w:tcPr>
            <w:tcW w:w="2011" w:type="pct"/>
            <w:tcBorders>
              <w:tl2br w:val="nil"/>
              <w:tr2bl w:val="nil"/>
            </w:tcBorders>
            <w:shd w:val="clear" w:color="auto" w:fill="auto"/>
            <w:vAlign w:val="center"/>
          </w:tcPr>
          <w:p>
            <w:pPr>
              <w:rPr>
                <w:rFonts w:hint="default" w:ascii="Times New Roman" w:hAnsi="Times New Roman" w:eastAsia="宋体" w:cs="Times New Roman"/>
                <w:color w:val="000000"/>
                <w:kern w:val="0"/>
                <w:sz w:val="20"/>
                <w:szCs w:val="20"/>
              </w:rPr>
            </w:pPr>
          </w:p>
        </w:tc>
        <w:tc>
          <w:tcPr>
            <w:tcW w:w="324"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01"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10" w:type="pct"/>
            <w:tcBorders>
              <w:tl2br w:val="nil"/>
              <w:tr2bl w:val="nil"/>
            </w:tcBorders>
            <w:shd w:val="clear" w:color="auto" w:fill="auto"/>
            <w:vAlign w:val="center"/>
          </w:tcPr>
          <w:p>
            <w:pPr>
              <w:rPr>
                <w:rFonts w:hint="default" w:ascii="Times New Roman" w:hAnsi="Times New Roman" w:eastAsia="宋体" w:cs="Times New Roman"/>
                <w:color w:val="000000"/>
                <w:sz w:val="22"/>
              </w:rPr>
            </w:pPr>
          </w:p>
        </w:tc>
      </w:tr>
    </w:tbl>
    <w:p>
      <w:pPr>
        <w:widowControl/>
        <w:shd w:val="clear" w:color="auto" w:fill="FFFFFF"/>
        <w:wordWrap w:val="0"/>
        <w:spacing w:line="440" w:lineRule="atLeast"/>
        <w:ind w:left="1593" w:firstLine="281" w:firstLineChars="100"/>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1593" w:firstLine="281" w:firstLineChars="100"/>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四、地基基础检测项目/参数能力表（可选）</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98"/>
        <w:gridCol w:w="915"/>
        <w:gridCol w:w="581"/>
        <w:gridCol w:w="649"/>
        <w:gridCol w:w="771"/>
        <w:gridCol w:w="3270"/>
        <w:gridCol w:w="623"/>
        <w:gridCol w:w="820"/>
        <w:gridCol w:w="6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8" w:hRule="atLeast"/>
          <w:tblHeader/>
          <w:jc w:val="center"/>
        </w:trPr>
        <w:tc>
          <w:tcPr>
            <w:tcW w:w="5000" w:type="pct"/>
            <w:gridSpan w:val="9"/>
            <w:tcBorders>
              <w:top w:val="nil"/>
              <w:left w:val="nil"/>
              <w:bottom w:val="single" w:color="auto" w:sz="4" w:space="0"/>
              <w:right w:val="nil"/>
              <w:tl2br w:val="nil"/>
              <w:tr2bl w:val="nil"/>
            </w:tcBorders>
            <w:shd w:val="clear" w:color="auto" w:fill="auto"/>
            <w:vAlign w:val="center"/>
          </w:tcPr>
          <w:p>
            <w:pPr>
              <w:widowControl/>
              <w:jc w:val="left"/>
              <w:textAlignment w:val="center"/>
              <w:rPr>
                <w:rStyle w:val="21"/>
                <w:rFonts w:hint="default" w:ascii="Times New Roman" w:hAnsi="Times New Roman" w:cs="Times New Roman"/>
                <w:lang w:bidi="ar"/>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blHeader/>
          <w:jc w:val="center"/>
        </w:trPr>
        <w:tc>
          <w:tcPr>
            <w:tcW w:w="28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序号</w:t>
            </w:r>
          </w:p>
        </w:tc>
        <w:tc>
          <w:tcPr>
            <w:tcW w:w="5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检测</w:t>
            </w:r>
          </w:p>
          <w:p>
            <w:pPr>
              <w:widowControl/>
              <w:jc w:val="center"/>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项目</w:t>
            </w:r>
          </w:p>
        </w:tc>
        <w:tc>
          <w:tcPr>
            <w:tcW w:w="114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400" w:firstLineChars="200"/>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检测参数</w:t>
            </w:r>
          </w:p>
        </w:tc>
        <w:tc>
          <w:tcPr>
            <w:tcW w:w="187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检测标准（方法）</w:t>
            </w:r>
          </w:p>
        </w:tc>
        <w:tc>
          <w:tcPr>
            <w:tcW w:w="825"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确认结果</w:t>
            </w:r>
          </w:p>
        </w:tc>
        <w:tc>
          <w:tcPr>
            <w:tcW w:w="35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285" w:type="pct"/>
            <w:vMerge w:val="continue"/>
            <w:tcBorders>
              <w:top w:val="single" w:color="auto" w:sz="4" w:space="0"/>
              <w:lef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4"/>
              </w:rPr>
            </w:pPr>
          </w:p>
        </w:tc>
        <w:tc>
          <w:tcPr>
            <w:tcW w:w="523" w:type="pct"/>
            <w:vMerge w:val="continue"/>
            <w:tcBorders>
              <w:top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4"/>
              </w:rPr>
            </w:pPr>
          </w:p>
        </w:tc>
        <w:tc>
          <w:tcPr>
            <w:tcW w:w="332"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序号</w:t>
            </w:r>
          </w:p>
        </w:tc>
        <w:tc>
          <w:tcPr>
            <w:tcW w:w="811" w:type="pct"/>
            <w:gridSpan w:val="2"/>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名称</w:t>
            </w:r>
          </w:p>
        </w:tc>
        <w:tc>
          <w:tcPr>
            <w:tcW w:w="1870" w:type="pct"/>
            <w:vMerge w:val="continue"/>
            <w:tcBorders>
              <w:top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4"/>
              </w:rPr>
            </w:pPr>
          </w:p>
        </w:tc>
        <w:tc>
          <w:tcPr>
            <w:tcW w:w="356"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通过</w:t>
            </w:r>
          </w:p>
        </w:tc>
        <w:tc>
          <w:tcPr>
            <w:tcW w:w="468"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4"/>
              </w:rPr>
            </w:pPr>
            <w:r>
              <w:rPr>
                <w:rStyle w:val="21"/>
                <w:rFonts w:hint="default" w:ascii="Times New Roman" w:hAnsi="Times New Roman" w:cs="Times New Roman"/>
                <w:lang w:bidi="ar"/>
              </w:rPr>
              <w:t>不通过</w:t>
            </w:r>
          </w:p>
        </w:tc>
        <w:tc>
          <w:tcPr>
            <w:tcW w:w="350" w:type="pct"/>
            <w:vMerge w:val="continue"/>
            <w:tcBorders>
              <w:top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w:t>
            </w:r>
          </w:p>
        </w:tc>
        <w:tc>
          <w:tcPr>
            <w:tcW w:w="523"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地基及复合地基*</w:t>
            </w:r>
          </w:p>
        </w:tc>
        <w:tc>
          <w:tcPr>
            <w:tcW w:w="33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1.1</w:t>
            </w:r>
          </w:p>
        </w:tc>
        <w:tc>
          <w:tcPr>
            <w:tcW w:w="371" w:type="pct"/>
            <w:vMerge w:val="restart"/>
            <w:tcBorders>
              <w:tl2br w:val="nil"/>
              <w:tr2bl w:val="nil"/>
            </w:tcBorders>
            <w:shd w:val="clear" w:color="auto" w:fill="auto"/>
            <w:vAlign w:val="center"/>
          </w:tcPr>
          <w:p>
            <w:pPr>
              <w:widowControl/>
              <w:jc w:val="center"/>
              <w:textAlignment w:val="center"/>
              <w:rPr>
                <w:rStyle w:val="22"/>
                <w:rFonts w:hint="default" w:ascii="Times New Roman" w:hAnsi="Times New Roman" w:cs="Times New Roman" w:eastAsiaTheme="minorEastAsia"/>
                <w:color w:val="000000" w:themeColor="text1"/>
                <w:lang w:bidi="ar"/>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压实系数</w:t>
            </w:r>
          </w:p>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w:t>
            </w: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环刀法</w:t>
            </w:r>
          </w:p>
        </w:tc>
        <w:tc>
          <w:tcPr>
            <w:tcW w:w="1870"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71"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灌砂法</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71"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其它</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1.2</w:t>
            </w:r>
          </w:p>
        </w:tc>
        <w:tc>
          <w:tcPr>
            <w:tcW w:w="811"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地基土强度*</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1.3</w:t>
            </w:r>
          </w:p>
        </w:tc>
        <w:tc>
          <w:tcPr>
            <w:tcW w:w="371"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密实度*</w:t>
            </w: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动力触探试验</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28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71"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标准贯入试验</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w:t>
            </w:r>
          </w:p>
        </w:tc>
        <w:tc>
          <w:tcPr>
            <w:tcW w:w="523"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地基及复合地基*</w:t>
            </w: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1.4</w:t>
            </w:r>
          </w:p>
        </w:tc>
        <w:tc>
          <w:tcPr>
            <w:tcW w:w="371" w:type="pct"/>
            <w:tcBorders>
              <w:tl2br w:val="nil"/>
              <w:tr2bl w:val="nil"/>
            </w:tcBorders>
            <w:shd w:val="clear" w:color="auto" w:fill="auto"/>
            <w:vAlign w:val="center"/>
          </w:tcPr>
          <w:p>
            <w:pPr>
              <w:widowControl/>
              <w:jc w:val="center"/>
              <w:textAlignment w:val="center"/>
              <w:rPr>
                <w:rStyle w:val="22"/>
                <w:rFonts w:hint="default" w:ascii="Times New Roman" w:hAnsi="Times New Roman" w:cs="Times New Roman" w:eastAsiaTheme="minorEastAsia"/>
                <w:color w:val="000000" w:themeColor="text1"/>
                <w:lang w:bidi="ar"/>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变形模量</w:t>
            </w:r>
          </w:p>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w:t>
            </w: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原位测试</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1.5</w:t>
            </w:r>
          </w:p>
        </w:tc>
        <w:tc>
          <w:tcPr>
            <w:tcW w:w="371" w:type="pct"/>
            <w:tcBorders>
              <w:tl2br w:val="nil"/>
              <w:tr2bl w:val="nil"/>
            </w:tcBorders>
            <w:shd w:val="clear" w:color="auto" w:fill="auto"/>
            <w:vAlign w:val="center"/>
          </w:tcPr>
          <w:p>
            <w:pPr>
              <w:widowControl/>
              <w:jc w:val="center"/>
              <w:textAlignment w:val="center"/>
              <w:rPr>
                <w:rStyle w:val="22"/>
                <w:rFonts w:hint="default" w:ascii="Times New Roman" w:hAnsi="Times New Roman" w:cs="Times New Roman" w:eastAsiaTheme="minorEastAsia"/>
                <w:color w:val="000000" w:themeColor="text1"/>
                <w:lang w:bidi="ar"/>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增强体强度</w:t>
            </w:r>
          </w:p>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w:t>
            </w: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钻芯法</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1.6</w:t>
            </w:r>
          </w:p>
        </w:tc>
        <w:tc>
          <w:tcPr>
            <w:tcW w:w="371" w:type="pct"/>
            <w:tcBorders>
              <w:tl2br w:val="nil"/>
              <w:tr2bl w:val="nil"/>
            </w:tcBorders>
            <w:shd w:val="clear" w:color="auto" w:fill="auto"/>
            <w:vAlign w:val="center"/>
          </w:tcPr>
          <w:p>
            <w:pPr>
              <w:widowControl/>
              <w:jc w:val="center"/>
              <w:textAlignment w:val="center"/>
              <w:rPr>
                <w:rStyle w:val="22"/>
                <w:rFonts w:hint="default" w:ascii="Times New Roman" w:hAnsi="Times New Roman" w:cs="Times New Roman" w:eastAsiaTheme="minorEastAsia"/>
                <w:color w:val="000000" w:themeColor="text1"/>
                <w:lang w:bidi="ar"/>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其它</w:t>
            </w:r>
          </w:p>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w:t>
            </w:r>
          </w:p>
        </w:tc>
        <w:tc>
          <w:tcPr>
            <w:tcW w:w="439" w:type="pct"/>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w:t>
            </w:r>
          </w:p>
        </w:tc>
        <w:tc>
          <w:tcPr>
            <w:tcW w:w="523"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地下连续墙*</w:t>
            </w:r>
          </w:p>
        </w:tc>
        <w:tc>
          <w:tcPr>
            <w:tcW w:w="332"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3.1</w:t>
            </w:r>
          </w:p>
        </w:tc>
        <w:tc>
          <w:tcPr>
            <w:tcW w:w="371"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墙身完整性</w:t>
            </w:r>
          </w:p>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声波透射法</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71"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钻芯法</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3.2</w:t>
            </w:r>
          </w:p>
        </w:tc>
        <w:tc>
          <w:tcPr>
            <w:tcW w:w="371"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墙身混凝土强度*</w:t>
            </w:r>
          </w:p>
        </w:tc>
        <w:tc>
          <w:tcPr>
            <w:tcW w:w="43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钻芯法</w:t>
            </w: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52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332"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3.3</w:t>
            </w:r>
          </w:p>
        </w:tc>
        <w:tc>
          <w:tcPr>
            <w:tcW w:w="371" w:type="pct"/>
            <w:tcBorders>
              <w:tl2br w:val="nil"/>
              <w:tr2bl w:val="nil"/>
            </w:tcBorders>
            <w:shd w:val="clear" w:color="auto" w:fill="auto"/>
            <w:vAlign w:val="center"/>
          </w:tcPr>
          <w:p>
            <w:pPr>
              <w:widowControl/>
              <w:jc w:val="center"/>
              <w:textAlignment w:val="center"/>
              <w:rPr>
                <w:rStyle w:val="22"/>
                <w:rFonts w:hint="default" w:ascii="Times New Roman" w:hAnsi="Times New Roman" w:cs="Times New Roman" w:eastAsiaTheme="minorEastAsia"/>
                <w:color w:val="000000" w:themeColor="text1"/>
                <w:lang w:bidi="ar"/>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其它</w:t>
            </w:r>
          </w:p>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w:t>
            </w:r>
          </w:p>
        </w:tc>
        <w:tc>
          <w:tcPr>
            <w:tcW w:w="439" w:type="pct"/>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187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285"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w:t>
            </w:r>
          </w:p>
        </w:tc>
        <w:tc>
          <w:tcPr>
            <w:tcW w:w="523"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22"/>
                <w:rFonts w:hint="default" w:ascii="Times New Roman" w:hAnsi="Times New Roman" w:cs="Times New Roman" w:eastAsiaTheme="minorEastAsia"/>
                <w:color w:val="000000" w:themeColor="text1"/>
                <w:lang w:bidi="ar"/>
                <w14:textFill>
                  <w14:solidFill>
                    <w14:schemeClr w14:val="tx1"/>
                  </w14:solidFill>
                </w14:textFill>
              </w:rPr>
              <w:t>其它*</w:t>
            </w:r>
          </w:p>
        </w:tc>
        <w:tc>
          <w:tcPr>
            <w:tcW w:w="332" w:type="pct"/>
            <w:vMerge w:val="restar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71" w:type="pct"/>
            <w:vMerge w:val="restart"/>
            <w:tcBorders>
              <w:tl2br w:val="nil"/>
              <w:tr2bl w:val="nil"/>
            </w:tcBorders>
            <w:shd w:val="clear" w:color="auto" w:fill="auto"/>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439"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p>
        </w:tc>
        <w:tc>
          <w:tcPr>
            <w:tcW w:w="1870" w:type="pct"/>
            <w:vMerge w:val="restar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6" w:type="pct"/>
            <w:vMerge w:val="restar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468" w:type="pct"/>
            <w:vMerge w:val="restart"/>
            <w:tcBorders>
              <w:tl2br w:val="nil"/>
              <w:tr2bl w:val="nil"/>
            </w:tcBorders>
            <w:shd w:val="clear" w:color="auto" w:fill="auto"/>
            <w:vAlign w:val="center"/>
          </w:tcPr>
          <w:p>
            <w:pPr>
              <w:jc w:val="left"/>
              <w:rPr>
                <w:rFonts w:hint="default" w:ascii="Times New Roman" w:hAnsi="Times New Roman" w:cs="Times New Roman"/>
                <w:color w:val="000000" w:themeColor="text1"/>
                <w:sz w:val="20"/>
                <w:szCs w:val="20"/>
                <w14:textFill>
                  <w14:solidFill>
                    <w14:schemeClr w14:val="tx1"/>
                  </w14:solidFill>
                </w14:textFill>
              </w:rPr>
            </w:pPr>
          </w:p>
        </w:tc>
        <w:tc>
          <w:tcPr>
            <w:tcW w:w="350" w:type="pct"/>
            <w:vMerge w:val="restart"/>
            <w:tcBorders>
              <w:tl2br w:val="nil"/>
              <w:tr2bl w:val="nil"/>
            </w:tcBorders>
            <w:shd w:val="clear" w:color="auto" w:fill="auto"/>
            <w:noWrap/>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285"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52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71"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39"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1870"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56"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68"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50" w:type="pct"/>
            <w:vMerge w:val="continue"/>
            <w:tcBorders>
              <w:tl2br w:val="nil"/>
              <w:tr2bl w:val="nil"/>
            </w:tcBorders>
            <w:shd w:val="clear" w:color="auto" w:fill="auto"/>
            <w:noWrap/>
            <w:vAlign w:val="center"/>
          </w:tcPr>
          <w:p>
            <w:pPr>
              <w:rPr>
                <w:rFonts w:hint="default" w:ascii="Times New Roman" w:hAnsi="Times New Roman" w:eastAsia="宋体" w:cs="Times New Roman"/>
                <w:color w:val="000000"/>
                <w:sz w:val="22"/>
              </w:rPr>
            </w:pPr>
          </w:p>
        </w:tc>
      </w:tr>
    </w:tbl>
    <w:p>
      <w:pPr>
        <w:rPr>
          <w:rFonts w:hint="default" w:ascii="Times New Roman" w:hAnsi="Times New Roman" w:cs="Times New Roman"/>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五、建筑节能检测项目/参数能力表(必选)</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45"/>
        <w:gridCol w:w="659"/>
        <w:gridCol w:w="715"/>
        <w:gridCol w:w="951"/>
        <w:gridCol w:w="3566"/>
        <w:gridCol w:w="645"/>
        <w:gridCol w:w="814"/>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jc w:val="center"/>
        </w:trPr>
        <w:tc>
          <w:tcPr>
            <w:tcW w:w="5000" w:type="pct"/>
            <w:gridSpan w:val="8"/>
            <w:tcBorders>
              <w:top w:val="nil"/>
              <w:left w:val="nil"/>
              <w:bottom w:val="single" w:color="auto" w:sz="4" w:space="0"/>
              <w:right w:val="nil"/>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jc w:val="center"/>
        </w:trPr>
        <w:tc>
          <w:tcPr>
            <w:tcW w:w="36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37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检测项目</w:t>
            </w:r>
          </w:p>
        </w:tc>
        <w:tc>
          <w:tcPr>
            <w:tcW w:w="953"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检测参数</w:t>
            </w:r>
          </w:p>
        </w:tc>
        <w:tc>
          <w:tcPr>
            <w:tcW w:w="203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（方法）</w:t>
            </w:r>
          </w:p>
        </w:tc>
        <w:tc>
          <w:tcPr>
            <w:tcW w:w="83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确认结果</w:t>
            </w:r>
          </w:p>
        </w:tc>
        <w:tc>
          <w:tcPr>
            <w:tcW w:w="42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jc w:val="center"/>
        </w:trPr>
        <w:tc>
          <w:tcPr>
            <w:tcW w:w="36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377"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54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名称</w:t>
            </w:r>
          </w:p>
        </w:tc>
        <w:tc>
          <w:tcPr>
            <w:tcW w:w="203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36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w:t>
            </w:r>
          </w:p>
        </w:tc>
        <w:tc>
          <w:tcPr>
            <w:tcW w:w="46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不通过</w:t>
            </w:r>
          </w:p>
        </w:tc>
        <w:tc>
          <w:tcPr>
            <w:tcW w:w="42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jc w:val="center"/>
        </w:trPr>
        <w:tc>
          <w:tcPr>
            <w:tcW w:w="36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37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保温、绝热材料</w:t>
            </w:r>
          </w:p>
        </w:tc>
        <w:tc>
          <w:tcPr>
            <w:tcW w:w="40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54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导热系数或热阻</w:t>
            </w:r>
          </w:p>
        </w:tc>
        <w:tc>
          <w:tcPr>
            <w:tcW w:w="20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5" w:hRule="atLeast"/>
          <w:jc w:val="center"/>
        </w:trPr>
        <w:tc>
          <w:tcPr>
            <w:tcW w:w="36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54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密度（表观密度、芯密度、干密度、体积密度、块体密度）</w:t>
            </w:r>
          </w:p>
        </w:tc>
        <w:tc>
          <w:tcPr>
            <w:tcW w:w="20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op w:val="single" w:color="auto" w:sz="4" w:space="0"/>
              <w:lef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op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543"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压缩强度或抗压强度</w:t>
            </w:r>
          </w:p>
        </w:tc>
        <w:tc>
          <w:tcPr>
            <w:tcW w:w="2039"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69" w:type="pct"/>
            <w:vMerge w:val="continue"/>
            <w:tcBorders>
              <w:lef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垂直于板面方向的抗拉强度（垂直于表面抗拉强度、抗拉强度）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5" w:hRule="atLeast"/>
          <w:jc w:val="center"/>
        </w:trPr>
        <w:tc>
          <w:tcPr>
            <w:tcW w:w="369" w:type="pct"/>
            <w:vMerge w:val="continue"/>
            <w:tcBorders>
              <w:lef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1.5</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吸水率（质量吸水率、体积吸水率、质量吸湿率、体积吸湿率、吸湿率、表面吸水量）</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jc w:val="center"/>
        </w:trPr>
        <w:tc>
          <w:tcPr>
            <w:tcW w:w="369" w:type="pct"/>
            <w:vMerge w:val="continue"/>
            <w:tcBorders>
              <w:lef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1.6</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传热系数及热阻</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69" w:type="pct"/>
            <w:vMerge w:val="restart"/>
            <w:tcBorders>
              <w:top w:val="single" w:color="auto" w:sz="4" w:space="0"/>
              <w:left w:val="single" w:color="auto" w:sz="4" w:space="0"/>
              <w:tl2br w:val="nil"/>
              <w:tr2bl w:val="nil"/>
            </w:tcBorders>
            <w:shd w:val="clear" w:color="auto" w:fill="auto"/>
            <w:vAlign w:val="center"/>
          </w:tcPr>
          <w:p>
            <w:pPr>
              <w:widowControl/>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377"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保温、绝热材料</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1.7</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单位面积质量</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69" w:type="pct"/>
            <w:vMerge w:val="continue"/>
            <w:tcBorders>
              <w:lef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拉伸粘结强度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69" w:type="pc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377"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粘接材料</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拉伸粘接强度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2" w:hRule="atLeast"/>
          <w:jc w:val="center"/>
        </w:trPr>
        <w:tc>
          <w:tcPr>
            <w:tcW w:w="369" w:type="pct"/>
            <w:vMerge w:val="restart"/>
            <w:tcBorders>
              <w:tl2br w:val="nil"/>
              <w:tr2bl w:val="nil"/>
            </w:tcBorders>
            <w:shd w:val="clear" w:color="auto" w:fill="auto"/>
            <w:vAlign w:val="center"/>
          </w:tcPr>
          <w:p>
            <w:pPr>
              <w:widowControl/>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37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增强加固材料</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力学性能（玻纤网格布：断裂强力；热镀锌电焊网：焊点抗拉力，锚栓：抗拉承载力标准值；锚固件：拉拔力标准值、悬挂力）</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9" w:hRule="atLeast"/>
          <w:jc w:val="center"/>
        </w:trPr>
        <w:tc>
          <w:tcPr>
            <w:tcW w:w="369"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抗腐蚀性能（玻纤网格布：耐碱断裂强力及耐碱断裂强力保留率、耐碱拉伸断裂强力及耐碱拉伸断裂强力保留率、拉伸断裂强力的保留率；热镀锌电焊网：镀锌层质量）</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37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保温砂浆</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抗压强度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4.2</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干密度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4.3</w:t>
            </w:r>
          </w:p>
        </w:tc>
        <w:tc>
          <w:tcPr>
            <w:tcW w:w="543"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导热系数</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4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37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抹面材料</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拉伸粘结强度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5.2</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压折比(或柔韧性)</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37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隔热型材</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抗拉强度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6.2</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抗剪强度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37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建筑外窗</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气密性能</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7.2</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水密性能</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7.3</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抗风压性能</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restart"/>
            <w:tcBorders>
              <w:tl2br w:val="nil"/>
              <w:tr2bl w:val="nil"/>
            </w:tcBorders>
            <w:shd w:val="clear" w:color="auto" w:fill="auto"/>
            <w:vAlign w:val="center"/>
          </w:tcPr>
          <w:p>
            <w:pPr>
              <w:widowControl/>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377"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节能工程</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外墙节能构造及保温层厚度(钻芯法)</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8.2</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保温板与基层的拉伸粘结强度（系统拉伸粘结强度）</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8.3</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锚固件的锚固力</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8.4</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外窗气密性能</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69" w:type="pc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377"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电线电缆</w:t>
            </w:r>
          </w:p>
        </w:tc>
        <w:tc>
          <w:tcPr>
            <w:tcW w:w="40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9.1</w:t>
            </w:r>
          </w:p>
        </w:tc>
        <w:tc>
          <w:tcPr>
            <w:tcW w:w="54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导体电阻值（导体电阻）</w:t>
            </w:r>
          </w:p>
        </w:tc>
        <w:tc>
          <w:tcPr>
            <w:tcW w:w="2039"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p>
        </w:tc>
        <w:tc>
          <w:tcPr>
            <w:tcW w:w="369"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6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25" w:type="pct"/>
            <w:tcBorders>
              <w:tl2br w:val="nil"/>
              <w:tr2bl w:val="nil"/>
            </w:tcBorders>
            <w:shd w:val="clear" w:color="auto" w:fill="auto"/>
            <w:vAlign w:val="center"/>
          </w:tcPr>
          <w:p>
            <w:pPr>
              <w:rPr>
                <w:rFonts w:hint="default" w:ascii="Times New Roman" w:hAnsi="Times New Roman" w:cs="Times New Roman"/>
                <w:color w:val="000000"/>
                <w:sz w:val="20"/>
                <w:szCs w:val="20"/>
              </w:rPr>
            </w:pPr>
          </w:p>
        </w:tc>
      </w:tr>
    </w:tbl>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五、建筑节能检测项目/参数能力表(可选)</w:t>
      </w:r>
    </w:p>
    <w:tbl>
      <w:tblPr>
        <w:tblStyle w:val="1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19"/>
        <w:gridCol w:w="732"/>
        <w:gridCol w:w="416"/>
        <w:gridCol w:w="853"/>
        <w:gridCol w:w="1031"/>
        <w:gridCol w:w="2886"/>
        <w:gridCol w:w="644"/>
        <w:gridCol w:w="768"/>
        <w:gridCol w:w="7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4" w:hRule="atLeast"/>
          <w:tblHeader/>
        </w:trPr>
        <w:tc>
          <w:tcPr>
            <w:tcW w:w="5000" w:type="pct"/>
            <w:gridSpan w:val="9"/>
            <w:tcBorders>
              <w:top w:val="nil"/>
              <w:left w:val="nil"/>
              <w:bottom w:val="single" w:color="auto" w:sz="4" w:space="0"/>
              <w:right w:val="nil"/>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trPr>
        <w:tc>
          <w:tcPr>
            <w:tcW w:w="35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662" w:type="pct"/>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检测项目</w:t>
            </w:r>
          </w:p>
        </w:tc>
        <w:tc>
          <w:tcPr>
            <w:tcW w:w="10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检测参数</w:t>
            </w:r>
          </w:p>
        </w:tc>
        <w:tc>
          <w:tcPr>
            <w:tcW w:w="165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（方法）</w:t>
            </w:r>
          </w:p>
        </w:tc>
        <w:tc>
          <w:tcPr>
            <w:tcW w:w="817"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确认结果</w:t>
            </w:r>
          </w:p>
        </w:tc>
        <w:tc>
          <w:tcPr>
            <w:tcW w:w="45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blHeader/>
        </w:trPr>
        <w:tc>
          <w:tcPr>
            <w:tcW w:w="35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5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名称</w:t>
            </w:r>
          </w:p>
        </w:tc>
        <w:tc>
          <w:tcPr>
            <w:tcW w:w="165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3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w:t>
            </w:r>
          </w:p>
        </w:tc>
        <w:tc>
          <w:tcPr>
            <w:tcW w:w="44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不通过</w:t>
            </w:r>
          </w:p>
        </w:tc>
        <w:tc>
          <w:tcPr>
            <w:tcW w:w="45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662" w:type="pct"/>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保温、绝热材料*</w:t>
            </w:r>
          </w:p>
        </w:tc>
        <w:tc>
          <w:tcPr>
            <w:tcW w:w="4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5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燃烧性能*（不燃性、燃烧热值、单体燃烧、可燃性、氧指数）</w:t>
            </w:r>
          </w:p>
        </w:tc>
        <w:tc>
          <w:tcPr>
            <w:tcW w:w="165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359" w:type="pct"/>
            <w:vMerge w:val="continue"/>
            <w:tcBorders>
              <w:lef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35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662"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粘接材料*</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662"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增强加固材料*</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网孔中心距偏差*</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钢丝网丝径*</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单位面积质量*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断裂伸长率*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8"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3.5</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662"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保温砂浆*</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剪切强度*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拉伸粘结强度*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662"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抹面材料*</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662"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隔热型材*</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662" w:type="pct"/>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建筑外窗*</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传热系数*</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玻璃的太阳得热系数*</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0"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可见光透射比*</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中空玻璃密封性能*</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7.5</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662" w:type="pct"/>
            <w:gridSpan w:val="2"/>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节能工程*</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室内平均温度*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662" w:type="pct"/>
            <w:gridSpan w:val="2"/>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节能工程*</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风口风量*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通风与空调系统总风量*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风道系统单位风量耗功率</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空调机组水流量*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8.5</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空调系统冷热水*</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8.6</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冷却水循环流量*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8.7</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室外供热管网水力平衡度*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8.8</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室外供热管网热损失率*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8.9</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照度与照明功率密度*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662" w:type="pct"/>
            <w:gridSpan w:val="2"/>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节能工程*</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8.10</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外墙传热系数或热阻*</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8.11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trPr>
        <w:tc>
          <w:tcPr>
            <w:tcW w:w="359"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662" w:type="pct"/>
            <w:gridSpan w:val="2"/>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电线电缆*</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燃烧性能*（不延燃试验）</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662" w:type="pct"/>
            <w:gridSpan w:val="2"/>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反射隔热材料*</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半球发射率*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太阳光反射比*</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662" w:type="pct"/>
            <w:gridSpan w:val="2"/>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424"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供暖</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通风</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空调</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节能</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工程</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用材</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料、</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构件</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和</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设备</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风机</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盘管</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机组</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供冷量*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供热量*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风量*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水阻力*</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11.1.5</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噪声及输入功率*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11.1.6</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采暖</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散热</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器</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11.2.1</w:t>
            </w:r>
          </w:p>
        </w:tc>
        <w:tc>
          <w:tcPr>
            <w:tcW w:w="593"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单位散热量*</w:t>
            </w:r>
          </w:p>
        </w:tc>
        <w:tc>
          <w:tcPr>
            <w:tcW w:w="1655"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93"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1655"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3"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11.2.2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金属热强度*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11.2.3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59"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424"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供暖</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通风</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空调</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节能</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工程</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用材</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料、</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构件</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和</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设备</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绝热</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材料</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11.3.1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导热系数或热阻*</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11.3.2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密度*（表观密度、体积密度）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11.3.3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吸水率*（质量吸水率、体积吸水率、质量吸湿率、体积吸湿率）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11.3.4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424"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配电</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与照</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明节</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能工</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程用</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材料、</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构件</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和设</w:t>
            </w:r>
          </w:p>
        </w:tc>
        <w:tc>
          <w:tcPr>
            <w:tcW w:w="237" w:type="pct"/>
            <w:vMerge w:val="restart"/>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12.1.1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照明光源初始光效*（功率、光通量、平均初始光效）</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12.1.2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424"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配电</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与照</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明节</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能工</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程用</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材料、</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构件</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和设</w:t>
            </w: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照明</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灯具</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12.2.1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镇流器能效值*(电感镇流器效率、电子镇流器效率)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12.2.2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效率或能效*（效能、光输出比）</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12.2.3</w:t>
            </w:r>
          </w:p>
        </w:tc>
        <w:tc>
          <w:tcPr>
            <w:tcW w:w="593"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vMerge w:val="restar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93"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1655"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3"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照明</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设备</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12.3.1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功率*</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（输入功率）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424"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配电</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与照</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明节</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能工</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程用</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材料、</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构件</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和设</w:t>
            </w:r>
          </w:p>
        </w:tc>
        <w:tc>
          <w:tcPr>
            <w:tcW w:w="237" w:type="pct"/>
            <w:vMerge w:val="restart"/>
            <w:tcBorders>
              <w:top w:val="single" w:color="auto" w:sz="4" w:space="0"/>
              <w:tl2br w:val="nil"/>
              <w:tr2bl w:val="nil"/>
            </w:tcBorders>
            <w:shd w:val="clear" w:color="auto" w:fill="auto"/>
            <w:vAlign w:val="center"/>
          </w:tcPr>
          <w:p>
            <w:pPr>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照明</w:t>
            </w:r>
          </w:p>
          <w:p>
            <w:pPr>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设备</w:t>
            </w:r>
          </w:p>
          <w:p>
            <w:pPr>
              <w:jc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12.3.2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功率因数*</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12.3.3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谐波含量值*</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8"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12.3.4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424"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可再</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生能</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源利</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用系</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统*</w:t>
            </w: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太阳</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热器*</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13.1.1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安全性能*</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13.1.2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热性能*</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13.1.3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太阳</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能热</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利用</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集热</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系统</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13.2.1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得热量*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13.2.2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集热效率*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13.2.3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太阳能保证率*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13.2.4</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424"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可再</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生能</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源利</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用系</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统*</w:t>
            </w: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太阳</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能光</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伏组</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件*</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13.3.1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发电功率*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13.3.2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发电效率*（光电转换效率）</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13.3.3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太阳</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能光</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伏发</w:t>
            </w:r>
          </w:p>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电系</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统*</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13.4.1</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年发电量*</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vMerge w:val="restar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13.4.2</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组件背板最高工作</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vMerge w:val="continue"/>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温度*（光伏组件背板表面温度、组件温度）</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359"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24"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237"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13.4.3</w:t>
            </w: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359" w:type="pc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662" w:type="pct"/>
            <w:gridSpan w:val="2"/>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454"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593" w:type="pct"/>
            <w:tcBorders>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1655"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p>
        </w:tc>
        <w:tc>
          <w:tcPr>
            <w:tcW w:w="373"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44"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56" w:type="pct"/>
            <w:tcBorders>
              <w:tl2br w:val="nil"/>
              <w:tr2bl w:val="nil"/>
            </w:tcBorders>
            <w:shd w:val="clear" w:color="auto" w:fill="auto"/>
            <w:vAlign w:val="center"/>
          </w:tcPr>
          <w:p>
            <w:pPr>
              <w:jc w:val="center"/>
              <w:rPr>
                <w:rFonts w:hint="default" w:ascii="Times New Roman" w:hAnsi="Times New Roman" w:cs="Times New Roman"/>
                <w:color w:val="000000"/>
                <w:sz w:val="20"/>
                <w:szCs w:val="20"/>
              </w:rPr>
            </w:pPr>
          </w:p>
        </w:tc>
      </w:tr>
    </w:tbl>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六、建筑幕墙检测项目/参数能力表（必选）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02"/>
        <w:gridCol w:w="603"/>
        <w:gridCol w:w="1138"/>
        <w:gridCol w:w="3573"/>
        <w:gridCol w:w="572"/>
        <w:gridCol w:w="76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5000" w:type="pct"/>
            <w:gridSpan w:val="8"/>
            <w:tcBorders>
              <w:top w:val="nil"/>
              <w:left w:val="nil"/>
              <w:bottom w:val="single" w:color="auto" w:sz="4" w:space="0"/>
              <w:right w:val="nil"/>
            </w:tcBorders>
            <w:vAlign w:val="center"/>
          </w:tcPr>
          <w:p>
            <w:pPr>
              <w:widowControl/>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325"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序号</w:t>
            </w:r>
          </w:p>
        </w:tc>
        <w:tc>
          <w:tcPr>
            <w:tcW w:w="516"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检测项目</w:t>
            </w:r>
          </w:p>
        </w:tc>
        <w:tc>
          <w:tcPr>
            <w:tcW w:w="996" w:type="pct"/>
            <w:gridSpan w:val="2"/>
            <w:tcBorders>
              <w:top w:val="single" w:color="auto" w:sz="4" w:space="0"/>
              <w:bottom w:val="single" w:color="auto" w:sz="4" w:space="0"/>
            </w:tcBorders>
            <w:vAlign w:val="center"/>
          </w:tcPr>
          <w:p>
            <w:pPr>
              <w:widowControl/>
              <w:ind w:firstLine="400" w:firstLineChars="200"/>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检测参数</w:t>
            </w:r>
          </w:p>
        </w:tc>
        <w:tc>
          <w:tcPr>
            <w:tcW w:w="2043" w:type="pct"/>
            <w:vMerge w:val="restar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检测标准</w:t>
            </w:r>
          </w:p>
          <w:p>
            <w:pPr>
              <w:widowControl/>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（方法）</w:t>
            </w:r>
          </w:p>
        </w:tc>
        <w:tc>
          <w:tcPr>
            <w:tcW w:w="764" w:type="pct"/>
            <w:gridSpan w:val="2"/>
            <w:tcBorders>
              <w:top w:val="single" w:color="auto" w:sz="4" w:space="0"/>
              <w:bottom w:val="single" w:color="auto" w:sz="4" w:space="0"/>
            </w:tcBorders>
            <w:vAlign w:val="center"/>
          </w:tcPr>
          <w:p>
            <w:pPr>
              <w:widowControl/>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确认结果</w:t>
            </w:r>
          </w:p>
        </w:tc>
        <w:tc>
          <w:tcPr>
            <w:tcW w:w="353" w:type="pct"/>
            <w:vMerge w:val="restart"/>
            <w:tcBorders>
              <w:top w:val="single" w:color="auto" w:sz="4" w:space="0"/>
              <w:bottom w:val="single" w:color="auto" w:sz="4" w:space="0"/>
            </w:tcBorders>
            <w:vAlign w:val="center"/>
          </w:tcPr>
          <w:p>
            <w:pPr>
              <w:widowControl/>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jc w:val="center"/>
        </w:trPr>
        <w:tc>
          <w:tcPr>
            <w:tcW w:w="325" w:type="pct"/>
            <w:vMerge w:val="continue"/>
            <w:tcBorders>
              <w:top w:val="single" w:color="auto" w:sz="4" w:space="0"/>
            </w:tcBorders>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tcBorders>
              <w:top w:val="single" w:color="auto" w:sz="4" w:space="0"/>
            </w:tcBorders>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tcBorders>
              <w:top w:val="single" w:color="auto" w:sz="4" w:space="0"/>
            </w:tcBorders>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序号</w:t>
            </w:r>
          </w:p>
        </w:tc>
        <w:tc>
          <w:tcPr>
            <w:tcW w:w="650" w:type="pct"/>
            <w:tcBorders>
              <w:top w:val="single" w:color="auto" w:sz="4" w:space="0"/>
            </w:tcBorders>
            <w:vAlign w:val="center"/>
          </w:tcPr>
          <w:p>
            <w:pPr>
              <w:widowControl/>
              <w:ind w:firstLine="400" w:firstLineChars="200"/>
              <w:jc w:val="lef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名称</w:t>
            </w:r>
          </w:p>
        </w:tc>
        <w:tc>
          <w:tcPr>
            <w:tcW w:w="2043" w:type="pct"/>
            <w:vMerge w:val="continue"/>
            <w:tcBorders>
              <w:top w:val="single" w:color="auto" w:sz="4" w:space="0"/>
            </w:tcBorders>
            <w:vAlign w:val="center"/>
          </w:tcPr>
          <w:p>
            <w:pPr>
              <w:widowControl/>
              <w:ind w:firstLine="800" w:firstLineChars="400"/>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tcBorders>
              <w:top w:val="single" w:color="auto" w:sz="4" w:space="0"/>
            </w:tcBorders>
            <w:vAlign w:val="center"/>
          </w:tcPr>
          <w:p>
            <w:pPr>
              <w:widowControl/>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通过</w:t>
            </w:r>
          </w:p>
        </w:tc>
        <w:tc>
          <w:tcPr>
            <w:tcW w:w="437" w:type="pct"/>
            <w:tcBorders>
              <w:top w:val="single" w:color="auto" w:sz="4" w:space="0"/>
            </w:tcBorders>
            <w:vAlign w:val="center"/>
          </w:tcPr>
          <w:p>
            <w:pPr>
              <w:widowControl/>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不通过</w:t>
            </w:r>
          </w:p>
        </w:tc>
        <w:tc>
          <w:tcPr>
            <w:tcW w:w="353" w:type="pct"/>
            <w:vMerge w:val="continue"/>
            <w:tcBorders>
              <w:top w:val="single" w:color="auto" w:sz="4" w:space="0"/>
            </w:tcBorders>
            <w:vAlign w:val="center"/>
          </w:tcPr>
          <w:p>
            <w:pPr>
              <w:widowControl/>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325"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516" w:type="pct"/>
            <w:vMerge w:val="restart"/>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密封胶</w:t>
            </w: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1.1</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邵氏硬度</w:t>
            </w:r>
          </w:p>
        </w:tc>
        <w:tc>
          <w:tcPr>
            <w:tcW w:w="2043" w:type="pct"/>
            <w:vAlign w:val="center"/>
          </w:tcPr>
          <w:p>
            <w:pPr>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1.2</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结构胶标准条件下的拉伸粘结强度</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1.3</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相容性</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1.4</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剥离粘结性</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1.5</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石材用密封胶的污染性</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516" w:type="pct"/>
            <w:vMerge w:val="restart"/>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幕墙玻璃</w:t>
            </w: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2.1</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传热系数</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2.2</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可见光透射比</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太阳得热系数</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2.4</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中空玻璃的密封性能</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w:t>
            </w:r>
          </w:p>
        </w:tc>
        <w:tc>
          <w:tcPr>
            <w:tcW w:w="516" w:type="pct"/>
            <w:vMerge w:val="restart"/>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幕墙</w:t>
            </w: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3.1</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气密性能</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水密性能</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3.3</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抗风压性能</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3.4</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层间变形性能</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516"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45"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3.5</w:t>
            </w:r>
          </w:p>
        </w:tc>
        <w:tc>
          <w:tcPr>
            <w:tcW w:w="650"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后置埋件抗拔承载力</w:t>
            </w:r>
          </w:p>
        </w:tc>
        <w:tc>
          <w:tcPr>
            <w:tcW w:w="2043" w:type="pct"/>
            <w:vAlign w:val="center"/>
          </w:tcPr>
          <w:p>
            <w:pPr>
              <w:widowControl/>
              <w:wordWrap w:val="0"/>
              <w:snapToGrid w:val="0"/>
              <w:spacing w:before="120" w:line="300" w:lineRule="atLeast"/>
              <w:ind w:right="-336" w:rightChars="0"/>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bl>
    <w:p>
      <w:pPr>
        <w:widowControl/>
        <w:shd w:val="clear" w:color="auto" w:fill="FFFFFF"/>
        <w:wordWrap w:val="0"/>
        <w:spacing w:line="440" w:lineRule="atLeast"/>
        <w:ind w:left="594" w:hanging="594"/>
        <w:jc w:val="left"/>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六、建筑幕墙检测项目/参数能力表（可选）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630"/>
        <w:gridCol w:w="630"/>
        <w:gridCol w:w="1196"/>
        <w:gridCol w:w="2760"/>
        <w:gridCol w:w="572"/>
        <w:gridCol w:w="762"/>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5000" w:type="pct"/>
            <w:gridSpan w:val="8"/>
            <w:tcBorders>
              <w:top w:val="nil"/>
              <w:left w:val="nil"/>
              <w:bottom w:val="single" w:color="auto" w:sz="4" w:space="0"/>
              <w:right w:val="nil"/>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324"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序号</w:t>
            </w:r>
          </w:p>
        </w:tc>
        <w:tc>
          <w:tcPr>
            <w:tcW w:w="932" w:type="pct"/>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检测项目</w:t>
            </w:r>
          </w:p>
        </w:tc>
        <w:tc>
          <w:tcPr>
            <w:tcW w:w="1044" w:type="pct"/>
            <w:gridSpan w:val="2"/>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检测参数</w:t>
            </w:r>
          </w:p>
        </w:tc>
        <w:tc>
          <w:tcPr>
            <w:tcW w:w="1578" w:type="pct"/>
            <w:vMerge w:val="restart"/>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检测标准</w:t>
            </w:r>
          </w:p>
          <w:p>
            <w:pPr>
              <w:widowControl/>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（方法）</w:t>
            </w:r>
          </w:p>
        </w:tc>
        <w:tc>
          <w:tcPr>
            <w:tcW w:w="763" w:type="pct"/>
            <w:gridSpan w:val="2"/>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确认结果</w:t>
            </w:r>
          </w:p>
        </w:tc>
        <w:tc>
          <w:tcPr>
            <w:tcW w:w="356" w:type="pct"/>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jc w:val="center"/>
        </w:trPr>
        <w:tc>
          <w:tcPr>
            <w:tcW w:w="324" w:type="pct"/>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序号</w:t>
            </w:r>
          </w:p>
        </w:tc>
        <w:tc>
          <w:tcPr>
            <w:tcW w:w="683" w:type="pct"/>
            <w:tcBorders>
              <w:top w:val="single" w:color="auto" w:sz="4" w:space="0"/>
              <w:bottom w:val="single" w:color="auto" w:sz="4" w:space="0"/>
            </w:tcBorders>
            <w:vAlign w:val="center"/>
          </w:tcPr>
          <w:p>
            <w:pPr>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名称</w:t>
            </w:r>
          </w:p>
        </w:tc>
        <w:tc>
          <w:tcPr>
            <w:tcW w:w="1578" w:type="pct"/>
            <w:vMerge w:val="continue"/>
            <w:tcBorders>
              <w:top w:val="single" w:color="auto" w:sz="4" w:space="0"/>
              <w:bottom w:val="single" w:color="auto" w:sz="4" w:space="0"/>
            </w:tcBorders>
            <w:vAlign w:val="center"/>
          </w:tcPr>
          <w:p>
            <w:pPr>
              <w:widowControl/>
              <w:ind w:firstLine="800" w:firstLineChars="400"/>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通过</w:t>
            </w:r>
          </w:p>
        </w:tc>
        <w:tc>
          <w:tcPr>
            <w:tcW w:w="436" w:type="pc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不通过</w:t>
            </w:r>
          </w:p>
        </w:tc>
        <w:tc>
          <w:tcPr>
            <w:tcW w:w="356" w:type="pct"/>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restart"/>
            <w:tcBorders>
              <w:top w:val="single" w:color="auto" w:sz="4" w:space="0"/>
            </w:tcBorders>
            <w:vAlign w:val="center"/>
          </w:tcPr>
          <w:p>
            <w:pPr>
              <w:widowControl/>
              <w:wordWrap w:val="0"/>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932" w:type="pct"/>
            <w:vMerge w:val="restart"/>
            <w:tcBorders>
              <w:top w:val="single" w:color="auto" w:sz="4" w:space="0"/>
            </w:tcBorders>
            <w:vAlign w:val="center"/>
          </w:tcPr>
          <w:p>
            <w:pPr>
              <w:widowControl/>
              <w:wordWrap w:val="0"/>
              <w:snapToGrid w:val="0"/>
              <w:spacing w:before="120" w:line="300" w:lineRule="atLeast"/>
              <w:ind w:right="-336" w:firstLine="400" w:firstLineChars="2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密封胶*</w:t>
            </w:r>
          </w:p>
        </w:tc>
        <w:tc>
          <w:tcPr>
            <w:tcW w:w="360"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1.1</w:t>
            </w:r>
          </w:p>
        </w:tc>
        <w:tc>
          <w:tcPr>
            <w:tcW w:w="683" w:type="pct"/>
            <w:tcBorders>
              <w:top w:val="single" w:color="auto" w:sz="4" w:space="0"/>
            </w:tcBorders>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耐候胶标准状态下的拉伸模量*</w:t>
            </w:r>
          </w:p>
        </w:tc>
        <w:tc>
          <w:tcPr>
            <w:tcW w:w="1578" w:type="pct"/>
            <w:tcBorders>
              <w:top w:val="single" w:color="auto" w:sz="4" w:space="0"/>
            </w:tcBorders>
            <w:vAlign w:val="center"/>
          </w:tcPr>
          <w:p>
            <w:pPr>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1.2</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石材用密封胶的拉伸模量*</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1.3</w:t>
            </w:r>
          </w:p>
        </w:tc>
        <w:tc>
          <w:tcPr>
            <w:tcW w:w="68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其它*</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widowControl/>
              <w:wordWrap w:val="0"/>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w:t>
            </w:r>
          </w:p>
        </w:tc>
        <w:tc>
          <w:tcPr>
            <w:tcW w:w="932" w:type="pct"/>
            <w:vAlign w:val="center"/>
          </w:tcPr>
          <w:p>
            <w:pPr>
              <w:widowControl/>
              <w:wordWrap w:val="0"/>
              <w:snapToGrid w:val="0"/>
              <w:spacing w:before="120" w:line="300" w:lineRule="atLeast"/>
              <w:ind w:right="-336" w:firstLine="400" w:firstLineChars="2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幕墙玻璃*</w:t>
            </w: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2.1</w:t>
            </w:r>
          </w:p>
        </w:tc>
        <w:tc>
          <w:tcPr>
            <w:tcW w:w="683"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其它*</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restart"/>
            <w:vAlign w:val="center"/>
          </w:tcPr>
          <w:p>
            <w:pPr>
              <w:widowControl/>
              <w:wordWrap w:val="0"/>
              <w:snapToGrid w:val="0"/>
              <w:spacing w:before="120" w:line="300" w:lineRule="atLeast"/>
              <w:ind w:right="-336" w:firstLine="200" w:firstLineChars="1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w:t>
            </w:r>
          </w:p>
        </w:tc>
        <w:tc>
          <w:tcPr>
            <w:tcW w:w="932" w:type="pct"/>
            <w:vMerge w:val="restart"/>
            <w:vAlign w:val="center"/>
          </w:tcPr>
          <w:p>
            <w:pPr>
              <w:widowControl/>
              <w:wordWrap w:val="0"/>
              <w:snapToGrid w:val="0"/>
              <w:spacing w:before="120" w:line="300" w:lineRule="atLeast"/>
              <w:ind w:right="-336" w:firstLine="400" w:firstLineChars="20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幕墙*</w:t>
            </w: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3.1</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保温隔热性能*</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隔声性能*</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3.3</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采光性能*</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3.4</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耐撞击性能*</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3.5</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防火性能*</w:t>
            </w: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24"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932" w:type="pct"/>
            <w:vMerge w:val="continue"/>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3.6</w:t>
            </w: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其它*</w:t>
            </w:r>
          </w:p>
        </w:tc>
        <w:tc>
          <w:tcPr>
            <w:tcW w:w="1578" w:type="pct"/>
            <w:vAlign w:val="center"/>
          </w:tcPr>
          <w:p>
            <w:pPr>
              <w:rPr>
                <w:rFonts w:hint="default" w:ascii="Times New Roman" w:hAnsi="Times New Roman" w:cs="Times New Roman"/>
                <w:color w:val="000000" w:themeColor="text1"/>
                <w:kern w:val="0"/>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Align w:val="center"/>
          </w:tcPr>
          <w:p>
            <w:pPr>
              <w:widowControl/>
              <w:wordWrap w:val="0"/>
              <w:snapToGrid w:val="0"/>
              <w:spacing w:before="120" w:line="300" w:lineRule="atLeast"/>
              <w:ind w:right="-336" w:firstLine="200" w:firstLineChars="100"/>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w:t>
            </w:r>
          </w:p>
        </w:tc>
        <w:tc>
          <w:tcPr>
            <w:tcW w:w="932"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其它*</w:t>
            </w:r>
          </w:p>
        </w:tc>
        <w:tc>
          <w:tcPr>
            <w:tcW w:w="360"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683"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78" w:type="pct"/>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327"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43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c>
          <w:tcPr>
            <w:tcW w:w="356" w:type="pct"/>
            <w:vAlign w:val="center"/>
          </w:tcPr>
          <w:p>
            <w:pPr>
              <w:widowControl/>
              <w:wordWrap w:val="0"/>
              <w:snapToGrid w:val="0"/>
              <w:spacing w:before="120" w:line="300" w:lineRule="atLeast"/>
              <w:ind w:right="-336"/>
              <w:jc w:val="left"/>
              <w:rPr>
                <w:rFonts w:hint="default" w:ascii="Times New Roman" w:hAnsi="Times New Roman" w:cs="Times New Roman"/>
                <w:color w:val="000000" w:themeColor="text1"/>
                <w:kern w:val="0"/>
                <w:sz w:val="20"/>
                <w:szCs w:val="20"/>
                <w14:textFill>
                  <w14:solidFill>
                    <w14:schemeClr w14:val="tx1"/>
                  </w14:solidFill>
                </w14:textFill>
              </w:rPr>
            </w:pPr>
          </w:p>
        </w:tc>
      </w:tr>
    </w:tbl>
    <w:p>
      <w:pPr>
        <w:widowControl/>
        <w:shd w:val="clear" w:color="auto" w:fill="FFFFFF"/>
        <w:wordWrap w:val="0"/>
        <w:spacing w:line="440" w:lineRule="atLeast"/>
        <w:jc w:val="center"/>
        <w:rPr>
          <w:rFonts w:hint="default" w:ascii="Times New Roman" w:hAnsi="Times New Roman" w:eastAsia="宋体" w:cs="Times New Roman"/>
          <w:b/>
          <w:color w:val="000000" w:themeColor="text1"/>
          <w:kern w:val="0"/>
          <w:sz w:val="28"/>
          <w:szCs w:val="28"/>
          <w14:textFill>
            <w14:solidFill>
              <w14:schemeClr w14:val="tx1"/>
            </w14:solidFill>
          </w14:textFill>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color w:val="000000" w:themeColor="text1"/>
          <w:kern w:val="0"/>
          <w:sz w:val="28"/>
          <w:szCs w:val="28"/>
          <w14:textFill>
            <w14:solidFill>
              <w14:schemeClr w14:val="tx1"/>
            </w14:solidFill>
          </w14:textFill>
        </w:rPr>
      </w:pPr>
      <w:r>
        <w:rPr>
          <w:rFonts w:hint="default" w:ascii="Times New Roman" w:hAnsi="Times New Roman" w:eastAsia="宋体" w:cs="Times New Roman"/>
          <w:b/>
          <w:color w:val="000000" w:themeColor="text1"/>
          <w:kern w:val="0"/>
          <w:sz w:val="28"/>
          <w:szCs w:val="28"/>
          <w14:textFill>
            <w14:solidFill>
              <w14:schemeClr w14:val="tx1"/>
            </w14:solidFill>
          </w14:textFill>
        </w:rPr>
        <w:t>七、市政工程材料检测项目/参数能力表（必选）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52"/>
        <w:gridCol w:w="625"/>
        <w:gridCol w:w="980"/>
        <w:gridCol w:w="1127"/>
        <w:gridCol w:w="3012"/>
        <w:gridCol w:w="515"/>
        <w:gridCol w:w="649"/>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5000" w:type="pct"/>
            <w:gridSpan w:val="9"/>
            <w:tcBorders>
              <w:top w:val="nil"/>
              <w:left w:val="nil"/>
              <w:bottom w:val="single" w:color="auto" w:sz="4" w:space="0"/>
              <w:right w:val="nil"/>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326"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序号</w:t>
            </w:r>
          </w:p>
        </w:tc>
        <w:tc>
          <w:tcPr>
            <w:tcW w:w="750" w:type="pct"/>
            <w:gridSpan w:val="2"/>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检测项目</w:t>
            </w:r>
          </w:p>
        </w:tc>
        <w:tc>
          <w:tcPr>
            <w:tcW w:w="1136" w:type="pct"/>
            <w:gridSpan w:val="2"/>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检测参数</w:t>
            </w:r>
          </w:p>
        </w:tc>
        <w:tc>
          <w:tcPr>
            <w:tcW w:w="1732" w:type="pct"/>
            <w:vMerge w:val="restart"/>
            <w:tcBorders>
              <w:top w:val="single" w:color="auto" w:sz="4" w:space="0"/>
              <w:bottom w:val="single" w:color="auto" w:sz="4" w:space="0"/>
            </w:tcBorders>
            <w:vAlign w:val="center"/>
          </w:tcPr>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检测标准</w:t>
            </w:r>
          </w:p>
          <w:p>
            <w:pPr>
              <w:widowControl/>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（方法）</w:t>
            </w:r>
          </w:p>
        </w:tc>
        <w:tc>
          <w:tcPr>
            <w:tcW w:w="685" w:type="pct"/>
            <w:gridSpan w:val="2"/>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确认结果</w:t>
            </w:r>
          </w:p>
        </w:tc>
        <w:tc>
          <w:tcPr>
            <w:tcW w:w="369"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326" w:type="pct"/>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750" w:type="pct"/>
            <w:gridSpan w:val="2"/>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序号</w:t>
            </w:r>
          </w:p>
        </w:tc>
        <w:tc>
          <w:tcPr>
            <w:tcW w:w="654" w:type="pc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名称</w:t>
            </w:r>
          </w:p>
        </w:tc>
        <w:tc>
          <w:tcPr>
            <w:tcW w:w="1732" w:type="pct"/>
            <w:vMerge w:val="continue"/>
            <w:tcBorders>
              <w:top w:val="single" w:color="auto" w:sz="4" w:space="0"/>
              <w:bottom w:val="single" w:color="auto" w:sz="4" w:space="0"/>
            </w:tcBorders>
            <w:vAlign w:val="center"/>
          </w:tcPr>
          <w:p>
            <w:pPr>
              <w:widowControl/>
              <w:ind w:firstLine="800" w:firstLineChars="400"/>
              <w:textAlignment w:val="center"/>
              <w:rPr>
                <w:rFonts w:hint="default" w:ascii="Times New Roman" w:hAnsi="Times New Roman" w:eastAsia="宋体" w:cs="Times New Roman"/>
                <w:color w:val="000000"/>
                <w:kern w:val="0"/>
                <w:sz w:val="20"/>
                <w:szCs w:val="20"/>
                <w:lang w:bidi="ar"/>
              </w:rPr>
            </w:pPr>
          </w:p>
        </w:tc>
        <w:tc>
          <w:tcPr>
            <w:tcW w:w="304" w:type="pc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通过</w:t>
            </w:r>
          </w:p>
        </w:tc>
        <w:tc>
          <w:tcPr>
            <w:tcW w:w="380" w:type="pc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不通过</w:t>
            </w:r>
          </w:p>
        </w:tc>
        <w:tc>
          <w:tcPr>
            <w:tcW w:w="369" w:type="pct"/>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26" w:type="pct"/>
            <w:vMerge w:val="restart"/>
            <w:tcBorders>
              <w:top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w:t>
            </w:r>
          </w:p>
        </w:tc>
        <w:tc>
          <w:tcPr>
            <w:tcW w:w="750" w:type="pct"/>
            <w:gridSpan w:val="2"/>
            <w:vMerge w:val="restart"/>
            <w:tcBorders>
              <w:top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土、无机结合</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稳定材料</w:t>
            </w:r>
          </w:p>
        </w:tc>
        <w:tc>
          <w:tcPr>
            <w:tcW w:w="482" w:type="pct"/>
            <w:tcBorders>
              <w:top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w:t>
            </w:r>
          </w:p>
        </w:tc>
        <w:tc>
          <w:tcPr>
            <w:tcW w:w="654" w:type="pct"/>
            <w:tcBorders>
              <w:top w:val="single" w:color="auto" w:sz="4" w:space="0"/>
            </w:tcBorders>
            <w:vAlign w:val="center"/>
          </w:tcPr>
          <w:p>
            <w:pPr>
              <w:widowControl/>
              <w:shd w:val="clear" w:color="auto" w:fill="FFFFFF"/>
              <w:wordWrap w:val="0"/>
              <w:spacing w:line="440" w:lineRule="atLeast"/>
              <w:ind w:left="594" w:hanging="594"/>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含水率</w:t>
            </w:r>
          </w:p>
        </w:tc>
        <w:tc>
          <w:tcPr>
            <w:tcW w:w="1732" w:type="pct"/>
            <w:tcBorders>
              <w:top w:val="single" w:color="auto" w:sz="4" w:space="0"/>
            </w:tcBorders>
            <w:vAlign w:val="center"/>
          </w:tcPr>
          <w:p>
            <w:pPr>
              <w:jc w:val="left"/>
              <w:rPr>
                <w:rFonts w:hint="default" w:ascii="Times New Roman" w:hAnsi="Times New Roman" w:eastAsia="宋体" w:cs="Times New Roman"/>
                <w:bCs/>
                <w:kern w:val="0"/>
                <w:sz w:val="20"/>
                <w:szCs w:val="20"/>
              </w:rPr>
            </w:pPr>
          </w:p>
        </w:tc>
        <w:tc>
          <w:tcPr>
            <w:tcW w:w="304" w:type="pct"/>
            <w:tcBorders>
              <w:top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tcBorders>
              <w:top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tcBorders>
              <w:top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液限</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color w:val="000000" w:themeColor="text1"/>
                <w:kern w:val="0"/>
                <w:sz w:val="20"/>
                <w:szCs w:val="20"/>
                <w14:textFill>
                  <w14:solidFill>
                    <w14:schemeClr w14:val="tx1"/>
                  </w14:solidFill>
                </w14:textFill>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塑限</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color w:val="000000" w:themeColor="text1"/>
                <w:kern w:val="0"/>
                <w:sz w:val="20"/>
                <w:szCs w:val="20"/>
                <w14:textFill>
                  <w14:solidFill>
                    <w14:schemeClr w14:val="tx1"/>
                  </w14:solidFill>
                </w14:textFill>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击实</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color w:val="000000" w:themeColor="text1"/>
                <w:kern w:val="0"/>
                <w:sz w:val="20"/>
                <w:szCs w:val="20"/>
                <w14:textFill>
                  <w14:solidFill>
                    <w14:schemeClr w14:val="tx1"/>
                  </w14:solidFill>
                </w14:textFill>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粗粒土和巨粒土最大干密度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承载比（CBR）试验</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color w:val="000000" w:themeColor="text1"/>
                <w:kern w:val="0"/>
                <w:sz w:val="20"/>
                <w:szCs w:val="20"/>
                <w14:textFill>
                  <w14:solidFill>
                    <w14:schemeClr w14:val="tx1"/>
                  </w14:solidFill>
                </w14:textFill>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无侧限抗压强度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水泥或石灰剂量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土工合成材料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延伸率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梯形撕裂强度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2</w:t>
            </w:r>
          </w:p>
        </w:tc>
        <w:tc>
          <w:tcPr>
            <w:tcW w:w="750" w:type="pct"/>
            <w:gridSpan w:val="2"/>
            <w:vMerge w:val="restart"/>
            <w:vAlign w:val="center"/>
          </w:tcPr>
          <w:p>
            <w:pPr>
              <w:jc w:val="left"/>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土工合成材料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CBR顶破强力 </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厚度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单位面积质量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掺和料（粉煤</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灰、钢渣）</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SiO</w:t>
            </w:r>
            <w:r>
              <w:rPr>
                <w:rFonts w:hint="default" w:ascii="Times New Roman" w:hAnsi="Times New Roman" w:eastAsia="宋体" w:cs="Times New Roman"/>
                <w:bCs/>
                <w:kern w:val="0"/>
                <w:sz w:val="20"/>
                <w:szCs w:val="20"/>
                <w:vertAlign w:val="subscript"/>
              </w:rPr>
              <w:t>2</w:t>
            </w:r>
            <w:r>
              <w:rPr>
                <w:rFonts w:hint="default" w:ascii="Times New Roman" w:hAnsi="Times New Roman" w:eastAsia="宋体" w:cs="Times New Roman"/>
                <w:bCs/>
                <w:kern w:val="0"/>
                <w:sz w:val="20"/>
                <w:szCs w:val="20"/>
              </w:rPr>
              <w:t>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Al</w:t>
            </w:r>
            <w:r>
              <w:rPr>
                <w:rFonts w:hint="default" w:ascii="Times New Roman" w:hAnsi="Times New Roman" w:eastAsia="宋体" w:cs="Times New Roman"/>
                <w:bCs/>
                <w:kern w:val="0"/>
                <w:sz w:val="20"/>
                <w:szCs w:val="20"/>
                <w:vertAlign w:val="subscript"/>
              </w:rPr>
              <w:t>2</w:t>
            </w:r>
            <w:r>
              <w:rPr>
                <w:rFonts w:hint="default" w:ascii="Times New Roman" w:hAnsi="Times New Roman" w:eastAsia="宋体" w:cs="Times New Roman"/>
                <w:bCs/>
                <w:kern w:val="0"/>
                <w:sz w:val="20"/>
                <w:szCs w:val="20"/>
              </w:rPr>
              <w:t>O</w:t>
            </w:r>
            <w:r>
              <w:rPr>
                <w:rFonts w:hint="default" w:ascii="Times New Roman" w:hAnsi="Times New Roman" w:eastAsia="宋体" w:cs="Times New Roman"/>
                <w:bCs/>
                <w:kern w:val="0"/>
                <w:sz w:val="20"/>
                <w:szCs w:val="20"/>
                <w:vertAlign w:val="subscript"/>
              </w:rPr>
              <w:t>3</w:t>
            </w:r>
            <w:r>
              <w:rPr>
                <w:rFonts w:hint="default" w:ascii="Times New Roman" w:hAnsi="Times New Roman" w:eastAsia="宋体" w:cs="Times New Roman"/>
                <w:bCs/>
                <w:kern w:val="0"/>
                <w:sz w:val="20"/>
                <w:szCs w:val="20"/>
              </w:rPr>
              <w:t>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Fe</w:t>
            </w:r>
            <w:r>
              <w:rPr>
                <w:rFonts w:hint="default" w:ascii="Times New Roman" w:hAnsi="Times New Roman" w:eastAsia="宋体" w:cs="Times New Roman"/>
                <w:bCs/>
                <w:kern w:val="0"/>
                <w:sz w:val="20"/>
                <w:szCs w:val="20"/>
                <w:vertAlign w:val="subscript"/>
              </w:rPr>
              <w:t>2</w:t>
            </w:r>
            <w:r>
              <w:rPr>
                <w:rFonts w:hint="default" w:ascii="Times New Roman" w:hAnsi="Times New Roman" w:eastAsia="宋体" w:cs="Times New Roman"/>
                <w:bCs/>
                <w:kern w:val="0"/>
                <w:sz w:val="20"/>
                <w:szCs w:val="20"/>
              </w:rPr>
              <w:t>O</w:t>
            </w:r>
            <w:r>
              <w:rPr>
                <w:rFonts w:hint="default" w:ascii="Times New Roman" w:hAnsi="Times New Roman" w:eastAsia="宋体" w:cs="Times New Roman"/>
                <w:bCs/>
                <w:kern w:val="0"/>
                <w:sz w:val="20"/>
                <w:szCs w:val="20"/>
                <w:vertAlign w:val="subscript"/>
              </w:rPr>
              <w:t>3</w:t>
            </w:r>
            <w:r>
              <w:rPr>
                <w:rFonts w:hint="default" w:ascii="Times New Roman" w:hAnsi="Times New Roman" w:eastAsia="宋体" w:cs="Times New Roman"/>
                <w:bCs/>
                <w:kern w:val="0"/>
                <w:sz w:val="20"/>
                <w:szCs w:val="20"/>
              </w:rPr>
              <w:t>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烧失量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比表面积</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沥青及乳化</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针入度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highlight w:val="yellow"/>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软化点</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延度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质量变化</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残留针入度比</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残留延度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4.7</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破乳速度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4.8</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标准黏度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4.9</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蒸发残留物</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4.10</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弹性恢复</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w:t>
            </w:r>
          </w:p>
        </w:tc>
        <w:tc>
          <w:tcPr>
            <w:tcW w:w="383"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沥青混</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合料用</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粗集料、</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细集料、</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矿粉、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木质</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素纤维</w:t>
            </w:r>
          </w:p>
          <w:p>
            <w:pPr>
              <w:jc w:val="left"/>
              <w:rPr>
                <w:rFonts w:hint="default" w:ascii="Times New Roman" w:hAnsi="Times New Roman" w:eastAsia="宋体" w:cs="Times New Roman"/>
                <w:bCs/>
                <w:kern w:val="0"/>
                <w:sz w:val="20"/>
                <w:szCs w:val="20"/>
              </w:rPr>
            </w:pPr>
          </w:p>
        </w:tc>
        <w:tc>
          <w:tcPr>
            <w:tcW w:w="367"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压碎值</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洛杉矶磨耗损失</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表观相对密度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吸水率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沥青黏附性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颗粒级配</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表观相对密度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砂当量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颗粒级配</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矿粉</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表观相对密度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亲水系数</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塑性指数</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加热安定性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筛分</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含水率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素</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纤</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维</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5.4.1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长度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5.4.2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灰分含量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5.4.3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吸油率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沥青混合料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马歇尔稳定度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流值</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矿料级配</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油石比</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路面砖及路缘石</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抗折强度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防滑性能</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耐磨性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jc w:val="left"/>
              <w:rPr>
                <w:rFonts w:hint="default" w:ascii="Times New Roman" w:hAnsi="Times New Roman" w:eastAsia="宋体" w:cs="Times New Roman"/>
                <w:bCs/>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8</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检查井盖、水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篦、混凝土模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块、防撞墩、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隔离墩</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8.1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8.2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试验荷载</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8.3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残余变形</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w:t>
            </w:r>
          </w:p>
        </w:tc>
        <w:tc>
          <w:tcPr>
            <w:tcW w:w="750"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水泥</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凝结时间</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安定性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胶砂强度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氯离子含量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w:t>
            </w:r>
          </w:p>
        </w:tc>
        <w:tc>
          <w:tcPr>
            <w:tcW w:w="3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集料</w:t>
            </w:r>
          </w:p>
        </w:tc>
        <w:tc>
          <w:tcPr>
            <w:tcW w:w="367"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颗粒级配</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含泥量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泥块含量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亚甲蓝值与石粉含量</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（人工砂）</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压碎指标（人工砂）</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氯离子含量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10</w:t>
            </w:r>
          </w:p>
        </w:tc>
        <w:tc>
          <w:tcPr>
            <w:tcW w:w="3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骨料、</w:t>
            </w: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集料</w:t>
            </w:r>
          </w:p>
        </w:tc>
        <w:tc>
          <w:tcPr>
            <w:tcW w:w="367"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颗粒级配</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含泥量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泥块含量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压碎值指标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针片状颗粒含量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26"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w:t>
            </w:r>
          </w:p>
        </w:tc>
        <w:tc>
          <w:tcPr>
            <w:tcW w:w="750" w:type="pct"/>
            <w:gridSpan w:val="2"/>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钢筋（含焊接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与机械连接）</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屈服强度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钢筋（含焊接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与机械连接）</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抗拉强度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color w:val="FF0000"/>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color w:val="FF0000"/>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断后伸长率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最大力下总延伸率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反向弯曲</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重量偏差</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jc w:val="left"/>
              <w:rPr>
                <w:rFonts w:hint="default" w:ascii="Times New Roman" w:hAnsi="Times New Roman" w:eastAsia="宋体" w:cs="Times New Roman"/>
                <w:bCs/>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w:t>
            </w:r>
          </w:p>
        </w:tc>
        <w:tc>
          <w:tcPr>
            <w:tcW w:w="750"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钢筋（含焊接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与机械连接）</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重量偏差</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jc w:val="left"/>
              <w:rPr>
                <w:rFonts w:hint="default" w:ascii="Times New Roman" w:hAnsi="Times New Roman" w:eastAsia="宋体" w:cs="Times New Roman"/>
                <w:color w:val="FF0000"/>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11.7</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残余变形</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w:t>
            </w:r>
          </w:p>
        </w:tc>
        <w:tc>
          <w:tcPr>
            <w:tcW w:w="750" w:type="pct"/>
            <w:gridSpan w:val="2"/>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外加剂</w:t>
            </w:r>
          </w:p>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减水率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pH 值</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密度（或细度）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抗压强度比</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凝结时间（差）</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color w:val="00000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含气量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12.7</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固体含量（或含水率）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12.8</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限制膨胀率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12.9</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泌水率比</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12.10</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氯离子含量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w:t>
            </w:r>
          </w:p>
        </w:tc>
        <w:tc>
          <w:tcPr>
            <w:tcW w:w="750" w:type="pct"/>
            <w:gridSpan w:val="2"/>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砂浆</w:t>
            </w:r>
          </w:p>
          <w:p>
            <w:pPr>
              <w:jc w:val="center"/>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稠度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保水率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拉伸粘接强度（抹灰、砌筑）</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w:t>
            </w:r>
          </w:p>
        </w:tc>
        <w:tc>
          <w:tcPr>
            <w:tcW w:w="750"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混凝土</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14.1</w:t>
            </w:r>
          </w:p>
        </w:tc>
        <w:tc>
          <w:tcPr>
            <w:tcW w:w="654"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14.2</w:t>
            </w:r>
          </w:p>
        </w:tc>
        <w:tc>
          <w:tcPr>
            <w:tcW w:w="654"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抗渗等级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750" w:type="pct"/>
            <w:gridSpan w:val="2"/>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14.3</w:t>
            </w:r>
          </w:p>
        </w:tc>
        <w:tc>
          <w:tcPr>
            <w:tcW w:w="654"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坍落度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750" w:type="pct"/>
            <w:gridSpan w:val="2"/>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14.4</w:t>
            </w:r>
          </w:p>
        </w:tc>
        <w:tc>
          <w:tcPr>
            <w:tcW w:w="654"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氯离子含量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w:t>
            </w:r>
          </w:p>
        </w:tc>
        <w:tc>
          <w:tcPr>
            <w:tcW w:w="383" w:type="pct"/>
            <w:vMerge w:val="restart"/>
            <w:vAlign w:val="center"/>
          </w:tcPr>
          <w:p>
            <w:pPr>
              <w:jc w:val="left"/>
              <w:rPr>
                <w:rFonts w:hint="default" w:ascii="Times New Roman" w:hAnsi="Times New Roman" w:eastAsia="宋体" w:cs="Times New Roman"/>
                <w:bCs/>
                <w:kern w:val="0"/>
                <w:sz w:val="20"/>
                <w:szCs w:val="20"/>
              </w:rPr>
            </w:pP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防水材料及防</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水密封材料</w:t>
            </w:r>
          </w:p>
        </w:tc>
        <w:tc>
          <w:tcPr>
            <w:tcW w:w="367"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卷材</w:t>
            </w:r>
          </w:p>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15.1.1</w:t>
            </w:r>
          </w:p>
        </w:tc>
        <w:tc>
          <w:tcPr>
            <w:tcW w:w="654"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可溶物含量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15.1.2</w:t>
            </w:r>
          </w:p>
        </w:tc>
        <w:tc>
          <w:tcPr>
            <w:tcW w:w="654"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拉力</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延伸率（或最大力时延伸率）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低温柔度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jc w:val="center"/>
              <w:rPr>
                <w:rFonts w:hint="default" w:ascii="Times New Roman" w:hAnsi="Times New Roman" w:eastAsia="宋体" w:cs="Times New Roman"/>
                <w:bCs/>
                <w:kern w:val="0"/>
                <w:sz w:val="20"/>
                <w:szCs w:val="20"/>
              </w:rPr>
            </w:pPr>
          </w:p>
        </w:tc>
        <w:tc>
          <w:tcPr>
            <w:tcW w:w="383" w:type="pct"/>
            <w:vMerge w:val="continue"/>
            <w:vAlign w:val="center"/>
          </w:tcPr>
          <w:p>
            <w:pPr>
              <w:jc w:val="left"/>
              <w:rPr>
                <w:rFonts w:hint="default" w:ascii="Times New Roman" w:hAnsi="Times New Roman" w:eastAsia="宋体" w:cs="Times New Roman"/>
                <w:bCs/>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热老化后低温柔度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不透水性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15.1.7</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耐热度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15.1.8</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断裂拉伸强度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restar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15</w:t>
            </w:r>
          </w:p>
        </w:tc>
        <w:tc>
          <w:tcPr>
            <w:tcW w:w="383" w:type="pct"/>
            <w:vMerge w:val="restart"/>
            <w:vAlign w:val="center"/>
          </w:tcPr>
          <w:p>
            <w:pPr>
              <w:jc w:val="left"/>
              <w:rPr>
                <w:rFonts w:hint="default" w:ascii="Times New Roman" w:hAnsi="Times New Roman" w:eastAsia="宋体" w:cs="Times New Roman"/>
                <w:bCs/>
                <w:kern w:val="0"/>
                <w:sz w:val="20"/>
                <w:szCs w:val="20"/>
              </w:rPr>
            </w:pP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防水材料及防</w:t>
            </w:r>
          </w:p>
          <w:p>
            <w:pPr>
              <w:jc w:val="left"/>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水密封材料</w:t>
            </w:r>
          </w:p>
        </w:tc>
        <w:tc>
          <w:tcPr>
            <w:tcW w:w="367"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卷材</w:t>
            </w:r>
          </w:p>
          <w:p>
            <w:pPr>
              <w:jc w:val="left"/>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15.1.9</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断裂伸长率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15.1.10</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撕裂强度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涂料</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固体含量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15.2.2</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拉伸强度</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15.2.3</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耐热性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15.2.4</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低温柔性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15.2.5</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不透水性</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83" w:type="pct"/>
            <w:vMerge w:val="continue"/>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7" w:type="pct"/>
            <w:vMerge w:val="continue"/>
            <w:vAlign w:val="center"/>
          </w:tcPr>
          <w:p>
            <w:pPr>
              <w:jc w:val="left"/>
              <w:rPr>
                <w:rFonts w:hint="default" w:ascii="Times New Roman" w:hAnsi="Times New Roman" w:eastAsia="宋体" w:cs="Times New Roman"/>
                <w:bCs/>
                <w:kern w:val="0"/>
                <w:sz w:val="20"/>
                <w:szCs w:val="20"/>
              </w:rPr>
            </w:pP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15.2.6</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断裂伸长率</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26"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w:t>
            </w:r>
          </w:p>
        </w:tc>
        <w:tc>
          <w:tcPr>
            <w:tcW w:w="750" w:type="pct"/>
            <w:gridSpan w:val="2"/>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w:t>
            </w:r>
          </w:p>
        </w:tc>
        <w:tc>
          <w:tcPr>
            <w:tcW w:w="482"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16.1</w:t>
            </w:r>
          </w:p>
        </w:tc>
        <w:tc>
          <w:tcPr>
            <w:tcW w:w="654"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氯离子含量</w:t>
            </w:r>
          </w:p>
        </w:tc>
        <w:tc>
          <w:tcPr>
            <w:tcW w:w="1732" w:type="pct"/>
            <w:vAlign w:val="center"/>
          </w:tcPr>
          <w:p>
            <w:pPr>
              <w:widowControl/>
              <w:wordWrap w:val="0"/>
              <w:snapToGrid w:val="0"/>
              <w:spacing w:before="120" w:line="300" w:lineRule="atLeast"/>
              <w:ind w:right="-336" w:rightChars="0"/>
              <w:rPr>
                <w:rFonts w:hint="default" w:ascii="Times New Roman" w:hAnsi="Times New Roman" w:eastAsia="宋体" w:cs="Times New Roman"/>
                <w:bCs/>
                <w:kern w:val="0"/>
                <w:sz w:val="20"/>
                <w:szCs w:val="20"/>
              </w:rPr>
            </w:pPr>
          </w:p>
        </w:tc>
        <w:tc>
          <w:tcPr>
            <w:tcW w:w="304"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80"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369"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r>
    </w:tbl>
    <w:p>
      <w:pPr>
        <w:rPr>
          <w:rFonts w:hint="default" w:ascii="Times New Roman" w:hAnsi="Times New Roman" w:cs="Times New Roman"/>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cs="Times New Roman"/>
        </w:rPr>
      </w:pPr>
      <w:r>
        <w:rPr>
          <w:rFonts w:hint="default" w:ascii="Times New Roman" w:hAnsi="Times New Roman" w:eastAsia="宋体" w:cs="Times New Roman"/>
          <w:b/>
          <w:color w:val="000000" w:themeColor="text1"/>
          <w:kern w:val="0"/>
          <w:sz w:val="28"/>
          <w:szCs w:val="28"/>
          <w14:textFill>
            <w14:solidFill>
              <w14:schemeClr w14:val="tx1"/>
            </w14:solidFill>
          </w14:textFill>
        </w:rPr>
        <w:t>七、市政工程材料检测项目/参数能力表（可选）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13"/>
        <w:gridCol w:w="606"/>
        <w:gridCol w:w="980"/>
        <w:gridCol w:w="1346"/>
        <w:gridCol w:w="2742"/>
        <w:gridCol w:w="549"/>
        <w:gridCol w:w="726"/>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5000" w:type="pct"/>
            <w:gridSpan w:val="9"/>
            <w:tcBorders>
              <w:top w:val="nil"/>
              <w:left w:val="nil"/>
              <w:bottom w:val="single" w:color="auto" w:sz="4" w:space="0"/>
              <w:right w:val="nil"/>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283" w:type="pct"/>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序号</w:t>
            </w:r>
          </w:p>
        </w:tc>
        <w:tc>
          <w:tcPr>
            <w:tcW w:w="864" w:type="pct"/>
            <w:gridSpan w:val="2"/>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检测项目</w:t>
            </w:r>
          </w:p>
        </w:tc>
        <w:tc>
          <w:tcPr>
            <w:tcW w:w="1176" w:type="pct"/>
            <w:gridSpan w:val="2"/>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检测参数</w:t>
            </w:r>
          </w:p>
        </w:tc>
        <w:tc>
          <w:tcPr>
            <w:tcW w:w="1590" w:type="pct"/>
            <w:vMerge w:val="restar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检测标准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（方法）</w:t>
            </w:r>
          </w:p>
        </w:tc>
        <w:tc>
          <w:tcPr>
            <w:tcW w:w="773" w:type="pct"/>
            <w:gridSpan w:val="2"/>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确认结果</w:t>
            </w:r>
          </w:p>
        </w:tc>
        <w:tc>
          <w:tcPr>
            <w:tcW w:w="312" w:type="pct"/>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283" w:type="pct"/>
            <w:vMerge w:val="continue"/>
            <w:tcBorders>
              <w:top w:val="single" w:color="auto" w:sz="4" w:space="0"/>
              <w:bottom w:val="single" w:color="auto" w:sz="4" w:space="0"/>
            </w:tcBorders>
            <w:vAlign w:val="center"/>
          </w:tcPr>
          <w:p>
            <w:pPr>
              <w:jc w:val="center"/>
              <w:rPr>
                <w:rFonts w:hint="default" w:ascii="Times New Roman" w:hAnsi="Times New Roman" w:cs="Times New Roman"/>
              </w:rPr>
            </w:pPr>
          </w:p>
        </w:tc>
        <w:tc>
          <w:tcPr>
            <w:tcW w:w="864" w:type="pct"/>
            <w:gridSpan w:val="2"/>
            <w:vMerge w:val="continue"/>
            <w:tcBorders>
              <w:top w:val="single" w:color="auto" w:sz="4" w:space="0"/>
              <w:bottom w:val="single" w:color="auto" w:sz="4" w:space="0"/>
            </w:tcBorders>
            <w:vAlign w:val="center"/>
          </w:tcPr>
          <w:p>
            <w:pPr>
              <w:jc w:val="center"/>
              <w:rPr>
                <w:rFonts w:hint="default" w:ascii="Times New Roman" w:hAnsi="Times New Roman" w:cs="Times New Roman"/>
              </w:rPr>
            </w:pPr>
          </w:p>
        </w:tc>
        <w:tc>
          <w:tcPr>
            <w:tcW w:w="503" w:type="pc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序号</w:t>
            </w:r>
          </w:p>
        </w:tc>
        <w:tc>
          <w:tcPr>
            <w:tcW w:w="673" w:type="pc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名称</w:t>
            </w:r>
          </w:p>
        </w:tc>
        <w:tc>
          <w:tcPr>
            <w:tcW w:w="1590" w:type="pct"/>
            <w:vMerge w:val="continue"/>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p>
        </w:tc>
        <w:tc>
          <w:tcPr>
            <w:tcW w:w="336" w:type="pc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通过</w:t>
            </w:r>
          </w:p>
        </w:tc>
        <w:tc>
          <w:tcPr>
            <w:tcW w:w="436" w:type="pc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不通过</w:t>
            </w:r>
          </w:p>
        </w:tc>
        <w:tc>
          <w:tcPr>
            <w:tcW w:w="312" w:type="pct"/>
            <w:vMerge w:val="continue"/>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restart"/>
            <w:tcBorders>
              <w:top w:val="single" w:color="auto" w:sz="4" w:space="0"/>
              <w:bottom w:val="single" w:color="auto" w:sz="4" w:space="0"/>
            </w:tcBorders>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w:t>
            </w:r>
          </w:p>
        </w:tc>
        <w:tc>
          <w:tcPr>
            <w:tcW w:w="864" w:type="pct"/>
            <w:gridSpan w:val="2"/>
            <w:vMerge w:val="restart"/>
            <w:tcBorders>
              <w:top w:val="single" w:color="auto" w:sz="4" w:space="0"/>
              <w:bottom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土、无机结合</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稳定材料*</w:t>
            </w:r>
          </w:p>
        </w:tc>
        <w:tc>
          <w:tcPr>
            <w:tcW w:w="503" w:type="pct"/>
            <w:tcBorders>
              <w:top w:val="single" w:color="auto" w:sz="4" w:space="0"/>
              <w:bottom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w:t>
            </w:r>
          </w:p>
        </w:tc>
        <w:tc>
          <w:tcPr>
            <w:tcW w:w="673" w:type="pct"/>
            <w:tcBorders>
              <w:top w:val="single" w:color="auto" w:sz="4" w:space="0"/>
              <w:bottom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塑性指数*</w:t>
            </w:r>
          </w:p>
        </w:tc>
        <w:tc>
          <w:tcPr>
            <w:tcW w:w="1590" w:type="pct"/>
            <w:tcBorders>
              <w:top w:val="single" w:color="auto" w:sz="4" w:space="0"/>
              <w:bottom w:val="single" w:color="auto" w:sz="4" w:space="0"/>
            </w:tcBorders>
            <w:vAlign w:val="center"/>
          </w:tcPr>
          <w:p>
            <w:pPr>
              <w:jc w:val="left"/>
              <w:rPr>
                <w:rFonts w:hint="default" w:ascii="Times New Roman" w:hAnsi="Times New Roman" w:eastAsia="宋体" w:cs="Times New Roman"/>
                <w:bCs/>
                <w:kern w:val="0"/>
                <w:sz w:val="20"/>
                <w:szCs w:val="20"/>
              </w:rPr>
            </w:pPr>
          </w:p>
        </w:tc>
        <w:tc>
          <w:tcPr>
            <w:tcW w:w="336" w:type="pc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tcBorders>
              <w:top w:val="single" w:color="auto" w:sz="4" w:space="0"/>
              <w:bottom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tcBorders>
              <w:top w:val="single" w:color="auto" w:sz="4" w:space="0"/>
            </w:tcBorders>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tcBorders>
              <w:top w:val="single" w:color="auto" w:sz="4" w:space="0"/>
            </w:tcBorders>
            <w:vAlign w:val="center"/>
          </w:tcPr>
          <w:p>
            <w:pPr>
              <w:jc w:val="left"/>
              <w:rPr>
                <w:rFonts w:hint="default" w:ascii="Times New Roman" w:hAnsi="Times New Roman" w:eastAsia="宋体" w:cs="Times New Roman"/>
                <w:bCs/>
                <w:kern w:val="0"/>
                <w:sz w:val="20"/>
                <w:szCs w:val="20"/>
              </w:rPr>
            </w:pPr>
          </w:p>
        </w:tc>
        <w:tc>
          <w:tcPr>
            <w:tcW w:w="503" w:type="pct"/>
            <w:tcBorders>
              <w:top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w:t>
            </w:r>
          </w:p>
        </w:tc>
        <w:tc>
          <w:tcPr>
            <w:tcW w:w="673" w:type="pct"/>
            <w:tcBorders>
              <w:top w:val="single" w:color="auto" w:sz="4" w:space="0"/>
            </w:tcBorders>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不均匀系数*</w:t>
            </w:r>
          </w:p>
        </w:tc>
        <w:tc>
          <w:tcPr>
            <w:tcW w:w="1590" w:type="pct"/>
            <w:tcBorders>
              <w:top w:val="single" w:color="auto" w:sz="4" w:space="0"/>
            </w:tcBorders>
            <w:vAlign w:val="center"/>
          </w:tcPr>
          <w:p>
            <w:pPr>
              <w:jc w:val="left"/>
              <w:rPr>
                <w:rFonts w:hint="default" w:ascii="Times New Roman" w:hAnsi="Times New Roman" w:eastAsia="宋体" w:cs="Times New Roman"/>
                <w:bCs/>
                <w:kern w:val="0"/>
                <w:sz w:val="20"/>
                <w:szCs w:val="20"/>
              </w:rPr>
            </w:pPr>
          </w:p>
        </w:tc>
        <w:tc>
          <w:tcPr>
            <w:tcW w:w="336"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tcBorders>
              <w:top w:val="single" w:color="auto" w:sz="4" w:space="0"/>
            </w:tcBorders>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0.6mm 以下颗粒含量*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颗粒分析*</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有机质含量*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易溶盐含量*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w:t>
            </w:r>
          </w:p>
        </w:tc>
        <w:tc>
          <w:tcPr>
            <w:tcW w:w="673" w:type="pct"/>
            <w:vAlign w:val="center"/>
          </w:tcPr>
          <w:p>
            <w:pPr>
              <w:jc w:val="left"/>
              <w:rPr>
                <w:rFonts w:hint="default" w:ascii="Times New Roman" w:hAnsi="Times New Roman" w:eastAsia="宋体" w:cs="Times New Roman"/>
                <w:bCs/>
                <w:color w:val="FF0000"/>
                <w:kern w:val="0"/>
                <w:sz w:val="20"/>
                <w:szCs w:val="20"/>
              </w:rPr>
            </w:pPr>
            <w:r>
              <w:rPr>
                <w:rFonts w:hint="default" w:ascii="Times New Roman" w:hAnsi="Times New Roman" w:eastAsia="宋体" w:cs="Times New Roman"/>
                <w:bCs/>
                <w:color w:val="000000" w:themeColor="text1"/>
                <w:kern w:val="0"/>
                <w:sz w:val="20"/>
                <w:szCs w:val="20"/>
                <w14:textFill>
                  <w14:solidFill>
                    <w14:schemeClr w14:val="tx1"/>
                  </w14:solidFill>
                </w14:textFill>
              </w:rPr>
              <w:t>其它*</w:t>
            </w:r>
          </w:p>
        </w:tc>
        <w:tc>
          <w:tcPr>
            <w:tcW w:w="1590" w:type="pct"/>
            <w:vAlign w:val="center"/>
          </w:tcPr>
          <w:p>
            <w:pPr>
              <w:jc w:val="left"/>
              <w:rPr>
                <w:rFonts w:hint="default" w:ascii="Times New Roman" w:hAnsi="Times New Roman" w:eastAsia="宋体" w:cs="Times New Roman"/>
                <w:bCs/>
                <w:color w:val="FF0000"/>
                <w:kern w:val="0"/>
                <w:sz w:val="20"/>
                <w:szCs w:val="20"/>
              </w:rPr>
            </w:pPr>
          </w:p>
        </w:tc>
        <w:tc>
          <w:tcPr>
            <w:tcW w:w="336" w:type="pct"/>
            <w:vAlign w:val="center"/>
          </w:tcPr>
          <w:p>
            <w:pPr>
              <w:jc w:val="left"/>
              <w:rPr>
                <w:rFonts w:hint="default" w:ascii="Times New Roman" w:hAnsi="Times New Roman" w:eastAsia="宋体" w:cs="Times New Roman"/>
                <w:bCs/>
                <w:color w:val="FF0000"/>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w:t>
            </w:r>
          </w:p>
        </w:tc>
        <w:tc>
          <w:tcPr>
            <w:tcW w:w="864"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土工合成材料*</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垂直渗透系数*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刺破强力*</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2.3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w:t>
            </w:r>
          </w:p>
        </w:tc>
        <w:tc>
          <w:tcPr>
            <w:tcW w:w="864"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掺和料（粉煤</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灰、钢渣、矿粉）*</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游离氧化钙含量*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粉化率*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压碎值*</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颗粒组成*</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864" w:type="pct"/>
            <w:gridSpan w:val="2"/>
            <w:vMerge w:val="continue"/>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3.5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其它* </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w:t>
            </w:r>
          </w:p>
        </w:tc>
        <w:tc>
          <w:tcPr>
            <w:tcW w:w="864"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沥青及乳化沥青*</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运动黏度*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布氏旋转黏度*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针入度指数*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蜡含量*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w:t>
            </w:r>
          </w:p>
        </w:tc>
        <w:tc>
          <w:tcPr>
            <w:tcW w:w="864"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沥青及乳化沥青*</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闪点*</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动力黏度*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溶解度*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粒子电荷*</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4.10</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1.18mm 筛筛上残留物*</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恩格拉黏度*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与粗集料的粘附性*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4.13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jc w:val="left"/>
              <w:rPr>
                <w:rFonts w:hint="default" w:ascii="Times New Roman" w:hAnsi="Times New Roman" w:eastAsia="宋体" w:cs="Times New Roman"/>
                <w:bCs/>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w:t>
            </w:r>
          </w:p>
        </w:tc>
        <w:tc>
          <w:tcPr>
            <w:tcW w:w="495"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沥青混</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合料用</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粗集料、</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细集料、</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矿粉、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木质</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素纤维*</w:t>
            </w:r>
          </w:p>
          <w:p>
            <w:pPr>
              <w:jc w:val="left"/>
              <w:rPr>
                <w:rFonts w:hint="default" w:ascii="Times New Roman" w:hAnsi="Times New Roman" w:eastAsia="宋体" w:cs="Times New Roman"/>
                <w:bCs/>
                <w:kern w:val="0"/>
                <w:sz w:val="20"/>
                <w:szCs w:val="20"/>
              </w:rPr>
            </w:pP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坚固性*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软弱颗粒或软石含量*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磨光值*</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针片状颗粒含量*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&lt;0.075mm颗粒含量*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5.1.6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color w:val="FF0000"/>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color w:val="FF0000"/>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棱角性*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color w:val="FF0000"/>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坚固性*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含泥量*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亚甲蓝值*</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5.2.5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w:t>
            </w:r>
          </w:p>
        </w:tc>
        <w:tc>
          <w:tcPr>
            <w:tcW w:w="495"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沥青混合料用</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粗集料、</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细集料、</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矿粉、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木质</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素纤维*</w:t>
            </w:r>
          </w:p>
        </w:tc>
        <w:tc>
          <w:tcPr>
            <w:tcW w:w="368"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矿粉*</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5.3.1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木质素纤维*</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5.4.1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pH值*</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5.4.2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left"/>
              <w:rPr>
                <w:rFonts w:hint="default" w:ascii="Times New Roman" w:hAnsi="Times New Roman" w:eastAsia="宋体" w:cs="Times New Roman"/>
                <w:bCs/>
                <w:kern w:val="0"/>
                <w:sz w:val="20"/>
                <w:szCs w:val="20"/>
              </w:rPr>
            </w:pPr>
          </w:p>
        </w:tc>
        <w:tc>
          <w:tcPr>
            <w:tcW w:w="368" w:type="pct"/>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5.4.3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w:t>
            </w:r>
          </w:p>
        </w:tc>
        <w:tc>
          <w:tcPr>
            <w:tcW w:w="864" w:type="pct"/>
            <w:gridSpan w:val="2"/>
            <w:vMerge w:val="restar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沥青混合料*</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动稳定度*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残留稳定度*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冻融劈裂强度比*</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配合比设计*</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6.5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路面砖及路缘石*</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抗冻性*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透水系数*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吸水率*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抗盐冻性*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83"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8</w:t>
            </w:r>
          </w:p>
        </w:tc>
        <w:tc>
          <w:tcPr>
            <w:tcW w:w="864" w:type="pct"/>
            <w:gridSpan w:val="2"/>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检查井盖、水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篦、混凝土模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块、防撞墩、 </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隔离墩</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8.1</w:t>
            </w:r>
          </w:p>
        </w:tc>
        <w:tc>
          <w:tcPr>
            <w:tcW w:w="673" w:type="pct"/>
            <w:vAlign w:val="center"/>
          </w:tcPr>
          <w:p>
            <w:pPr>
              <w:jc w:val="left"/>
              <w:rPr>
                <w:rFonts w:hint="default" w:ascii="Times New Roman" w:hAnsi="Times New Roman" w:eastAsia="宋体" w:cs="Times New Roman"/>
                <w:bCs/>
                <w:color w:val="FF0000"/>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color w:val="FF0000"/>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color w:val="FF0000"/>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color w:val="FF0000"/>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水泥*</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保水率*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氧化镁含量*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碱含量*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三氧化硫含量*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9.5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w:t>
            </w:r>
          </w:p>
        </w:tc>
        <w:tc>
          <w:tcPr>
            <w:tcW w:w="495"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集料*</w:t>
            </w: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表观密度*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吸水率*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坚固性*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碱活性*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硫化物和硫酸盐含量*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轻物质含量*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有机物含量*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w:t>
            </w:r>
          </w:p>
        </w:tc>
        <w:tc>
          <w:tcPr>
            <w:tcW w:w="495"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集料*</w:t>
            </w: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贝壳含量*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10.1.9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粗</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骨</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坚固性*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碱活性*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表观密度*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堆积密度*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空隙率*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10.2.6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轻</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集</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10.3.1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筒压强度*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10.3.2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堆积密度*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10.3.3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吸水率*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10.3.4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粒型系数*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10.3.5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筛分析*</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10.3.6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钢筋（含焊接</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与机械连接）*</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弯曲性能*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外加剂*</w:t>
            </w:r>
          </w:p>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相对耐久性指标*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含气量 1h 经时变化量</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（坍落度、含气量）*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硫酸钠含量*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收缩率比*</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碱含量*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12.6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砂浆*</w:t>
            </w:r>
          </w:p>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分层度*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配合比设计*</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凝结时间*</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抗渗性能*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13.5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混凝土*</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限制膨胀率*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抗冻性能*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表观密度*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含气量*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混凝土*</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凝结时间*</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抗折强度*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劈裂抗拉强度*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静力受压弹性模量*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抑制碱-骨料反应有效性*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14.10</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碱含量*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配合比设计*</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864" w:type="pct"/>
            <w:gridSpan w:val="2"/>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14.12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w:t>
            </w:r>
          </w:p>
        </w:tc>
        <w:tc>
          <w:tcPr>
            <w:tcW w:w="495"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料及防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水密封</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材料*</w:t>
            </w:r>
          </w:p>
        </w:tc>
        <w:tc>
          <w:tcPr>
            <w:tcW w:w="368" w:type="pct"/>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卷材*</w:t>
            </w:r>
          </w:p>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胶粘剂：剪切性能*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胶粘剂：剥离性能*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胶粘带：剪切性能*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胶粘带：剥离性能*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防水卷材：接缝剥离强度*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jc w:val="left"/>
              <w:textAlignment w:val="center"/>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防水卷材：搭接缝不透水</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15.1.7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w:t>
            </w:r>
          </w:p>
        </w:tc>
        <w:tc>
          <w:tcPr>
            <w:tcW w:w="495"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料及防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水密封</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材料*</w:t>
            </w: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涂料*</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涂膜抗渗性*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浸水168h后拉伸强度*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浸水168h后断裂伸长率*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耐水性*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jc w:val="left"/>
              <w:textAlignment w:val="center"/>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抗折强度*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jc w:val="left"/>
              <w:textAlignment w:val="center"/>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粘结强度*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jc w:val="left"/>
              <w:textAlignment w:val="center"/>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495" w:type="pct"/>
            <w:vMerge w:val="continue"/>
            <w:vAlign w:val="center"/>
          </w:tcPr>
          <w:p>
            <w:pPr>
              <w:jc w:val="center"/>
              <w:rPr>
                <w:rFonts w:hint="default" w:ascii="Times New Roman" w:hAnsi="Times New Roman" w:eastAsia="宋体" w:cs="Times New Roman"/>
                <w:bCs/>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15.2.8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抗渗性*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jc w:val="lef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15.2.9</w:t>
            </w:r>
          </w:p>
        </w:tc>
        <w:tc>
          <w:tcPr>
            <w:tcW w:w="673" w:type="pct"/>
            <w:vAlign w:val="center"/>
          </w:tcPr>
          <w:p>
            <w:pPr>
              <w:jc w:val="lef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其它*</w:t>
            </w:r>
          </w:p>
        </w:tc>
        <w:tc>
          <w:tcPr>
            <w:tcW w:w="1590" w:type="pct"/>
            <w:vAlign w:val="center"/>
          </w:tcPr>
          <w:p>
            <w:pPr>
              <w:jc w:val="left"/>
              <w:rPr>
                <w:rFonts w:hint="default" w:ascii="Times New Roman" w:hAnsi="Times New Roman" w:eastAsia="宋体" w:cs="Times New Roman"/>
                <w:bCs/>
                <w:color w:val="FF0000"/>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密封</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材料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及其</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它防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耐热性*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低温柔性*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拉伸粘结性*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施工度*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15</w:t>
            </w:r>
          </w:p>
        </w:tc>
        <w:tc>
          <w:tcPr>
            <w:tcW w:w="495"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料及防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水密封</w:t>
            </w: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材料*</w:t>
            </w: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密封</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材料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及其</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它防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表干时间*</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挤出性*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弹性恢复率*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浸水后定伸粘结性*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流动性*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15.3.10</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单位面积质量*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膨润土膨胀指数*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渗透系数*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滤失量*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15</w:t>
            </w:r>
          </w:p>
        </w:tc>
        <w:tc>
          <w:tcPr>
            <w:tcW w:w="495"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料及防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水密封</w:t>
            </w: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材料*</w:t>
            </w: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密封</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材料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及其</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它防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撕裂强度*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硬度*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15.3.17</w:t>
            </w:r>
          </w:p>
        </w:tc>
        <w:tc>
          <w:tcPr>
            <w:tcW w:w="673" w:type="pct"/>
            <w:vAlign w:val="center"/>
          </w:tcPr>
          <w:p>
            <w:pPr>
              <w:jc w:val="lef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7d 膨胀率*</w:t>
            </w:r>
          </w:p>
          <w:p>
            <w:pPr>
              <w:jc w:val="lef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体积膨胀倍率</w:t>
            </w:r>
            <w:r>
              <w:rPr>
                <w:rFonts w:hint="default" w:ascii="Times New Roman" w:hAnsi="Times New Roman" w:eastAsia="宋体" w:cs="Times New Roman"/>
                <w:bCs/>
                <w:color w:val="000000" w:themeColor="text1"/>
                <w:kern w:val="0"/>
                <w:sz w:val="20"/>
                <w:szCs w:val="20"/>
                <w14:textFill>
                  <w14:solidFill>
                    <w14:schemeClr w14:val="tx1"/>
                  </w14:solidFill>
                </w14:textFill>
              </w:rPr>
              <w:t>）</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15.3.18</w:t>
            </w:r>
          </w:p>
        </w:tc>
        <w:tc>
          <w:tcPr>
            <w:tcW w:w="673" w:type="pct"/>
            <w:vAlign w:val="center"/>
          </w:tcPr>
          <w:p>
            <w:pPr>
              <w:jc w:val="lef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最终膨胀率*</w:t>
            </w:r>
          </w:p>
          <w:p>
            <w:pPr>
              <w:widowControl/>
              <w:wordWrap w:val="0"/>
              <w:adjustRightInd w:val="0"/>
              <w:snapToGrid w:val="0"/>
              <w:ind w:right="-336"/>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bCs/>
                <w:color w:val="000000" w:themeColor="text1"/>
                <w:kern w:val="0"/>
                <w:sz w:val="20"/>
                <w:szCs w:val="20"/>
                <w14:textFill>
                  <w14:solidFill>
                    <w14:schemeClr w14:val="tx1"/>
                  </w14:solidFill>
                </w14:textFill>
              </w:rPr>
              <w:t>（</w:t>
            </w:r>
            <w:r>
              <w:rPr>
                <w:rFonts w:hint="default" w:ascii="Times New Roman" w:hAnsi="Times New Roman" w:eastAsia="宋体" w:cs="Times New Roman"/>
                <w:color w:val="000000" w:themeColor="text1"/>
                <w:kern w:val="0"/>
                <w:sz w:val="20"/>
                <w:szCs w:val="20"/>
                <w14:textFill>
                  <w14:solidFill>
                    <w14:schemeClr w14:val="tx1"/>
                  </w14:solidFill>
                </w14:textFill>
              </w:rPr>
              <w:t>长期浸水</w:t>
            </w:r>
          </w:p>
          <w:p>
            <w:pPr>
              <w:jc w:val="left"/>
              <w:rPr>
                <w:rFonts w:hint="default" w:ascii="Times New Roman" w:hAnsi="Times New Roman" w:eastAsia="宋体" w:cs="Times New Roman"/>
                <w:bCs/>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后体积膨胀倍率</w:t>
            </w:r>
            <w:r>
              <w:rPr>
                <w:rFonts w:hint="default" w:ascii="Times New Roman" w:hAnsi="Times New Roman" w:eastAsia="宋体" w:cs="Times New Roman"/>
                <w:bCs/>
                <w:color w:val="000000" w:themeColor="text1"/>
                <w:kern w:val="0"/>
                <w:sz w:val="20"/>
                <w:szCs w:val="20"/>
                <w14:textFill>
                  <w14:solidFill>
                    <w14:schemeClr w14:val="tx1"/>
                  </w14:solidFill>
                </w14:textFill>
              </w:rPr>
              <w:t>）</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15.3.19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耐水性（反复浸水）*</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15.3.20</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体积膨胀倍率*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15.3.21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压缩永久变形*</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15.3.22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低温弯折*</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剥离强度*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浸水168h 后的剥离强度</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保持率*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15</w:t>
            </w:r>
          </w:p>
        </w:tc>
        <w:tc>
          <w:tcPr>
            <w:tcW w:w="495" w:type="pct"/>
            <w:vMerge w:val="restart"/>
            <w:vAlign w:val="center"/>
          </w:tcPr>
          <w:p>
            <w:pP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料及防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水密封</w:t>
            </w:r>
          </w:p>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材料*</w:t>
            </w:r>
          </w:p>
        </w:tc>
        <w:tc>
          <w:tcPr>
            <w:tcW w:w="368"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防水</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密封</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材料</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及其</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它防</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水材</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料*</w:t>
            </w:r>
          </w:p>
          <w:p>
            <w:pPr>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拉力*</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延伸率*</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（断裂伸长率）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highlight w:val="yellow"/>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固体含量*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7d 粘结强度*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15.3.29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7d 抗渗性*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15.3.30</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拉伸模量*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15.3.31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定伸粘结性*</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15.3.32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断裂伸长率*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495"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368" w:type="pct"/>
            <w:vMerge w:val="continue"/>
            <w:vAlign w:val="center"/>
          </w:tcPr>
          <w:p>
            <w:pPr>
              <w:widowControl/>
              <w:wordWrap w:val="0"/>
              <w:snapToGrid w:val="0"/>
              <w:spacing w:before="120" w:line="300" w:lineRule="atLeast"/>
              <w:ind w:right="-336"/>
              <w:jc w:val="center"/>
              <w:rPr>
                <w:rFonts w:hint="default" w:ascii="Times New Roman" w:hAnsi="Times New Roman" w:eastAsia="宋体" w:cs="Times New Roman"/>
                <w:kern w:val="0"/>
                <w:sz w:val="20"/>
                <w:szCs w:val="20"/>
              </w:rPr>
            </w:pPr>
          </w:p>
        </w:tc>
        <w:tc>
          <w:tcPr>
            <w:tcW w:w="503"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15.3.33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pH值*</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硫酸根离子含量*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不溶物含量*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可溶物含量*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凝结时间差*</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抗压强度比*</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碱含量*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w:t>
            </w:r>
          </w:p>
        </w:tc>
        <w:tc>
          <w:tcPr>
            <w:tcW w:w="864" w:type="pct"/>
            <w:gridSpan w:val="2"/>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16.8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石灰*</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有效氧化钙和氧化镁含</w:t>
            </w:r>
          </w:p>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氧化镁含量*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highlight w:val="yellow"/>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未消化残渣含量*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含水率*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highlight w:val="yellow"/>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17.6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 xml:space="preserve">其它* </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石材*</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干燥压缩强度*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水饱和压缩强度*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干燥弯曲强度*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水饱和弯曲强度*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体积密度*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吸水率*</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jc w:val="left"/>
              <w:rPr>
                <w:rFonts w:hint="default" w:ascii="Times New Roman" w:hAnsi="Times New Roman" w:eastAsia="宋体" w:cs="Times New Roman"/>
                <w:bCs/>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center"/>
              <w:rPr>
                <w:rFonts w:hint="default" w:ascii="Times New Roman" w:hAnsi="Times New Roman" w:eastAsia="宋体" w:cs="Times New Roman"/>
                <w:bCs/>
                <w:kern w:val="0"/>
                <w:sz w:val="20"/>
                <w:szCs w:val="20"/>
              </w:rPr>
            </w:pPr>
          </w:p>
        </w:tc>
        <w:tc>
          <w:tcPr>
            <w:tcW w:w="864" w:type="pct"/>
            <w:gridSpan w:val="2"/>
            <w:vMerge w:val="continue"/>
            <w:vAlign w:val="center"/>
          </w:tcPr>
          <w:p>
            <w:pPr>
              <w:jc w:val="center"/>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18.7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螺栓、锚具夹</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具及连接器*</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19.1</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抗滑移系数*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19.2</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外观质量*</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83" w:type="pct"/>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w:t>
            </w:r>
          </w:p>
        </w:tc>
        <w:tc>
          <w:tcPr>
            <w:tcW w:w="864" w:type="pct"/>
            <w:gridSpan w:val="2"/>
            <w:vMerge w:val="restart"/>
            <w:vAlign w:val="center"/>
          </w:tcPr>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螺栓、锚具夹</w:t>
            </w:r>
          </w:p>
          <w:p>
            <w:pPr>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具及连接器*</w:t>
            </w: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19.3</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尺寸*</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19.4</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静载锚固性能*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19.5</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疲劳荷载性能*</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19.6</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硬度*</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19.7</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紧固轴力*</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19.8</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扭矩系数*</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83" w:type="pct"/>
            <w:vMerge w:val="continue"/>
            <w:vAlign w:val="center"/>
          </w:tcPr>
          <w:p>
            <w:pPr>
              <w:jc w:val="left"/>
              <w:rPr>
                <w:rFonts w:hint="default" w:ascii="Times New Roman" w:hAnsi="Times New Roman" w:eastAsia="宋体" w:cs="Times New Roman"/>
                <w:bCs/>
                <w:kern w:val="0"/>
                <w:sz w:val="20"/>
                <w:szCs w:val="20"/>
              </w:rPr>
            </w:pPr>
          </w:p>
        </w:tc>
        <w:tc>
          <w:tcPr>
            <w:tcW w:w="864" w:type="pct"/>
            <w:gridSpan w:val="2"/>
            <w:vMerge w:val="continue"/>
            <w:vAlign w:val="center"/>
          </w:tcPr>
          <w:p>
            <w:pPr>
              <w:jc w:val="left"/>
              <w:rPr>
                <w:rFonts w:hint="default" w:ascii="Times New Roman" w:hAnsi="Times New Roman" w:eastAsia="宋体" w:cs="Times New Roman"/>
                <w:bCs/>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19.9</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最小拉力载荷（普通紧固件）*</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864" w:type="pct"/>
            <w:gridSpan w:val="2"/>
            <w:vMerge w:val="continue"/>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50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19.10</w:t>
            </w:r>
          </w:p>
        </w:tc>
        <w:tc>
          <w:tcPr>
            <w:tcW w:w="673" w:type="pct"/>
            <w:vAlign w:val="center"/>
          </w:tcPr>
          <w:p>
            <w:pPr>
              <w:jc w:val="left"/>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其它*</w:t>
            </w:r>
          </w:p>
        </w:tc>
        <w:tc>
          <w:tcPr>
            <w:tcW w:w="1590" w:type="pct"/>
            <w:vAlign w:val="center"/>
          </w:tcPr>
          <w:p>
            <w:pPr>
              <w:jc w:val="left"/>
              <w:rPr>
                <w:rFonts w:hint="default" w:ascii="Times New Roman" w:hAnsi="Times New Roman" w:eastAsia="宋体" w:cs="Times New Roman"/>
                <w:bCs/>
                <w:kern w:val="0"/>
                <w:sz w:val="20"/>
                <w:szCs w:val="20"/>
              </w:rPr>
            </w:pPr>
          </w:p>
        </w:tc>
        <w:tc>
          <w:tcPr>
            <w:tcW w:w="3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436"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c>
          <w:tcPr>
            <w:tcW w:w="312" w:type="pct"/>
            <w:vAlign w:val="center"/>
          </w:tcPr>
          <w:p>
            <w:pPr>
              <w:widowControl/>
              <w:wordWrap w:val="0"/>
              <w:snapToGrid w:val="0"/>
              <w:spacing w:before="120" w:line="300" w:lineRule="atLeast"/>
              <w:ind w:right="-336"/>
              <w:jc w:val="left"/>
              <w:rPr>
                <w:rFonts w:hint="default" w:ascii="Times New Roman" w:hAnsi="Times New Roman" w:eastAsia="宋体" w:cs="Times New Roman"/>
                <w:kern w:val="0"/>
                <w:sz w:val="20"/>
                <w:szCs w:val="20"/>
              </w:rPr>
            </w:pPr>
          </w:p>
        </w:tc>
      </w:tr>
    </w:tbl>
    <w:p>
      <w:pPr>
        <w:widowControl/>
        <w:shd w:val="clear" w:color="auto" w:fill="FFFFFF"/>
        <w:wordWrap w:val="0"/>
        <w:spacing w:line="440" w:lineRule="atLeast"/>
        <w:jc w:val="center"/>
        <w:rPr>
          <w:rFonts w:hint="default" w:ascii="Times New Roman" w:hAnsi="Times New Roman" w:eastAsia="宋体" w:cs="Times New Roman"/>
          <w:b/>
          <w:kern w:val="0"/>
          <w:sz w:val="28"/>
          <w:szCs w:val="28"/>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八、道路工程检测项目/参数能力表（必选）</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27"/>
        <w:gridCol w:w="789"/>
        <w:gridCol w:w="593"/>
        <w:gridCol w:w="927"/>
        <w:gridCol w:w="3289"/>
        <w:gridCol w:w="766"/>
        <w:gridCol w:w="978"/>
        <w:gridCol w:w="7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jc w:val="center"/>
        </w:trPr>
        <w:tc>
          <w:tcPr>
            <w:tcW w:w="5000" w:type="pct"/>
            <w:gridSpan w:val="8"/>
            <w:tcBorders>
              <w:top w:val="nil"/>
              <w:left w:val="nil"/>
              <w:bottom w:val="single" w:color="auto" w:sz="4" w:space="0"/>
              <w:right w:val="nil"/>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35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45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w:t>
            </w:r>
          </w:p>
        </w:tc>
        <w:tc>
          <w:tcPr>
            <w:tcW w:w="86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检测参数</w:t>
            </w:r>
          </w:p>
        </w:tc>
        <w:tc>
          <w:tcPr>
            <w:tcW w:w="188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检测标准</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（方法）</w:t>
            </w:r>
          </w:p>
        </w:tc>
        <w:tc>
          <w:tcPr>
            <w:tcW w:w="997"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确认结果</w:t>
            </w:r>
          </w:p>
        </w:tc>
        <w:tc>
          <w:tcPr>
            <w:tcW w:w="44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35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51"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sz w:val="20"/>
                <w:szCs w:val="20"/>
              </w:rPr>
            </w:pPr>
          </w:p>
        </w:tc>
        <w:tc>
          <w:tcPr>
            <w:tcW w:w="3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53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名称</w:t>
            </w:r>
          </w:p>
        </w:tc>
        <w:tc>
          <w:tcPr>
            <w:tcW w:w="1881"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p>
        </w:tc>
        <w:tc>
          <w:tcPr>
            <w:tcW w:w="4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通过</w:t>
            </w:r>
          </w:p>
        </w:tc>
        <w:tc>
          <w:tcPr>
            <w:tcW w:w="55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不通过</w:t>
            </w:r>
          </w:p>
        </w:tc>
        <w:tc>
          <w:tcPr>
            <w:tcW w:w="44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w:t>
            </w:r>
          </w:p>
        </w:tc>
        <w:tc>
          <w:tcPr>
            <w:tcW w:w="45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沥青混合料路面</w:t>
            </w:r>
          </w:p>
        </w:tc>
        <w:tc>
          <w:tcPr>
            <w:tcW w:w="3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1.1</w:t>
            </w:r>
          </w:p>
        </w:tc>
        <w:tc>
          <w:tcPr>
            <w:tcW w:w="53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厚度</w:t>
            </w:r>
          </w:p>
        </w:tc>
        <w:tc>
          <w:tcPr>
            <w:tcW w:w="1881" w:type="pct"/>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textAlignment w:val="top"/>
              <w:rPr>
                <w:rFonts w:hint="default" w:ascii="Times New Roman" w:hAnsi="Times New Roman" w:eastAsia="宋体" w:cs="Times New Roman"/>
                <w:color w:val="000000"/>
                <w:sz w:val="20"/>
                <w:szCs w:val="20"/>
              </w:rPr>
            </w:pPr>
          </w:p>
        </w:tc>
        <w:tc>
          <w:tcPr>
            <w:tcW w:w="438"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continue"/>
            <w:tcBorders>
              <w:top w:val="single" w:color="auto" w:sz="4" w:space="0"/>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51" w:type="pct"/>
            <w:vMerge w:val="continue"/>
            <w:tcBorders>
              <w:top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9"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1.2</w:t>
            </w:r>
          </w:p>
        </w:tc>
        <w:tc>
          <w:tcPr>
            <w:tcW w:w="530"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压实度</w:t>
            </w:r>
          </w:p>
        </w:tc>
        <w:tc>
          <w:tcPr>
            <w:tcW w:w="1881" w:type="pct"/>
            <w:tcBorders>
              <w:top w:val="single" w:color="auto" w:sz="4" w:space="0"/>
              <w:tl2br w:val="nil"/>
              <w:tr2bl w:val="nil"/>
            </w:tcBorders>
            <w:shd w:val="clear" w:color="auto" w:fill="auto"/>
          </w:tcPr>
          <w:p>
            <w:pPr>
              <w:widowControl/>
              <w:textAlignment w:val="top"/>
              <w:rPr>
                <w:rFonts w:hint="default" w:ascii="Times New Roman" w:hAnsi="Times New Roman" w:eastAsia="宋体" w:cs="Times New Roman"/>
                <w:color w:val="000000"/>
                <w:sz w:val="20"/>
                <w:szCs w:val="20"/>
              </w:rPr>
            </w:pPr>
          </w:p>
        </w:tc>
        <w:tc>
          <w:tcPr>
            <w:tcW w:w="438"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51"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3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1.3</w:t>
            </w:r>
          </w:p>
        </w:tc>
        <w:tc>
          <w:tcPr>
            <w:tcW w:w="53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弯沉值</w:t>
            </w:r>
          </w:p>
        </w:tc>
        <w:tc>
          <w:tcPr>
            <w:tcW w:w="188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438"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restart"/>
            <w:tcBorders>
              <w:tl2br w:val="nil"/>
              <w:tr2bl w:val="nil"/>
            </w:tcBorders>
            <w:shd w:val="clear" w:color="auto" w:fill="auto"/>
            <w:vAlign w:val="center"/>
          </w:tcPr>
          <w:p>
            <w:pPr>
              <w:widowControl/>
              <w:ind w:firstLine="200" w:firstLineChars="100"/>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w:t>
            </w:r>
          </w:p>
        </w:tc>
        <w:tc>
          <w:tcPr>
            <w:tcW w:w="451"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基层及底基层</w:t>
            </w:r>
          </w:p>
        </w:tc>
        <w:tc>
          <w:tcPr>
            <w:tcW w:w="33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2.1</w:t>
            </w:r>
          </w:p>
        </w:tc>
        <w:tc>
          <w:tcPr>
            <w:tcW w:w="53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厚度</w:t>
            </w:r>
          </w:p>
        </w:tc>
        <w:tc>
          <w:tcPr>
            <w:tcW w:w="188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438"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51"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3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2.2</w:t>
            </w:r>
          </w:p>
        </w:tc>
        <w:tc>
          <w:tcPr>
            <w:tcW w:w="53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压实度</w:t>
            </w:r>
          </w:p>
        </w:tc>
        <w:tc>
          <w:tcPr>
            <w:tcW w:w="188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438"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451"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3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2.3</w:t>
            </w:r>
          </w:p>
        </w:tc>
        <w:tc>
          <w:tcPr>
            <w:tcW w:w="53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弯沉值</w:t>
            </w:r>
          </w:p>
        </w:tc>
        <w:tc>
          <w:tcPr>
            <w:tcW w:w="188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438"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w:t>
            </w:r>
          </w:p>
        </w:tc>
        <w:tc>
          <w:tcPr>
            <w:tcW w:w="451"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土路基</w:t>
            </w:r>
          </w:p>
        </w:tc>
        <w:tc>
          <w:tcPr>
            <w:tcW w:w="33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3.1</w:t>
            </w:r>
          </w:p>
        </w:tc>
        <w:tc>
          <w:tcPr>
            <w:tcW w:w="53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弯沉值</w:t>
            </w:r>
          </w:p>
        </w:tc>
        <w:tc>
          <w:tcPr>
            <w:tcW w:w="188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438"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359"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451"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339"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3.2</w:t>
            </w:r>
          </w:p>
        </w:tc>
        <w:tc>
          <w:tcPr>
            <w:tcW w:w="530"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压实度</w:t>
            </w:r>
          </w:p>
        </w:tc>
        <w:tc>
          <w:tcPr>
            <w:tcW w:w="188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438"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59"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440"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bl>
    <w:p>
      <w:pPr>
        <w:rPr>
          <w:rFonts w:hint="default" w:ascii="Times New Roman" w:hAnsi="Times New Roman" w:cs="Times New Roman"/>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八、道路工程检测项目/参数能力表（可选）</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7"/>
        <w:gridCol w:w="913"/>
        <w:gridCol w:w="923"/>
        <w:gridCol w:w="1196"/>
        <w:gridCol w:w="3010"/>
        <w:gridCol w:w="665"/>
        <w:gridCol w:w="888"/>
        <w:gridCol w:w="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blHeader/>
          <w:jc w:val="center"/>
        </w:trPr>
        <w:tc>
          <w:tcPr>
            <w:tcW w:w="5000" w:type="pct"/>
            <w:gridSpan w:val="8"/>
            <w:tcBorders>
              <w:top w:val="nil"/>
              <w:left w:val="nil"/>
              <w:bottom w:val="single" w:color="auto" w:sz="4" w:space="0"/>
              <w:right w:val="nil"/>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39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522"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检测项目</w:t>
            </w:r>
          </w:p>
        </w:tc>
        <w:tc>
          <w:tcPr>
            <w:tcW w:w="121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检测参数</w:t>
            </w:r>
          </w:p>
        </w:tc>
        <w:tc>
          <w:tcPr>
            <w:tcW w:w="172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检测标准</w:t>
            </w: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（方法）</w:t>
            </w:r>
          </w:p>
        </w:tc>
        <w:tc>
          <w:tcPr>
            <w:tcW w:w="88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确认结果</w:t>
            </w:r>
          </w:p>
        </w:tc>
        <w:tc>
          <w:tcPr>
            <w:tcW w:w="261"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jc w:val="center"/>
        </w:trPr>
        <w:tc>
          <w:tcPr>
            <w:tcW w:w="39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序号</w:t>
            </w:r>
          </w:p>
        </w:tc>
        <w:tc>
          <w:tcPr>
            <w:tcW w:w="68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名称</w:t>
            </w:r>
          </w:p>
        </w:tc>
        <w:tc>
          <w:tcPr>
            <w:tcW w:w="1721"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通过</w:t>
            </w:r>
          </w:p>
        </w:tc>
        <w:tc>
          <w:tcPr>
            <w:tcW w:w="50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不通过</w:t>
            </w:r>
          </w:p>
        </w:tc>
        <w:tc>
          <w:tcPr>
            <w:tcW w:w="261"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w:t>
            </w:r>
          </w:p>
        </w:tc>
        <w:tc>
          <w:tcPr>
            <w:tcW w:w="522"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沥青混合料路面*</w:t>
            </w:r>
          </w:p>
        </w:tc>
        <w:tc>
          <w:tcPr>
            <w:tcW w:w="52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1.1</w:t>
            </w:r>
          </w:p>
        </w:tc>
        <w:tc>
          <w:tcPr>
            <w:tcW w:w="68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平整度*</w:t>
            </w:r>
          </w:p>
        </w:tc>
        <w:tc>
          <w:tcPr>
            <w:tcW w:w="172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op w:val="single" w:color="auto" w:sz="4" w:space="0"/>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op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8"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1.2</w:t>
            </w:r>
          </w:p>
        </w:tc>
        <w:tc>
          <w:tcPr>
            <w:tcW w:w="683"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渗水系数*</w:t>
            </w:r>
          </w:p>
        </w:tc>
        <w:tc>
          <w:tcPr>
            <w:tcW w:w="1721" w:type="pct"/>
            <w:tcBorders>
              <w:top w:val="single" w:color="auto" w:sz="4" w:space="0"/>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380"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op w:val="single" w:color="auto" w:sz="4" w:space="0"/>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1.3</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抗滑性能*</w:t>
            </w:r>
          </w:p>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（摩擦系数、构造深度）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left w:val="single" w:color="auto" w:sz="4" w:space="0"/>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1.4</w:t>
            </w:r>
          </w:p>
        </w:tc>
        <w:tc>
          <w:tcPr>
            <w:tcW w:w="683"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其它*</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restart"/>
            <w:tcBorders>
              <w:tl2br w:val="nil"/>
              <w:tr2bl w:val="nil"/>
            </w:tcBorders>
            <w:shd w:val="clear" w:color="auto" w:fill="auto"/>
            <w:vAlign w:val="center"/>
          </w:tcPr>
          <w:p>
            <w:pPr>
              <w:widowControl/>
              <w:ind w:firstLine="200" w:firstLineChars="100"/>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w:t>
            </w:r>
          </w:p>
        </w:tc>
        <w:tc>
          <w:tcPr>
            <w:tcW w:w="522"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基层及底基层*</w:t>
            </w: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2.1</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平整度*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2.2</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无侧限抗压强度*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2.3</w:t>
            </w:r>
          </w:p>
        </w:tc>
        <w:tc>
          <w:tcPr>
            <w:tcW w:w="683"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其它*</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w:t>
            </w:r>
          </w:p>
        </w:tc>
        <w:tc>
          <w:tcPr>
            <w:tcW w:w="522"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土路基*</w:t>
            </w: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3.1</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土基回弹模量*</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3.2</w:t>
            </w:r>
          </w:p>
        </w:tc>
        <w:tc>
          <w:tcPr>
            <w:tcW w:w="683"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其它*</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w:t>
            </w:r>
          </w:p>
        </w:tc>
        <w:tc>
          <w:tcPr>
            <w:tcW w:w="522"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排水管道工程*</w:t>
            </w: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4.1</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地基承载力*</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4.2</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回填土压实度*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4.3</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背后土体密实性*</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4.4</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严密性试验*（闭水法、注水法、闭气法）</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4.5</w:t>
            </w:r>
          </w:p>
        </w:tc>
        <w:tc>
          <w:tcPr>
            <w:tcW w:w="683"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其它*</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w:t>
            </w:r>
          </w:p>
        </w:tc>
        <w:tc>
          <w:tcPr>
            <w:tcW w:w="522" w:type="pct"/>
            <w:vMerge w:val="restar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水泥混凝土路面*</w:t>
            </w: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5.1</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平整度*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5.2</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构造深度*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5.3</w:t>
            </w:r>
          </w:p>
        </w:tc>
        <w:tc>
          <w:tcPr>
            <w:tcW w:w="683"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厚度*</w:t>
            </w:r>
          </w:p>
        </w:tc>
        <w:tc>
          <w:tcPr>
            <w:tcW w:w="1721"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vMerge w:val="continue"/>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522" w:type="pct"/>
            <w:vMerge w:val="continue"/>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528" w:type="pct"/>
            <w:tcBorders>
              <w:tl2br w:val="nil"/>
              <w:tr2bl w:val="nil"/>
            </w:tcBorders>
            <w:shd w:val="clear" w:color="auto" w:fill="auto"/>
            <w:vAlign w:val="center"/>
          </w:tcPr>
          <w:p>
            <w:pPr>
              <w:widowControl/>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5.4</w:t>
            </w:r>
          </w:p>
        </w:tc>
        <w:tc>
          <w:tcPr>
            <w:tcW w:w="683"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其它*</w:t>
            </w:r>
          </w:p>
        </w:tc>
        <w:tc>
          <w:tcPr>
            <w:tcW w:w="1721"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themeColor="text1"/>
                <w:sz w:val="20"/>
                <w:szCs w:val="20"/>
                <w14:textFill>
                  <w14:solidFill>
                    <w14:schemeClr w14:val="tx1"/>
                  </w14:solidFill>
                </w14:textFill>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93" w:type="pc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w:t>
            </w:r>
          </w:p>
        </w:tc>
        <w:tc>
          <w:tcPr>
            <w:tcW w:w="522"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其它*</w:t>
            </w:r>
          </w:p>
        </w:tc>
        <w:tc>
          <w:tcPr>
            <w:tcW w:w="528"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683" w:type="pct"/>
            <w:tcBorders>
              <w:tl2br w:val="nil"/>
              <w:tr2bl w:val="nil"/>
            </w:tcBorders>
            <w:shd w:val="clear" w:color="auto" w:fill="auto"/>
            <w:vAlign w:val="center"/>
          </w:tcPr>
          <w:p>
            <w:pPr>
              <w:rPr>
                <w:rFonts w:hint="default" w:ascii="Times New Roman" w:hAnsi="Times New Roman" w:eastAsia="宋体" w:cs="Times New Roman"/>
                <w:color w:val="000000"/>
                <w:sz w:val="20"/>
                <w:szCs w:val="20"/>
              </w:rPr>
            </w:pPr>
          </w:p>
        </w:tc>
        <w:tc>
          <w:tcPr>
            <w:tcW w:w="1721" w:type="pct"/>
            <w:tcBorders>
              <w:tl2br w:val="nil"/>
              <w:tr2bl w:val="nil"/>
            </w:tcBorders>
            <w:shd w:val="clear" w:color="auto" w:fill="auto"/>
            <w:vAlign w:val="center"/>
          </w:tcPr>
          <w:p>
            <w:pPr>
              <w:jc w:val="left"/>
              <w:rPr>
                <w:rFonts w:hint="default" w:ascii="Times New Roman" w:hAnsi="Times New Roman" w:eastAsia="宋体" w:cs="Times New Roman"/>
                <w:color w:val="000000"/>
                <w:sz w:val="20"/>
                <w:szCs w:val="20"/>
              </w:rPr>
            </w:pPr>
          </w:p>
        </w:tc>
        <w:tc>
          <w:tcPr>
            <w:tcW w:w="380"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507" w:type="pct"/>
            <w:tcBorders>
              <w:tl2br w:val="nil"/>
              <w:tr2bl w:val="nil"/>
            </w:tcBorders>
            <w:shd w:val="clear" w:color="auto" w:fill="auto"/>
          </w:tcPr>
          <w:p>
            <w:pPr>
              <w:jc w:val="left"/>
              <w:rPr>
                <w:rFonts w:hint="default" w:ascii="Times New Roman" w:hAnsi="Times New Roman" w:eastAsia="宋体" w:cs="Times New Roman"/>
                <w:color w:val="000000"/>
                <w:sz w:val="20"/>
                <w:szCs w:val="20"/>
              </w:rPr>
            </w:pPr>
          </w:p>
        </w:tc>
        <w:tc>
          <w:tcPr>
            <w:tcW w:w="261" w:type="pct"/>
            <w:tcBorders>
              <w:tl2br w:val="nil"/>
              <w:tr2bl w:val="nil"/>
            </w:tcBorders>
            <w:shd w:val="clear" w:color="auto" w:fill="auto"/>
            <w:noWrap/>
            <w:vAlign w:val="center"/>
          </w:tcPr>
          <w:p>
            <w:pPr>
              <w:rPr>
                <w:rFonts w:hint="default" w:ascii="Times New Roman" w:hAnsi="Times New Roman" w:eastAsia="宋体" w:cs="Times New Roman"/>
                <w:color w:val="000000"/>
                <w:sz w:val="20"/>
                <w:szCs w:val="20"/>
              </w:rPr>
            </w:pPr>
          </w:p>
        </w:tc>
      </w:tr>
    </w:tbl>
    <w:p>
      <w:pPr>
        <w:rPr>
          <w:rFonts w:hint="default" w:ascii="Times New Roman" w:hAnsi="Times New Roman" w:cs="Times New Roman"/>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ind w:left="594" w:hanging="594"/>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九、桥梁与地下工程检测项目/参数能力表（必选）</w:t>
      </w:r>
    </w:p>
    <w:tbl>
      <w:tblPr>
        <w:tblStyle w:val="1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71"/>
        <w:gridCol w:w="774"/>
        <w:gridCol w:w="662"/>
        <w:gridCol w:w="580"/>
        <w:gridCol w:w="522"/>
        <w:gridCol w:w="3157"/>
        <w:gridCol w:w="794"/>
        <w:gridCol w:w="895"/>
        <w:gridCol w:w="6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7" w:hRule="atLeast"/>
          <w:tblHeader/>
        </w:trPr>
        <w:tc>
          <w:tcPr>
            <w:tcW w:w="5000" w:type="pct"/>
            <w:gridSpan w:val="9"/>
            <w:tcBorders>
              <w:top w:val="nil"/>
              <w:left w:val="nil"/>
              <w:bottom w:val="single" w:color="auto" w:sz="4" w:space="0"/>
              <w:right w:val="nil"/>
              <w:tl2br w:val="nil"/>
              <w:tr2bl w:val="nil"/>
            </w:tcBorders>
            <w:shd w:val="clear" w:color="auto" w:fill="auto"/>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trPr>
        <w:tc>
          <w:tcPr>
            <w:tcW w:w="38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44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w:t>
            </w:r>
          </w:p>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100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检测参数</w:t>
            </w:r>
          </w:p>
        </w:tc>
        <w:tc>
          <w:tcPr>
            <w:tcW w:w="180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（方法）</w:t>
            </w:r>
          </w:p>
        </w:tc>
        <w:tc>
          <w:tcPr>
            <w:tcW w:w="966"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确认结果</w:t>
            </w:r>
          </w:p>
        </w:tc>
        <w:tc>
          <w:tcPr>
            <w:tcW w:w="39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trPr>
        <w:tc>
          <w:tcPr>
            <w:tcW w:w="38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630"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名称</w:t>
            </w:r>
          </w:p>
        </w:tc>
        <w:tc>
          <w:tcPr>
            <w:tcW w:w="180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w:t>
            </w:r>
          </w:p>
        </w:tc>
        <w:tc>
          <w:tcPr>
            <w:tcW w:w="51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不通过</w:t>
            </w:r>
          </w:p>
        </w:tc>
        <w:tc>
          <w:tcPr>
            <w:tcW w:w="39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44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桥梁结构与构件</w:t>
            </w:r>
          </w:p>
        </w:tc>
        <w:tc>
          <w:tcPr>
            <w:tcW w:w="37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630"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静态应变（应力）</w:t>
            </w:r>
          </w:p>
        </w:tc>
        <w:tc>
          <w:tcPr>
            <w:tcW w:w="180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84"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动态应变（应力）</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84"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位移</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84"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332"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模态参数</w:t>
            </w: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频率</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384"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振型</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384" w:type="pct"/>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44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桥梁结构与构件</w:t>
            </w:r>
          </w:p>
        </w:tc>
        <w:tc>
          <w:tcPr>
            <w:tcW w:w="377"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332" w:type="pct"/>
            <w:tcBorders>
              <w:top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模态参数</w:t>
            </w: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阻尼比</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1.5</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索力</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w:t>
            </w:r>
          </w:p>
        </w:tc>
        <w:tc>
          <w:tcPr>
            <w:tcW w:w="630" w:type="pct"/>
            <w:gridSpan w:val="2"/>
            <w:tcBorders>
              <w:tl2br w:val="nil"/>
              <w:tr2bl w:val="nil"/>
            </w:tcBorders>
            <w:shd w:val="clear" w:color="auto" w:fill="auto"/>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承载能力</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kern w:val="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1.7</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桥梁线形</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c>
          <w:tcPr>
            <w:tcW w:w="630" w:type="pct"/>
            <w:gridSpan w:val="2"/>
            <w:tcBorders>
              <w:tl2br w:val="nil"/>
              <w:tr2bl w:val="nil"/>
            </w:tcBorders>
            <w:shd w:val="clear" w:color="auto" w:fill="auto"/>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动态挠度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kern w:val="0"/>
                <w:sz w:val="20"/>
                <w:szCs w:val="20"/>
              </w:rPr>
            </w:pPr>
          </w:p>
        </w:tc>
        <w:tc>
          <w:tcPr>
            <w:tcW w:w="454"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44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桥梁结构与构件</w:t>
            </w: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1.9</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静态挠度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op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1.10</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结构尺寸</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轴线偏位</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1.12</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竖直度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1.13</w:t>
            </w:r>
          </w:p>
        </w:tc>
        <w:tc>
          <w:tcPr>
            <w:tcW w:w="332"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混凝土强度</w:t>
            </w: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钻芯法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44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桥梁结构与构件</w:t>
            </w:r>
          </w:p>
        </w:tc>
        <w:tc>
          <w:tcPr>
            <w:tcW w:w="377"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1.13</w:t>
            </w:r>
          </w:p>
        </w:tc>
        <w:tc>
          <w:tcPr>
            <w:tcW w:w="332"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混凝土强度</w:t>
            </w: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kern w:val="0"/>
                <w:sz w:val="20"/>
                <w:szCs w:val="20"/>
              </w:rPr>
            </w:pPr>
          </w:p>
          <w:p>
            <w:pPr>
              <w:widowControl/>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回弹</w:t>
            </w:r>
          </w:p>
          <w:p>
            <w:pPr>
              <w:widowControl/>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w:t>
            </w:r>
          </w:p>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钻芯综合法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32"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超声回弹综合法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bottom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1.14</w:t>
            </w:r>
          </w:p>
        </w:tc>
        <w:tc>
          <w:tcPr>
            <w:tcW w:w="630" w:type="pct"/>
            <w:gridSpan w:val="2"/>
            <w:tcBorders>
              <w:bottom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混凝土碳化深度</w:t>
            </w:r>
          </w:p>
        </w:tc>
        <w:tc>
          <w:tcPr>
            <w:tcW w:w="1805" w:type="pct"/>
            <w:tcBorders>
              <w:bottom w:val="single" w:color="auto" w:sz="4" w:space="0"/>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1.15</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钢筋位置及保护层厚度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1.16</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氯离子含量</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443" w:type="pct"/>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隧道主体结构</w:t>
            </w: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断面尺寸</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630" w:type="pct"/>
            <w:gridSpan w:val="2"/>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锚杆拉拔力</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630" w:type="pct"/>
            <w:gridSpan w:val="2"/>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44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隧道主体结构</w:t>
            </w: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2.3</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衬砌厚度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衬砌及背后密实状况</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墙面平整度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钢筋网格尺寸</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2.7</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锚杆长度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2.8</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锚杆锚固密实度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2.9</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管片几何尺寸</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2.10</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错台</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2.11</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椭圆度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44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隧道主体结构</w:t>
            </w:r>
          </w:p>
        </w:tc>
        <w:tc>
          <w:tcPr>
            <w:tcW w:w="377"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2.12</w:t>
            </w:r>
          </w:p>
        </w:tc>
        <w:tc>
          <w:tcPr>
            <w:tcW w:w="332" w:type="pct"/>
            <w:vMerge w:val="restart"/>
            <w:tcBorders>
              <w:tl2br w:val="nil"/>
              <w:tr2bl w:val="nil"/>
            </w:tcBorders>
            <w:shd w:val="clear" w:color="auto" w:fill="auto"/>
            <w:vAlign w:val="center"/>
          </w:tcPr>
          <w:p>
            <w:pPr>
              <w:widowControl/>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混凝土</w:t>
            </w:r>
          </w:p>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强度</w:t>
            </w: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钻芯法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回弹-钻芯综合法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3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29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超声回弹综合法</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84"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443" w:type="pct"/>
            <w:vMerge w:val="continue"/>
            <w:tcBorders>
              <w:top w:val="single" w:color="auto" w:sz="4" w:space="0"/>
              <w:bottom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77"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2.13</w:t>
            </w:r>
          </w:p>
        </w:tc>
        <w:tc>
          <w:tcPr>
            <w:tcW w:w="630" w:type="pct"/>
            <w:gridSpan w:val="2"/>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钢筋位置及保护层厚度</w:t>
            </w:r>
          </w:p>
        </w:tc>
        <w:tc>
          <w:tcPr>
            <w:tcW w:w="1805" w:type="pct"/>
            <w:tcBorders>
              <w:tl2br w:val="nil"/>
              <w:tr2bl w:val="nil"/>
            </w:tcBorders>
            <w:shd w:val="clear" w:color="auto" w:fill="auto"/>
            <w:vAlign w:val="center"/>
          </w:tcPr>
          <w:p>
            <w:pPr>
              <w:widowControl/>
              <w:jc w:val="left"/>
              <w:textAlignment w:val="top"/>
              <w:rPr>
                <w:rFonts w:hint="default" w:ascii="Times New Roman" w:hAnsi="Times New Roman" w:cs="Times New Roman"/>
                <w:color w:val="000000"/>
                <w:sz w:val="20"/>
                <w:szCs w:val="20"/>
              </w:rPr>
            </w:pPr>
          </w:p>
        </w:tc>
        <w:tc>
          <w:tcPr>
            <w:tcW w:w="45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512"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90" w:type="pct"/>
            <w:tcBorders>
              <w:tl2br w:val="nil"/>
              <w:tr2bl w:val="nil"/>
            </w:tcBorders>
            <w:shd w:val="clear" w:color="auto" w:fill="auto"/>
            <w:vAlign w:val="center"/>
          </w:tcPr>
          <w:p>
            <w:pPr>
              <w:rPr>
                <w:rFonts w:hint="default" w:ascii="Times New Roman" w:hAnsi="Times New Roman" w:cs="Times New Roman"/>
                <w:color w:val="000000"/>
                <w:sz w:val="20"/>
                <w:szCs w:val="20"/>
              </w:rPr>
            </w:pPr>
          </w:p>
        </w:tc>
      </w:tr>
    </w:tbl>
    <w:p>
      <w:pPr>
        <w:widowControl/>
        <w:shd w:val="clear" w:color="auto" w:fill="FFFFFF"/>
        <w:wordWrap w:val="0"/>
        <w:spacing w:before="120" w:after="240" w:line="400" w:lineRule="exact"/>
        <w:ind w:right="431"/>
        <w:jc w:val="left"/>
        <w:rPr>
          <w:rFonts w:hint="default" w:ascii="Times New Roman" w:hAnsi="Times New Roman" w:cs="Times New Roman"/>
          <w:kern w:val="0"/>
          <w:sz w:val="20"/>
          <w:szCs w:val="20"/>
        </w:rPr>
        <w:sectPr>
          <w:pgSz w:w="11906" w:h="16838"/>
          <w:pgMar w:top="1383" w:right="1689" w:bottom="1383" w:left="1689" w:header="851" w:footer="992" w:gutter="0"/>
          <w:pgNumType w:fmt="numberInDash"/>
          <w:cols w:space="425" w:num="1"/>
          <w:docGrid w:type="lines" w:linePitch="312" w:charSpace="0"/>
        </w:sectPr>
      </w:pPr>
    </w:p>
    <w:p>
      <w:pPr>
        <w:widowControl/>
        <w:shd w:val="clear" w:color="auto" w:fill="FFFFFF"/>
        <w:wordWrap w:val="0"/>
        <w:spacing w:line="440"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九、桥梁与地下工程检测项目/参数能力表（可选）</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77"/>
        <w:gridCol w:w="602"/>
        <w:gridCol w:w="702"/>
        <w:gridCol w:w="583"/>
        <w:gridCol w:w="762"/>
        <w:gridCol w:w="3228"/>
        <w:gridCol w:w="682"/>
        <w:gridCol w:w="842"/>
        <w:gridCol w:w="5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3" w:hRule="atLeast"/>
          <w:tblHeader/>
          <w:jc w:val="center"/>
        </w:trPr>
        <w:tc>
          <w:tcPr>
            <w:tcW w:w="5000" w:type="pct"/>
            <w:gridSpan w:val="9"/>
            <w:tcBorders>
              <w:top w:val="nil"/>
              <w:left w:val="nil"/>
              <w:bottom w:val="single" w:color="auto" w:sz="4" w:space="0"/>
              <w:right w:val="nil"/>
              <w:tl2br w:val="nil"/>
              <w:tr2bl w:val="nil"/>
            </w:tcBorders>
            <w:shd w:val="clear" w:color="auto" w:fill="auto"/>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0"/>
                <w:sz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jc w:val="center"/>
        </w:trPr>
        <w:tc>
          <w:tcPr>
            <w:tcW w:w="33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3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检测项目</w:t>
            </w:r>
          </w:p>
        </w:tc>
        <w:tc>
          <w:tcPr>
            <w:tcW w:w="1201"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检测参数</w:t>
            </w:r>
          </w:p>
        </w:tc>
        <w:tc>
          <w:tcPr>
            <w:tcW w:w="189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检测标准</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（方法）</w:t>
            </w:r>
          </w:p>
        </w:tc>
        <w:tc>
          <w:tcPr>
            <w:tcW w:w="89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确认结果</w:t>
            </w:r>
          </w:p>
        </w:tc>
        <w:tc>
          <w:tcPr>
            <w:tcW w:w="31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jc w:val="center"/>
        </w:trPr>
        <w:tc>
          <w:tcPr>
            <w:tcW w:w="33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default" w:ascii="Times New Roman" w:hAnsi="Times New Roman" w:cs="Times New Roman"/>
                <w:color w:val="000000"/>
                <w:sz w:val="20"/>
                <w:szCs w:val="20"/>
              </w:rPr>
            </w:pPr>
          </w:p>
        </w:tc>
        <w:tc>
          <w:tcPr>
            <w:tcW w:w="3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78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名称</w:t>
            </w:r>
          </w:p>
        </w:tc>
        <w:tc>
          <w:tcPr>
            <w:tcW w:w="18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p>
        </w:tc>
        <w:tc>
          <w:tcPr>
            <w:tcW w:w="4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w:t>
            </w:r>
          </w:p>
        </w:tc>
        <w:tc>
          <w:tcPr>
            <w:tcW w:w="49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不通过</w:t>
            </w:r>
          </w:p>
        </w:tc>
        <w:tc>
          <w:tcPr>
            <w:tcW w:w="31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jc w:val="center"/>
        </w:trPr>
        <w:tc>
          <w:tcPr>
            <w:tcW w:w="33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3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桥梁结构与构件*</w:t>
            </w:r>
          </w:p>
        </w:tc>
        <w:tc>
          <w:tcPr>
            <w:tcW w:w="41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78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外观质量*</w:t>
            </w:r>
          </w:p>
        </w:tc>
        <w:tc>
          <w:tcPr>
            <w:tcW w:w="1894" w:type="pct"/>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jc w:val="left"/>
              <w:textAlignment w:val="top"/>
              <w:rPr>
                <w:rFonts w:hint="default" w:ascii="Times New Roman" w:hAnsi="Times New Roman" w:cs="Times New Roman"/>
                <w:color w:val="000000"/>
                <w:sz w:val="20"/>
                <w:szCs w:val="20"/>
              </w:rPr>
            </w:pPr>
          </w:p>
        </w:tc>
        <w:tc>
          <w:tcPr>
            <w:tcW w:w="400"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内部缺陷*</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预应力孔道摩阻损失*</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有效预应力*</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7"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孔道压浆密实性*</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风速*</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339" w:type="pct"/>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桥梁结构与构件*</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温度*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bottom w:val="single" w:color="auto" w:sz="4" w:space="0"/>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加速度*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1.9</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速度*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1.10</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冲击性能*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混凝土电阻率*</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钢筋锈蚀状况*</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339" w:type="pct"/>
            <w:vMerge w:val="continue"/>
            <w:tcBorders>
              <w:left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1.13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FF"/>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353"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隧道主体结构*</w:t>
            </w:r>
          </w:p>
        </w:tc>
        <w:tc>
          <w:tcPr>
            <w:tcW w:w="412"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789"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外观质量*</w:t>
            </w:r>
          </w:p>
        </w:tc>
        <w:tc>
          <w:tcPr>
            <w:tcW w:w="1894" w:type="pct"/>
            <w:vMerge w:val="restar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789" w:type="pct"/>
            <w:gridSpan w:val="2"/>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1894"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0"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内部缺陷*</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2"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隧道主体结构*</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衬砌内钢筋间距*</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仰拱厚度*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渗漏水*</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钢筋锈蚀状况*</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FF"/>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restar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353"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桥梁及附属物*</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桥面系外观质量*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桥梁上部外观质量*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桥梁下部外观质量*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桥梁及附属物*</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桥梁附属设施外观质量*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tcBorders>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353"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桥梁支座*</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桥梁支座*</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内在质量*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4.3</w:t>
            </w:r>
          </w:p>
        </w:tc>
        <w:tc>
          <w:tcPr>
            <w:tcW w:w="789"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竖向压缩变形*</w:t>
            </w:r>
          </w:p>
        </w:tc>
        <w:tc>
          <w:tcPr>
            <w:tcW w:w="1894" w:type="pct"/>
            <w:vMerge w:val="restar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789" w:type="pct"/>
            <w:gridSpan w:val="2"/>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1894"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0"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抗压弹性模量*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39"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极限抗压强度*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桥梁支座*</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盆环径向变形*</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抗剪弹性模量*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抗剪粘结性能*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4.9</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抗剪老化*</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4.10</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承载力*</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桥梁支座*</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摩擦系数*</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转动性能*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4.13</w:t>
            </w:r>
          </w:p>
        </w:tc>
        <w:tc>
          <w:tcPr>
            <w:tcW w:w="789" w:type="pct"/>
            <w:gridSpan w:val="2"/>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尺寸偏差*</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4.14</w:t>
            </w:r>
          </w:p>
        </w:tc>
        <w:tc>
          <w:tcPr>
            <w:tcW w:w="789" w:type="pct"/>
            <w:gridSpan w:val="2"/>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转角试验*</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4.15</w:t>
            </w:r>
          </w:p>
        </w:tc>
        <w:tc>
          <w:tcPr>
            <w:tcW w:w="789" w:type="pct"/>
            <w:gridSpan w:val="2"/>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FF"/>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353" w:type="pc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桥梁伸缩装置*</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桥梁伸缩装置*</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尺寸偏差*</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焊缝尺寸*</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焊缝探伤*</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涂层附着力*</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涂层厚度*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橡胶密封带夹持性能*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桥梁伸缩装置*</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装配公差*</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5.9</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变形性能*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5.10</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防水性能*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承载性能*</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5.12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FF"/>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353" w:type="pct"/>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隧道环境*</w:t>
            </w:r>
          </w:p>
        </w:tc>
        <w:tc>
          <w:tcPr>
            <w:tcW w:w="412"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w:t>
            </w:r>
          </w:p>
        </w:tc>
        <w:tc>
          <w:tcPr>
            <w:tcW w:w="789" w:type="pct"/>
            <w:gridSpan w:val="2"/>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照度*</w:t>
            </w:r>
          </w:p>
        </w:tc>
        <w:tc>
          <w:tcPr>
            <w:tcW w:w="1894" w:type="pct"/>
            <w:vMerge w:val="restar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vMerge w:val="restar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789" w:type="pct"/>
            <w:gridSpan w:val="2"/>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1894"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00"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vMerge w:val="continue"/>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噪声*</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风速*</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一氧化碳浓度*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二氧化碳浓度*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二氧化硫浓度*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氧浓度*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一氧化氮浓度*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6.9</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二氧化氮浓度*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6.10</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瓦斯浓度*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353" w:type="pct"/>
            <w:vMerge w:val="restart"/>
            <w:tcBorders>
              <w:top w:val="single" w:color="auto" w:sz="4" w:space="0"/>
              <w:tl2br w:val="nil"/>
              <w:tr2bl w:val="nil"/>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隧道环境*</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硫化氢浓度*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烟尘浓度*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center"/>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339" w:type="pct"/>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353" w:type="pct"/>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人行天桥及</w:t>
            </w:r>
          </w:p>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地下通道*</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自振频率*</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桥面线形*</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地基承载力*</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变形缝质量*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防水层的缝宽和搭接长度*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尺寸*</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栏杆水平推力*</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339" w:type="pct"/>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353" w:type="pct"/>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综合管廊主体结构*</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断面尺寸*</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9"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衬砌厚度*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衬砌密实性*</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8.4</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墙面平整度*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衬砌内钢筋间距*</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8.6</w:t>
            </w:r>
          </w:p>
        </w:tc>
        <w:tc>
          <w:tcPr>
            <w:tcW w:w="342" w:type="pct"/>
            <w:vMerge w:val="restar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混凝土强度*</w:t>
            </w: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4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钻芯法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4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回弹-钻芯综合法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4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超声回弹综合法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综合管廊主体结构*</w:t>
            </w: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钢筋保护层厚度*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钢筋锈蚀状况*</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8.9</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339" w:type="pct"/>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353" w:type="pct"/>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涵洞主体结构*</w:t>
            </w: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9.1</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外观质量*</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9.2</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地基承载力*</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9.3</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回填土压实度*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9.4</w:t>
            </w:r>
          </w:p>
        </w:tc>
        <w:tc>
          <w:tcPr>
            <w:tcW w:w="342"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混凝土强度*</w:t>
            </w: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2"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涵洞主体结构*</w:t>
            </w:r>
          </w:p>
        </w:tc>
        <w:tc>
          <w:tcPr>
            <w:tcW w:w="412" w:type="pct"/>
            <w:vMerge w:val="restart"/>
            <w:tcBorders>
              <w:top w:val="single" w:color="auto" w:sz="4" w:space="0"/>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9.4</w:t>
            </w:r>
          </w:p>
        </w:tc>
        <w:tc>
          <w:tcPr>
            <w:tcW w:w="342"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混凝土强度*</w:t>
            </w: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钻芯法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4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回弹-钻芯综合法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vMerge w:val="continue"/>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342" w:type="pct"/>
            <w:vMerge w:val="continue"/>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46" w:type="pct"/>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超声回弹综合法</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9.5</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钢筋保护层厚度*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9.6</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断面尺寸*</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9.7</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接缝宽度*</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39" w:type="pct"/>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353" w:type="pct"/>
            <w:vMerge w:val="restar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涵洞主体结构*</w:t>
            </w: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9.8</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错台*</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9.9</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钢筋锈蚀状况*</w:t>
            </w:r>
          </w:p>
        </w:tc>
        <w:tc>
          <w:tcPr>
            <w:tcW w:w="1894" w:type="pct"/>
            <w:tcBorders>
              <w:tl2br w:val="nil"/>
              <w:tr2bl w:val="nil"/>
            </w:tcBorders>
            <w:shd w:val="clear" w:color="auto" w:fill="auto"/>
            <w:vAlign w:val="top"/>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339"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353" w:type="pct"/>
            <w:vMerge w:val="continue"/>
            <w:tcBorders>
              <w:top w:val="single" w:color="auto" w:sz="4" w:space="0"/>
              <w:bottom w:val="single" w:color="auto" w:sz="4" w:space="0"/>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412" w:type="pct"/>
            <w:tcBorders>
              <w:tl2br w:val="nil"/>
              <w:tr2bl w:val="nil"/>
            </w:tcBorders>
            <w:shd w:val="clear" w:color="auto" w:fill="auto"/>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9.10</w:t>
            </w:r>
          </w:p>
        </w:tc>
        <w:tc>
          <w:tcPr>
            <w:tcW w:w="789" w:type="pct"/>
            <w:gridSpan w:val="2"/>
            <w:tcBorders>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1894" w:type="pct"/>
            <w:tcBorders>
              <w:tl2br w:val="nil"/>
              <w:tr2bl w:val="nil"/>
            </w:tcBorders>
            <w:shd w:val="clear" w:color="auto" w:fill="auto"/>
            <w:vAlign w:val="top"/>
          </w:tcPr>
          <w:p>
            <w:pPr>
              <w:jc w:val="left"/>
              <w:rPr>
                <w:rFonts w:hint="default" w:ascii="Times New Roman" w:hAnsi="Times New Roman" w:eastAsia="宋体" w:cs="Times New Roman"/>
                <w:color w:val="000000"/>
                <w:sz w:val="20"/>
                <w:szCs w:val="20"/>
                <w:lang w:val="en-US" w:eastAsia="zh-CN"/>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tcPr>
          <w:p>
            <w:pPr>
              <w:jc w:val="left"/>
              <w:rPr>
                <w:rFonts w:hint="default"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339"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353" w:type="pct"/>
            <w:tcBorders>
              <w:top w:val="single" w:color="auto" w:sz="4" w:space="0"/>
              <w:tl2br w:val="nil"/>
              <w:tr2bl w:val="nil"/>
            </w:tcBorders>
            <w:shd w:val="clear" w:color="auto" w:fill="auto"/>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w:t>
            </w:r>
          </w:p>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它</w:t>
            </w:r>
          </w:p>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412" w:type="pct"/>
            <w:tcBorders>
              <w:tl2br w:val="nil"/>
              <w:tr2bl w:val="nil"/>
            </w:tcBorders>
            <w:shd w:val="clear" w:color="auto" w:fill="auto"/>
            <w:vAlign w:val="center"/>
          </w:tcPr>
          <w:p>
            <w:pPr>
              <w:rPr>
                <w:rFonts w:hint="default" w:ascii="Times New Roman" w:hAnsi="Times New Roman" w:cs="Times New Roman"/>
                <w:color w:val="000000"/>
                <w:sz w:val="20"/>
                <w:szCs w:val="20"/>
              </w:rPr>
            </w:pPr>
          </w:p>
        </w:tc>
        <w:tc>
          <w:tcPr>
            <w:tcW w:w="789" w:type="pct"/>
            <w:gridSpan w:val="2"/>
            <w:tcBorders>
              <w:tl2br w:val="nil"/>
              <w:tr2bl w:val="nil"/>
            </w:tcBorders>
            <w:shd w:val="clear" w:color="auto" w:fill="auto"/>
            <w:vAlign w:val="center"/>
          </w:tcPr>
          <w:p>
            <w:pPr>
              <w:jc w:val="left"/>
              <w:rPr>
                <w:rFonts w:hint="default" w:ascii="Times New Roman" w:hAnsi="Times New Roman" w:cs="Times New Roman"/>
                <w:color w:val="000000"/>
                <w:sz w:val="20"/>
                <w:szCs w:val="20"/>
              </w:rPr>
            </w:pPr>
          </w:p>
        </w:tc>
        <w:tc>
          <w:tcPr>
            <w:tcW w:w="18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00"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494" w:type="pct"/>
            <w:tcBorders>
              <w:tl2br w:val="nil"/>
              <w:tr2bl w:val="nil"/>
            </w:tcBorders>
            <w:shd w:val="clear" w:color="auto" w:fill="auto"/>
          </w:tcPr>
          <w:p>
            <w:pPr>
              <w:jc w:val="left"/>
              <w:rPr>
                <w:rFonts w:hint="default" w:ascii="Times New Roman" w:hAnsi="Times New Roman" w:cs="Times New Roman"/>
                <w:color w:val="000000"/>
                <w:sz w:val="20"/>
                <w:szCs w:val="20"/>
              </w:rPr>
            </w:pPr>
          </w:p>
        </w:tc>
        <w:tc>
          <w:tcPr>
            <w:tcW w:w="316" w:type="pct"/>
            <w:tcBorders>
              <w:tl2br w:val="nil"/>
              <w:tr2bl w:val="nil"/>
            </w:tcBorders>
            <w:shd w:val="clear" w:color="auto" w:fill="auto"/>
            <w:noWrap/>
            <w:vAlign w:val="center"/>
          </w:tcPr>
          <w:p>
            <w:pPr>
              <w:rPr>
                <w:rFonts w:hint="default" w:ascii="Times New Roman" w:hAnsi="Times New Roman" w:cs="Times New Roman"/>
                <w:color w:val="000000"/>
                <w:sz w:val="20"/>
                <w:szCs w:val="20"/>
              </w:rPr>
            </w:pPr>
          </w:p>
        </w:tc>
      </w:tr>
    </w:tbl>
    <w:p>
      <w:pPr>
        <w:widowControl/>
        <w:shd w:val="clear" w:color="auto" w:fill="FFFFFF"/>
        <w:wordWrap w:val="0"/>
        <w:spacing w:before="120" w:after="240" w:line="400" w:lineRule="exact"/>
        <w:ind w:right="431"/>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 xml:space="preserve">检测机构法定代表人或被授权人（适用时）签名：         </w:t>
      </w:r>
    </w:p>
    <w:p>
      <w:pPr>
        <w:widowControl/>
        <w:shd w:val="clear" w:color="auto" w:fill="FFFFFF"/>
        <w:wordWrap w:val="0"/>
        <w:spacing w:before="120" w:after="240" w:line="400" w:lineRule="exact"/>
        <w:ind w:right="431"/>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评审组长签名：</w:t>
      </w:r>
    </w:p>
    <w:p>
      <w:pPr>
        <w:widowControl/>
        <w:shd w:val="clear" w:color="auto" w:fill="FFFFFF"/>
        <w:wordWrap w:val="0"/>
        <w:spacing w:before="120" w:after="240" w:line="400" w:lineRule="exact"/>
        <w:ind w:right="431"/>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评审人员签名：</w:t>
      </w:r>
    </w:p>
    <w:p>
      <w:pPr>
        <w:widowControl/>
        <w:shd w:val="clear" w:color="auto" w:fill="FFFFFF"/>
        <w:wordWrap w:val="0"/>
        <w:snapToGrid/>
        <w:spacing w:before="120" w:after="240" w:line="543" w:lineRule="atLeast"/>
        <w:ind w:right="433"/>
        <w:jc w:val="left"/>
        <w:rPr>
          <w:rFonts w:hint="default" w:ascii="Times New Roman" w:hAnsi="Times New Roman" w:cs="Times New Roman"/>
        </w:rPr>
      </w:pPr>
      <w:r>
        <w:rPr>
          <w:rFonts w:hint="default" w:ascii="Times New Roman" w:hAnsi="Times New Roman" w:eastAsia="宋体" w:cs="Times New Roman"/>
          <w:kern w:val="0"/>
          <w:sz w:val="24"/>
          <w:szCs w:val="24"/>
        </w:rPr>
        <w:t xml:space="preserve">日期：    年 </w:t>
      </w:r>
      <w:r>
        <w:rPr>
          <w:rFonts w:hint="default" w:ascii="Times New Roman" w:hAnsi="Times New Roman"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月 </w:t>
      </w:r>
      <w:r>
        <w:rPr>
          <w:rFonts w:hint="default" w:ascii="Times New Roman" w:hAnsi="Times New Roman"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日</w:t>
      </w:r>
    </w:p>
    <w:p>
      <w:pPr>
        <w:widowControl/>
        <w:shd w:val="clear" w:color="auto" w:fill="FFFFFF"/>
        <w:wordWrap w:val="0"/>
        <w:snapToGrid w:val="0"/>
        <w:spacing w:before="120" w:line="300" w:lineRule="atLeast"/>
        <w:ind w:right="-336"/>
        <w:jc w:val="left"/>
        <w:rPr>
          <w:rFonts w:hint="eastAsia" w:ascii="Times New Roman" w:hAnsi="Times New Roman" w:cs="Times New Roman"/>
          <w:color w:val="auto"/>
          <w:kern w:val="0"/>
          <w:sz w:val="24"/>
          <w:lang w:val="en-US" w:eastAsia="zh-CN"/>
        </w:rPr>
      </w:pPr>
      <w:r>
        <w:rPr>
          <w:rFonts w:hint="default" w:ascii="Times New Roman" w:hAnsi="Times New Roman" w:eastAsia="宋体" w:cs="Times New Roman"/>
          <w:kern w:val="0"/>
          <w:sz w:val="24"/>
        </w:rPr>
        <w:t>注</w:t>
      </w:r>
      <w:r>
        <w:rPr>
          <w:rFonts w:hint="default" w:ascii="Times New Roman" w:hAnsi="Times New Roman" w:eastAsia="宋体" w:cs="Times New Roman"/>
          <w:color w:val="auto"/>
          <w:kern w:val="0"/>
          <w:sz w:val="24"/>
        </w:rPr>
        <w:t>1</w:t>
      </w:r>
      <w:r>
        <w:rPr>
          <w:rFonts w:hint="eastAsia" w:ascii="Times New Roman" w:hAnsi="Times New Roman" w:cs="Times New Roman"/>
          <w:color w:val="auto"/>
          <w:kern w:val="0"/>
          <w:sz w:val="24"/>
          <w:lang w:val="en-US" w:eastAsia="zh-CN"/>
        </w:rPr>
        <w:t>.</w:t>
      </w:r>
      <w:r>
        <w:rPr>
          <w:rFonts w:hint="default" w:ascii="Times New Roman" w:hAnsi="Times New Roman" w:eastAsia="宋体" w:cs="Times New Roman"/>
          <w:color w:val="auto"/>
          <w:kern w:val="0"/>
          <w:sz w:val="24"/>
        </w:rPr>
        <w:t>检测项目/参数</w:t>
      </w:r>
      <w:r>
        <w:rPr>
          <w:rFonts w:hint="eastAsia" w:ascii="Times New Roman" w:hAnsi="Times New Roman" w:cs="Times New Roman"/>
          <w:color w:val="auto"/>
          <w:kern w:val="0"/>
          <w:sz w:val="24"/>
          <w:lang w:val="en-US" w:eastAsia="zh-CN"/>
        </w:rPr>
        <w:t>栏应由检测机构填写，其内容与《建设工程质量检测机构资质申请表》中表九</w:t>
      </w:r>
      <w:r>
        <w:rPr>
          <w:rFonts w:hint="eastAsia" w:ascii="宋体" w:hAnsi="宋体" w:eastAsia="宋体" w:cs="宋体"/>
          <w:color w:val="auto"/>
          <w:kern w:val="0"/>
          <w:sz w:val="24"/>
          <w:lang w:val="en-US" w:eastAsia="zh-CN"/>
        </w:rPr>
        <w:t>&lt;</w:t>
      </w:r>
      <w:r>
        <w:rPr>
          <w:rFonts w:hint="eastAsia" w:ascii="Times New Roman" w:hAnsi="Times New Roman" w:cs="Times New Roman"/>
          <w:color w:val="auto"/>
          <w:kern w:val="0"/>
          <w:sz w:val="24"/>
          <w:lang w:val="en-US" w:eastAsia="zh-CN"/>
        </w:rPr>
        <w:t>检测专项及检测能力表</w:t>
      </w:r>
      <w:r>
        <w:rPr>
          <w:rFonts w:hint="eastAsia" w:ascii="宋体" w:hAnsi="宋体" w:eastAsia="宋体" w:cs="宋体"/>
          <w:color w:val="auto"/>
          <w:kern w:val="0"/>
          <w:sz w:val="24"/>
          <w:lang w:val="en-US" w:eastAsia="zh-CN"/>
        </w:rPr>
        <w:t>&gt;</w:t>
      </w:r>
      <w:r>
        <w:rPr>
          <w:rFonts w:hint="eastAsia" w:ascii="Times New Roman" w:hAnsi="Times New Roman" w:cs="Times New Roman"/>
          <w:color w:val="auto"/>
          <w:kern w:val="0"/>
          <w:sz w:val="24"/>
          <w:lang w:val="en-US" w:eastAsia="zh-CN"/>
        </w:rPr>
        <w:t xml:space="preserve">一致， </w:t>
      </w:r>
    </w:p>
    <w:p>
      <w:pPr>
        <w:widowControl/>
        <w:shd w:val="clear" w:color="auto" w:fill="FFFFFF"/>
        <w:wordWrap w:val="0"/>
        <w:snapToGrid w:val="0"/>
        <w:spacing w:before="120" w:line="300" w:lineRule="atLeast"/>
        <w:ind w:right="-336" w:firstLine="240" w:firstLineChars="100"/>
        <w:jc w:val="left"/>
        <w:rPr>
          <w:rFonts w:hint="default" w:ascii="Times New Roman" w:hAnsi="Times New Roman" w:eastAsia="宋体" w:cs="Times New Roman"/>
          <w:color w:val="auto"/>
          <w:kern w:val="0"/>
          <w:sz w:val="24"/>
        </w:rPr>
      </w:pPr>
      <w:r>
        <w:rPr>
          <w:rFonts w:hint="eastAsia" w:ascii="Times New Roman" w:hAnsi="Times New Roman" w:cs="Times New Roman"/>
          <w:color w:val="auto"/>
          <w:kern w:val="0"/>
          <w:sz w:val="24"/>
          <w:lang w:val="en-US" w:eastAsia="zh-CN"/>
        </w:rPr>
        <w:t>2.检测标准（方法）栏应由检测机构填写，内容应明确到相应标准规范的具体条款。</w:t>
      </w:r>
    </w:p>
    <w:p>
      <w:pPr>
        <w:widowControl/>
        <w:shd w:val="clear" w:color="auto" w:fill="FFFFFF"/>
        <w:wordWrap w:val="0"/>
        <w:snapToGrid w:val="0"/>
        <w:spacing w:before="120" w:line="300" w:lineRule="atLeast"/>
        <w:ind w:right="-336" w:firstLine="240" w:firstLineChars="100"/>
        <w:jc w:val="left"/>
        <w:rPr>
          <w:rFonts w:hint="default" w:ascii="Times New Roman" w:hAnsi="Times New Roman" w:eastAsia="宋体" w:cs="Times New Roman"/>
          <w:kern w:val="0"/>
          <w:sz w:val="24"/>
        </w:rPr>
      </w:pPr>
      <w:r>
        <w:rPr>
          <w:rFonts w:hint="eastAsia" w:ascii="Times New Roman" w:hAnsi="Times New Roman" w:cs="Times New Roman"/>
          <w:kern w:val="0"/>
          <w:sz w:val="24"/>
          <w:lang w:val="en-US" w:eastAsia="zh-CN"/>
        </w:rPr>
        <w:t>3.</w:t>
      </w:r>
      <w:r>
        <w:rPr>
          <w:rFonts w:hint="default" w:ascii="Times New Roman" w:hAnsi="Times New Roman" w:eastAsia="宋体" w:cs="Times New Roman"/>
          <w:kern w:val="0"/>
          <w:sz w:val="24"/>
        </w:rPr>
        <w:t>带“*”的检测项目/参数为本资质可选项目。</w:t>
      </w:r>
    </w:p>
    <w:p>
      <w:pPr>
        <w:widowControl/>
        <w:shd w:val="clear" w:color="auto" w:fill="FFFFFF"/>
        <w:wordWrap w:val="0"/>
        <w:snapToGrid w:val="0"/>
        <w:spacing w:before="120" w:line="300" w:lineRule="atLeast"/>
        <w:ind w:right="-336" w:firstLine="240" w:firstLineChars="100"/>
        <w:jc w:val="left"/>
        <w:rPr>
          <w:rFonts w:hint="default" w:ascii="Times New Roman" w:hAnsi="Times New Roman" w:eastAsia="宋体" w:cs="Times New Roman"/>
          <w:kern w:val="0"/>
          <w:sz w:val="24"/>
        </w:rPr>
      </w:pPr>
      <w:r>
        <w:rPr>
          <w:rFonts w:hint="eastAsia" w:ascii="Times New Roman" w:hAnsi="Times New Roman" w:cs="Times New Roman"/>
          <w:kern w:val="0"/>
          <w:sz w:val="24"/>
          <w:lang w:val="en-US" w:eastAsia="zh-CN"/>
        </w:rPr>
        <w:t>4.</w:t>
      </w:r>
      <w:r>
        <w:rPr>
          <w:rFonts w:hint="default" w:ascii="Times New Roman" w:hAnsi="Times New Roman" w:eastAsia="宋体" w:cs="Times New Roman"/>
          <w:kern w:val="0"/>
          <w:sz w:val="24"/>
        </w:rPr>
        <w:t>通过的打“</w:t>
      </w:r>
      <w:r>
        <w:rPr>
          <w:rFonts w:hint="default" w:ascii="Times New Roman" w:hAnsi="Times New Roman" w:eastAsia="宋体" w:cs="Times New Roman"/>
          <w:kern w:val="0"/>
          <w:sz w:val="24"/>
        </w:rPr>
        <w:sym w:font="Wingdings" w:char="F0FC"/>
      </w:r>
      <w:r>
        <w:rPr>
          <w:rFonts w:hint="default" w:ascii="Times New Roman" w:hAnsi="Times New Roman" w:eastAsia="宋体" w:cs="Times New Roman"/>
          <w:kern w:val="0"/>
          <w:sz w:val="24"/>
        </w:rPr>
        <w:t>”、不通过的打“×”并说明理由。</w:t>
      </w:r>
    </w:p>
    <w:p>
      <w:pPr>
        <w:widowControl/>
        <w:shd w:val="clear" w:color="auto" w:fill="FFFFFF"/>
        <w:wordWrap w:val="0"/>
        <w:snapToGrid w:val="0"/>
        <w:spacing w:before="120" w:line="300" w:lineRule="atLeast"/>
        <w:ind w:right="-336" w:firstLine="240" w:firstLineChars="100"/>
        <w:jc w:val="left"/>
        <w:rPr>
          <w:rFonts w:hint="default" w:ascii="Times New Roman" w:hAnsi="Times New Roman" w:eastAsia="宋体" w:cs="Times New Roman"/>
          <w:kern w:val="0"/>
          <w:sz w:val="24"/>
        </w:rPr>
      </w:pPr>
      <w:r>
        <w:rPr>
          <w:rFonts w:hint="eastAsia" w:ascii="Times New Roman" w:hAnsi="Times New Roman" w:cs="Times New Roman"/>
          <w:kern w:val="0"/>
          <w:sz w:val="24"/>
          <w:lang w:val="en-US" w:eastAsia="zh-CN"/>
        </w:rPr>
        <w:t>5.</w:t>
      </w:r>
      <w:r>
        <w:rPr>
          <w:rFonts w:hint="default" w:ascii="Times New Roman" w:hAnsi="Times New Roman" w:eastAsia="宋体" w:cs="Times New Roman"/>
          <w:kern w:val="0"/>
          <w:sz w:val="24"/>
        </w:rPr>
        <w:t>其它为建设工程质量验收规范涉及到的项目参数。</w:t>
      </w:r>
    </w:p>
    <w:p>
      <w:pPr>
        <w:pStyle w:val="8"/>
        <w:rPr>
          <w:rFonts w:hint="default" w:ascii="Times New Roman" w:hAnsi="Times New Roman" w:cs="Times New Roman"/>
        </w:rPr>
      </w:pPr>
    </w:p>
    <w:p>
      <w:pPr>
        <w:jc w:val="left"/>
        <w:rPr>
          <w:rFonts w:hint="default" w:ascii="Times New Roman" w:hAnsi="Times New Roman" w:eastAsia="黑体" w:cs="Times New Roman"/>
          <w:sz w:val="32"/>
          <w:szCs w:val="32"/>
        </w:rPr>
      </w:pPr>
      <w:r>
        <w:rPr>
          <w:rFonts w:hint="default" w:ascii="Times New Roman" w:hAnsi="Times New Roman" w:eastAsia="宋体" w:cs="Times New Roman"/>
          <w:kern w:val="0"/>
          <w:sz w:val="15"/>
          <w:szCs w:val="15"/>
        </w:rPr>
        <w:br w:type="page"/>
      </w:r>
      <w:r>
        <w:rPr>
          <w:rFonts w:hint="default" w:ascii="Times New Roman" w:hAnsi="Times New Roman" w:eastAsia="黑体" w:cs="Times New Roman"/>
          <w:sz w:val="32"/>
          <w:szCs w:val="32"/>
        </w:rPr>
        <w:t>附表2</w:t>
      </w:r>
    </w:p>
    <w:p>
      <w:pPr>
        <w:widowControl/>
        <w:shd w:val="clear" w:color="auto" w:fill="FFFFFF"/>
        <w:wordWrap w:val="0"/>
        <w:snapToGrid w:val="0"/>
        <w:spacing w:line="543" w:lineRule="atLeast"/>
        <w:ind w:right="-336"/>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报告批准人汇总表</w:t>
      </w:r>
    </w:p>
    <w:p>
      <w:pPr>
        <w:widowControl/>
        <w:shd w:val="clear" w:color="auto" w:fill="FFFFFF"/>
        <w:wordWrap w:val="0"/>
        <w:snapToGrid w:val="0"/>
        <w:spacing w:line="300" w:lineRule="atLeast"/>
        <w:ind w:left="-567" w:leftChars="-270" w:right="-625" w:firstLine="480" w:firstLineChars="200"/>
        <w:jc w:val="left"/>
        <w:rPr>
          <w:rFonts w:hint="default" w:ascii="Times New Roman" w:hAnsi="Times New Roman" w:cs="Times New Roman"/>
          <w:color w:val="000000"/>
          <w:szCs w:val="21"/>
        </w:rPr>
      </w:pPr>
      <w:r>
        <w:rPr>
          <w:rFonts w:hint="default" w:ascii="Times New Roman" w:hAnsi="Times New Roman" w:eastAsia="宋体" w:cs="Times New Roman"/>
          <w:kern w:val="0"/>
          <w:sz w:val="24"/>
        </w:rPr>
        <w:t xml:space="preserve">检测机构地址：                                           </w:t>
      </w:r>
      <w:r>
        <w:rPr>
          <w:rFonts w:hint="default" w:ascii="Times New Roman" w:hAnsi="Times New Roman" w:cs="Times New Roman"/>
          <w:color w:val="000000"/>
          <w:szCs w:val="21"/>
        </w:rPr>
        <w:t>第 X 页，共X 页</w:t>
      </w:r>
    </w:p>
    <w:p>
      <w:pPr>
        <w:widowControl/>
        <w:shd w:val="clear" w:color="auto" w:fill="FFFFFF"/>
        <w:wordWrap w:val="0"/>
        <w:snapToGrid w:val="0"/>
        <w:spacing w:line="300" w:lineRule="atLeast"/>
        <w:ind w:left="-567" w:leftChars="-270" w:right="-625"/>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 xml:space="preserve">                       </w:t>
      </w:r>
    </w:p>
    <w:tbl>
      <w:tblPr>
        <w:tblStyle w:val="12"/>
        <w:tblpPr w:leftFromText="180" w:rightFromText="180" w:vertAnchor="text" w:horzAnchor="page" w:tblpX="1930" w:tblpY="-3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93"/>
        <w:gridCol w:w="1179"/>
        <w:gridCol w:w="1128"/>
        <w:gridCol w:w="1217"/>
        <w:gridCol w:w="146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6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21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姓名</w:t>
            </w:r>
          </w:p>
        </w:tc>
        <w:tc>
          <w:tcPr>
            <w:tcW w:w="6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职务/职称</w:t>
            </w:r>
          </w:p>
        </w:tc>
        <w:tc>
          <w:tcPr>
            <w:tcW w:w="71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身份证号码</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授权签字领域</w:t>
            </w:r>
          </w:p>
        </w:tc>
        <w:tc>
          <w:tcPr>
            <w:tcW w:w="592"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对应检测场所地址</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正体</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签名</w:t>
            </w:r>
          </w:p>
        </w:tc>
        <w:tc>
          <w:tcPr>
            <w:tcW w:w="66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71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862"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color w:val="000000"/>
                <w:kern w:val="0"/>
                <w:szCs w:val="21"/>
              </w:rPr>
            </w:pPr>
          </w:p>
        </w:tc>
        <w:tc>
          <w:tcPr>
            <w:tcW w:w="862"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color w:val="000000"/>
                <w:kern w:val="0"/>
                <w:szCs w:val="21"/>
              </w:rPr>
            </w:pPr>
          </w:p>
        </w:tc>
        <w:tc>
          <w:tcPr>
            <w:tcW w:w="862"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862"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862"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862"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662"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color w:val="000000"/>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color w:val="000000"/>
                <w:szCs w:val="21"/>
              </w:rPr>
            </w:pPr>
          </w:p>
        </w:tc>
        <w:tc>
          <w:tcPr>
            <w:tcW w:w="862"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r>
    </w:tbl>
    <w:p>
      <w:pPr>
        <w:widowControl/>
        <w:shd w:val="clear" w:color="auto" w:fill="FFFFFF"/>
        <w:wordWrap w:val="0"/>
        <w:spacing w:before="120" w:after="240" w:line="543" w:lineRule="atLeast"/>
        <w:ind w:right="433"/>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 xml:space="preserve">检测机构法定代表人或被授权人（适用时）签名：          </w:t>
      </w:r>
    </w:p>
    <w:p>
      <w:pPr>
        <w:widowControl/>
        <w:shd w:val="clear" w:color="auto" w:fill="FFFFFF"/>
        <w:wordWrap w:val="0"/>
        <w:spacing w:before="120" w:after="240" w:line="543" w:lineRule="atLeast"/>
        <w:ind w:right="433"/>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评审组长签名：</w:t>
      </w:r>
    </w:p>
    <w:p>
      <w:pPr>
        <w:widowControl/>
        <w:shd w:val="clear" w:color="auto" w:fill="FFFFFF"/>
        <w:wordWrap w:val="0"/>
        <w:snapToGrid/>
        <w:spacing w:before="120" w:after="240" w:line="543" w:lineRule="atLeast"/>
        <w:ind w:right="433"/>
        <w:jc w:val="left"/>
        <w:rPr>
          <w:rFonts w:hint="default" w:ascii="Times New Roman" w:hAnsi="Times New Roman" w:eastAsia="宋体" w:cs="Times New Roman"/>
          <w:b/>
          <w:bCs/>
          <w:kern w:val="0"/>
          <w:sz w:val="28"/>
          <w:szCs w:val="28"/>
        </w:rPr>
      </w:pPr>
      <w:r>
        <w:rPr>
          <w:rFonts w:hint="default" w:ascii="Times New Roman" w:hAnsi="Times New Roman" w:eastAsia="宋体" w:cs="Times New Roman"/>
          <w:kern w:val="0"/>
          <w:sz w:val="24"/>
        </w:rPr>
        <w:t>评审人员签名：</w:t>
      </w:r>
    </w:p>
    <w:p>
      <w:pPr>
        <w:widowControl/>
        <w:shd w:val="clear" w:color="auto" w:fill="FFFFFF"/>
        <w:wordWrap w:val="0"/>
        <w:snapToGrid/>
        <w:spacing w:before="120" w:after="240" w:line="543" w:lineRule="atLeast"/>
        <w:ind w:right="433"/>
        <w:jc w:val="left"/>
        <w:rPr>
          <w:rFonts w:hint="default" w:ascii="Times New Roman" w:hAnsi="Times New Roman" w:cs="Times New Roman"/>
        </w:rPr>
      </w:pPr>
      <w:r>
        <w:rPr>
          <w:rFonts w:hint="default" w:ascii="Times New Roman" w:hAnsi="Times New Roman" w:eastAsia="宋体" w:cs="Times New Roman"/>
          <w:kern w:val="0"/>
          <w:sz w:val="24"/>
          <w:szCs w:val="24"/>
        </w:rPr>
        <w:t xml:space="preserve">日期：    年 </w:t>
      </w:r>
      <w:r>
        <w:rPr>
          <w:rFonts w:hint="default" w:ascii="Times New Roman" w:hAnsi="Times New Roman"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月 </w:t>
      </w:r>
      <w:r>
        <w:rPr>
          <w:rFonts w:hint="default" w:ascii="Times New Roman" w:hAnsi="Times New Roman"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日</w:t>
      </w:r>
    </w:p>
    <w:p>
      <w:pPr>
        <w:widowControl/>
        <w:shd w:val="clear" w:color="auto" w:fill="FFFFFF"/>
        <w:wordWrap w:val="0"/>
        <w:spacing w:line="420" w:lineRule="auto"/>
        <w:jc w:val="left"/>
        <w:rPr>
          <w:rFonts w:hint="default" w:ascii="Times New Roman" w:hAnsi="Times New Roman" w:eastAsia="黑体"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widowControl/>
        <w:shd w:val="clear" w:color="auto" w:fill="FFFFFF"/>
        <w:wordWrap w:val="0"/>
        <w:spacing w:line="420" w:lineRule="auto"/>
        <w:jc w:val="left"/>
        <w:rPr>
          <w:rFonts w:hint="default" w:ascii="Times New Roman" w:hAnsi="Times New Roman" w:eastAsia="宋体" w:cs="Times New Roman"/>
          <w:kern w:val="0"/>
          <w:sz w:val="20"/>
          <w:szCs w:val="20"/>
        </w:rPr>
      </w:pPr>
      <w:r>
        <w:rPr>
          <w:rFonts w:hint="default" w:ascii="Times New Roman" w:hAnsi="Times New Roman" w:eastAsia="黑体" w:cs="Times New Roman"/>
          <w:sz w:val="32"/>
          <w:szCs w:val="32"/>
        </w:rPr>
        <w:t>附表3</w:t>
      </w:r>
    </w:p>
    <w:p>
      <w:pPr>
        <w:widowControl/>
        <w:shd w:val="clear" w:color="auto" w:fill="FFFFFF"/>
        <w:wordWrap w:val="0"/>
        <w:spacing w:line="543"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lang w:val="en-US" w:eastAsia="zh-CN"/>
        </w:rPr>
        <w:t>基本符合项、不</w:t>
      </w:r>
      <w:r>
        <w:rPr>
          <w:rFonts w:hint="default" w:ascii="Times New Roman" w:hAnsi="Times New Roman" w:eastAsia="宋体" w:cs="Times New Roman"/>
          <w:b/>
          <w:kern w:val="0"/>
          <w:sz w:val="28"/>
          <w:szCs w:val="28"/>
        </w:rPr>
        <w:t>符合项汇总表</w:t>
      </w:r>
    </w:p>
    <w:p>
      <w:pPr>
        <w:widowControl/>
        <w:shd w:val="clear" w:color="auto" w:fill="FFFFFF"/>
        <w:wordWrap w:val="0"/>
        <w:spacing w:line="543" w:lineRule="atLeast"/>
        <w:jc w:val="center"/>
        <w:rPr>
          <w:rFonts w:hint="default" w:ascii="Times New Roman" w:hAnsi="Times New Roman" w:eastAsia="宋体" w:cs="Times New Roman"/>
          <w:kern w:val="0"/>
          <w:sz w:val="20"/>
          <w:szCs w:val="20"/>
        </w:rPr>
      </w:pPr>
      <w:r>
        <w:rPr>
          <w:rFonts w:hint="default" w:ascii="Times New Roman" w:hAnsi="Times New Roman" w:eastAsia="创艺简标宋" w:cs="Times New Roman"/>
          <w:kern w:val="0"/>
          <w:sz w:val="28"/>
          <w:szCs w:val="28"/>
        </w:rPr>
        <w:t> </w:t>
      </w:r>
    </w:p>
    <w:tbl>
      <w:tblPr>
        <w:tblStyle w:val="12"/>
        <w:tblW w:w="0" w:type="auto"/>
        <w:jc w:val="center"/>
        <w:tblLayout w:type="autofit"/>
        <w:tblCellMar>
          <w:top w:w="0" w:type="dxa"/>
          <w:left w:w="0" w:type="dxa"/>
          <w:bottom w:w="0" w:type="dxa"/>
          <w:right w:w="0" w:type="dxa"/>
        </w:tblCellMar>
      </w:tblPr>
      <w:tblGrid>
        <w:gridCol w:w="728"/>
        <w:gridCol w:w="1072"/>
        <w:gridCol w:w="3270"/>
        <w:gridCol w:w="2205"/>
        <w:gridCol w:w="1247"/>
      </w:tblGrid>
      <w:tr>
        <w:tblPrEx>
          <w:tblCellMar>
            <w:top w:w="0" w:type="dxa"/>
            <w:left w:w="0" w:type="dxa"/>
            <w:bottom w:w="0" w:type="dxa"/>
            <w:right w:w="0" w:type="dxa"/>
          </w:tblCellMar>
        </w:tblPrEx>
        <w:trPr>
          <w:trHeight w:val="557" w:hRule="atLeast"/>
          <w:tblHeader/>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序号</w:t>
            </w:r>
          </w:p>
        </w:tc>
        <w:tc>
          <w:tcPr>
            <w:tcW w:w="10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条款号</w:t>
            </w:r>
          </w:p>
        </w:tc>
        <w:tc>
          <w:tcPr>
            <w:tcW w:w="32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评审发现问题描述</w:t>
            </w:r>
          </w:p>
        </w:tc>
        <w:tc>
          <w:tcPr>
            <w:tcW w:w="22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基本符合</w:t>
            </w:r>
            <w:r>
              <w:rPr>
                <w:rFonts w:hint="default" w:ascii="Times New Roman" w:hAnsi="Times New Roman" w:eastAsia="宋体" w:cs="Times New Roman"/>
                <w:kern w:val="0"/>
                <w:szCs w:val="21"/>
                <w:lang w:val="en-US" w:eastAsia="zh-CN"/>
              </w:rPr>
              <w:t>项</w:t>
            </w:r>
            <w:r>
              <w:rPr>
                <w:rFonts w:hint="default" w:ascii="Times New Roman" w:hAnsi="Times New Roman" w:eastAsia="宋体" w:cs="Times New Roman"/>
                <w:kern w:val="0"/>
                <w:szCs w:val="21"/>
              </w:rPr>
              <w:t>、不符合</w:t>
            </w:r>
            <w:r>
              <w:rPr>
                <w:rFonts w:hint="default" w:ascii="Times New Roman" w:hAnsi="Times New Roman" w:eastAsia="宋体" w:cs="Times New Roman"/>
                <w:kern w:val="0"/>
                <w:szCs w:val="21"/>
                <w:lang w:val="en-US" w:eastAsia="zh-CN"/>
              </w:rPr>
              <w:t>项</w:t>
            </w:r>
          </w:p>
        </w:tc>
        <w:tc>
          <w:tcPr>
            <w:tcW w:w="12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评审专家签字</w:t>
            </w: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bCs/>
                <w:szCs w:val="21"/>
              </w:rPr>
            </w:pP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bCs/>
                <w:szCs w:val="21"/>
              </w:rPr>
            </w:pP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hint="default" w:ascii="Times New Roman" w:hAnsi="Times New Roman" w:eastAsia="仿宋" w:cs="Times New Roman"/>
                <w:bCs/>
                <w:szCs w:val="21"/>
              </w:rPr>
            </w:pP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kern w:val="0"/>
                <w:szCs w:val="21"/>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bCs/>
                <w:szCs w:val="21"/>
              </w:rPr>
            </w:pP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bCs/>
                <w:szCs w:val="21"/>
              </w:rPr>
            </w:pP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left"/>
              <w:rPr>
                <w:rFonts w:hint="default" w:ascii="Times New Roman" w:hAnsi="Times New Roman" w:eastAsia="仿宋" w:cs="Times New Roman"/>
                <w:bCs/>
                <w:szCs w:val="21"/>
              </w:rPr>
            </w:pP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bCs/>
                <w:szCs w:val="21"/>
              </w:rPr>
            </w:pP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default" w:ascii="Times New Roman" w:hAnsi="Times New Roman" w:eastAsia="仿宋" w:cs="Times New Roman"/>
                <w:bCs/>
                <w:szCs w:val="21"/>
              </w:rPr>
            </w:pP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left"/>
              <w:rPr>
                <w:rFonts w:hint="default" w:ascii="Times New Roman" w:hAnsi="Times New Roman" w:eastAsia="仿宋" w:cs="Times New Roman"/>
                <w:bCs/>
                <w:szCs w:val="21"/>
              </w:rPr>
            </w:pP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left"/>
              <w:rPr>
                <w:rFonts w:hint="default" w:ascii="Times New Roman" w:hAnsi="Times New Roman" w:eastAsia="宋体" w:cs="Times New Roman"/>
                <w:kern w:val="0"/>
                <w:szCs w:val="21"/>
              </w:rPr>
            </w:pPr>
            <w:r>
              <w:rPr>
                <w:rFonts w:hint="default" w:ascii="Times New Roman" w:hAnsi="Times New Roman" w:eastAsia="宋体" w:cs="Times New Roman"/>
                <w:b/>
                <w:bCs/>
                <w:kern w:val="0"/>
                <w:szCs w:val="21"/>
                <w:lang w:val="sq-AL"/>
              </w:rPr>
              <w:t> </w:t>
            </w: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r>
    </w:tbl>
    <w:p>
      <w:pPr>
        <w:widowControl/>
        <w:shd w:val="clear" w:color="auto" w:fill="FFFFFF"/>
        <w:wordWrap w:val="0"/>
        <w:spacing w:before="120" w:after="240" w:line="543" w:lineRule="atLeast"/>
        <w:ind w:right="433"/>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检测机构法定代表人或被授权人（适用时）签名：         </w:t>
      </w:r>
    </w:p>
    <w:p>
      <w:pPr>
        <w:widowControl/>
        <w:shd w:val="clear" w:color="auto" w:fill="FFFFFF"/>
        <w:wordWrap w:val="0"/>
        <w:spacing w:before="120" w:after="240" w:line="543" w:lineRule="atLeast"/>
        <w:ind w:right="433"/>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t>评审组长签名：</w:t>
      </w:r>
      <w:r>
        <w:rPr>
          <w:rFonts w:hint="default" w:ascii="Times New Roman" w:hAnsi="Times New Roman" w:eastAsia="创艺简标宋" w:cs="Times New Roman"/>
          <w:kern w:val="0"/>
          <w:sz w:val="28"/>
          <w:szCs w:val="28"/>
        </w:rPr>
        <w:t> </w:t>
      </w:r>
    </w:p>
    <w:p>
      <w:pPr>
        <w:widowControl/>
        <w:shd w:val="clear" w:color="auto" w:fill="FFFFFF"/>
        <w:wordWrap w:val="0"/>
        <w:spacing w:before="120" w:after="240" w:line="543" w:lineRule="atLeast"/>
        <w:ind w:right="433"/>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评审专家签名：</w:t>
      </w:r>
    </w:p>
    <w:p>
      <w:pPr>
        <w:widowControl/>
        <w:shd w:val="clear" w:color="auto" w:fill="FFFFFF"/>
        <w:wordWrap w:val="0"/>
        <w:spacing w:before="120" w:after="240" w:line="543" w:lineRule="atLeast"/>
        <w:ind w:right="433"/>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日期：    年 </w:t>
      </w:r>
      <w:r>
        <w:rPr>
          <w:rFonts w:hint="eastAsia" w:ascii="Times New Roman" w:hAnsi="Times New Roman" w:eastAsia="宋体" w:cs="Times New Roman"/>
          <w:kern w:val="0"/>
          <w:sz w:val="24"/>
          <w:lang w:val="en-US" w:eastAsia="zh-CN"/>
        </w:rPr>
        <w:t xml:space="preserve">  </w:t>
      </w:r>
      <w:r>
        <w:rPr>
          <w:rFonts w:hint="default" w:ascii="Times New Roman" w:hAnsi="Times New Roman" w:eastAsia="宋体" w:cs="Times New Roman"/>
          <w:kern w:val="0"/>
          <w:sz w:val="24"/>
        </w:rPr>
        <w:t xml:space="preserve"> 月 </w:t>
      </w:r>
      <w:r>
        <w:rPr>
          <w:rFonts w:hint="eastAsia" w:ascii="Times New Roman" w:hAnsi="Times New Roman" w:eastAsia="宋体" w:cs="Times New Roman"/>
          <w:kern w:val="0"/>
          <w:sz w:val="24"/>
          <w:lang w:val="en-US" w:eastAsia="zh-CN"/>
        </w:rPr>
        <w:t xml:space="preserve">  </w:t>
      </w:r>
      <w:r>
        <w:rPr>
          <w:rFonts w:hint="default" w:ascii="Times New Roman" w:hAnsi="Times New Roman" w:eastAsia="宋体" w:cs="Times New Roman"/>
          <w:kern w:val="0"/>
          <w:sz w:val="24"/>
        </w:rPr>
        <w:t xml:space="preserve"> 日</w:t>
      </w:r>
    </w:p>
    <w:p>
      <w:pPr>
        <w:widowControl/>
        <w:shd w:val="clear" w:color="auto" w:fill="FFFFFF"/>
        <w:wordWrap w:val="0"/>
        <w:spacing w:before="120" w:after="240" w:line="543" w:lineRule="atLeast"/>
        <w:ind w:right="433"/>
        <w:jc w:val="left"/>
        <w:rPr>
          <w:rFonts w:hint="default" w:ascii="Times New Roman" w:hAnsi="Times New Roman" w:cs="Times New Roman"/>
          <w:kern w:val="0"/>
          <w:sz w:val="24"/>
          <w:lang w:val="en-US" w:eastAsia="zh-CN"/>
        </w:rPr>
        <w:sectPr>
          <w:pgSz w:w="11906" w:h="16838"/>
          <w:pgMar w:top="1440" w:right="1800" w:bottom="1440" w:left="1800" w:header="851" w:footer="992" w:gutter="0"/>
          <w:pgNumType w:fmt="numberInDash"/>
          <w:cols w:space="425" w:num="1"/>
          <w:docGrid w:type="lines" w:linePitch="312" w:charSpace="0"/>
        </w:sectPr>
      </w:pPr>
    </w:p>
    <w:p>
      <w:pPr>
        <w:widowControl/>
        <w:shd w:val="clear" w:color="auto" w:fill="FFFFFF"/>
        <w:wordWrap w:val="0"/>
        <w:snapToGrid w:val="0"/>
        <w:spacing w:line="360" w:lineRule="atLeast"/>
        <w:jc w:val="left"/>
        <w:rPr>
          <w:rFonts w:hint="default" w:ascii="Times New Roman" w:hAnsi="Times New Roman" w:eastAsia="宋体" w:cs="Times New Roman"/>
          <w:kern w:val="0"/>
          <w:sz w:val="20"/>
          <w:szCs w:val="20"/>
        </w:rPr>
      </w:pPr>
      <w:r>
        <w:rPr>
          <w:rFonts w:hint="default" w:ascii="Times New Roman" w:hAnsi="Times New Roman" w:eastAsia="黑体" w:cs="Times New Roman"/>
          <w:sz w:val="32"/>
          <w:szCs w:val="32"/>
        </w:rPr>
        <w:t>附表4</w:t>
      </w:r>
    </w:p>
    <w:p>
      <w:pPr>
        <w:widowControl/>
        <w:shd w:val="clear" w:color="auto" w:fill="FFFFFF"/>
        <w:wordWrap w:val="0"/>
        <w:spacing w:line="543"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评审组人员名单</w:t>
      </w:r>
    </w:p>
    <w:p>
      <w:pPr>
        <w:pStyle w:val="8"/>
        <w:rPr>
          <w:rFonts w:hint="default" w:ascii="Times New Roman" w:hAnsi="Times New Roman" w:cs="Times New Roman"/>
        </w:rPr>
      </w:pPr>
    </w:p>
    <w:tbl>
      <w:tblPr>
        <w:tblStyle w:val="12"/>
        <w:tblW w:w="8774" w:type="dxa"/>
        <w:jc w:val="center"/>
        <w:tblLayout w:type="autofit"/>
        <w:tblCellMar>
          <w:top w:w="0" w:type="dxa"/>
          <w:left w:w="0" w:type="dxa"/>
          <w:bottom w:w="0" w:type="dxa"/>
          <w:right w:w="0" w:type="dxa"/>
        </w:tblCellMar>
      </w:tblPr>
      <w:tblGrid>
        <w:gridCol w:w="1160"/>
        <w:gridCol w:w="2865"/>
        <w:gridCol w:w="1307"/>
        <w:gridCol w:w="1283"/>
        <w:gridCol w:w="1119"/>
        <w:gridCol w:w="1040"/>
      </w:tblGrid>
      <w:tr>
        <w:tblPrEx>
          <w:tblCellMar>
            <w:top w:w="0" w:type="dxa"/>
            <w:left w:w="0" w:type="dxa"/>
            <w:bottom w:w="0" w:type="dxa"/>
            <w:right w:w="0" w:type="dxa"/>
          </w:tblCellMar>
        </w:tblPrEx>
        <w:trPr>
          <w:trHeight w:val="541" w:hRule="atLeast"/>
          <w:jc w:val="center"/>
        </w:trPr>
        <w:tc>
          <w:tcPr>
            <w:tcW w:w="1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姓 名</w:t>
            </w:r>
          </w:p>
        </w:tc>
        <w:tc>
          <w:tcPr>
            <w:tcW w:w="28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单 位 名 称</w:t>
            </w:r>
          </w:p>
        </w:tc>
        <w:tc>
          <w:tcPr>
            <w:tcW w:w="13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rPr>
              <w:t>评审</w:t>
            </w:r>
            <w:r>
              <w:rPr>
                <w:rFonts w:hint="default" w:ascii="Times New Roman" w:hAnsi="Times New Roman" w:cs="Times New Roman"/>
                <w:kern w:val="0"/>
                <w:szCs w:val="21"/>
                <w:lang w:val="en-US" w:eastAsia="zh-CN"/>
              </w:rPr>
              <w:t>类别</w:t>
            </w:r>
          </w:p>
        </w:tc>
        <w:tc>
          <w:tcPr>
            <w:tcW w:w="12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联系方式</w:t>
            </w:r>
          </w:p>
        </w:tc>
        <w:tc>
          <w:tcPr>
            <w:tcW w:w="1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签字</w:t>
            </w:r>
          </w:p>
        </w:tc>
        <w:tc>
          <w:tcPr>
            <w:tcW w:w="10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备注</w:t>
            </w:r>
          </w:p>
        </w:tc>
      </w:tr>
      <w:tr>
        <w:tblPrEx>
          <w:tblCellMar>
            <w:top w:w="0" w:type="dxa"/>
            <w:left w:w="0" w:type="dxa"/>
            <w:bottom w:w="0" w:type="dxa"/>
            <w:right w:w="0" w:type="dxa"/>
          </w:tblCellMar>
        </w:tblPrEx>
        <w:trPr>
          <w:trHeight w:val="549" w:hRule="atLeast"/>
          <w:jc w:val="center"/>
        </w:trPr>
        <w:tc>
          <w:tcPr>
            <w:tcW w:w="116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286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130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128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111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0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549" w:hRule="atLeast"/>
          <w:jc w:val="center"/>
        </w:trPr>
        <w:tc>
          <w:tcPr>
            <w:tcW w:w="1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28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00" w:lineRule="exact"/>
              <w:ind w:right="-335"/>
              <w:jc w:val="center"/>
              <w:rPr>
                <w:rFonts w:hint="default" w:ascii="Times New Roman" w:hAnsi="Times New Roman" w:eastAsia="黑体" w:cs="Times New Roman"/>
                <w:kern w:val="0"/>
                <w:sz w:val="24"/>
              </w:rPr>
            </w:pPr>
          </w:p>
        </w:tc>
        <w:tc>
          <w:tcPr>
            <w:tcW w:w="1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569" w:hRule="atLeast"/>
          <w:jc w:val="center"/>
        </w:trPr>
        <w:tc>
          <w:tcPr>
            <w:tcW w:w="1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28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569" w:hRule="atLeast"/>
          <w:jc w:val="center"/>
        </w:trPr>
        <w:tc>
          <w:tcPr>
            <w:tcW w:w="1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28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c>
          <w:tcPr>
            <w:tcW w:w="1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40" w:lineRule="atLeast"/>
              <w:ind w:right="-336"/>
              <w:jc w:val="center"/>
              <w:rPr>
                <w:rFonts w:hint="default" w:ascii="Times New Roman" w:hAnsi="Times New Roman" w:eastAsia="宋体" w:cs="Times New Roman"/>
                <w:kern w:val="0"/>
                <w:szCs w:val="21"/>
              </w:rPr>
            </w:pPr>
          </w:p>
        </w:tc>
      </w:tr>
    </w:tbl>
    <w:p>
      <w:pPr>
        <w:widowControl/>
        <w:shd w:val="clear" w:color="auto" w:fill="FFFFFF"/>
        <w:wordWrap w:val="0"/>
        <w:spacing w:before="120" w:line="543" w:lineRule="atLeas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4"/>
        </w:rPr>
        <w:br w:type="page"/>
      </w:r>
      <w:r>
        <w:rPr>
          <w:rFonts w:hint="default" w:ascii="Times New Roman" w:hAnsi="Times New Roman" w:eastAsia="黑体" w:cs="Times New Roman"/>
          <w:sz w:val="32"/>
          <w:szCs w:val="32"/>
        </w:rPr>
        <w:t>附表5</w:t>
      </w:r>
    </w:p>
    <w:p>
      <w:pPr>
        <w:widowControl/>
        <w:shd w:val="clear" w:color="auto" w:fill="FFFFFF"/>
        <w:wordWrap w:val="0"/>
        <w:spacing w:line="543" w:lineRule="atLeas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整改完成记录、评审组确认意见表</w:t>
      </w:r>
    </w:p>
    <w:p>
      <w:pPr>
        <w:widowControl/>
        <w:shd w:val="clear" w:color="auto" w:fill="FFFFFF"/>
        <w:wordWrap w:val="0"/>
        <w:spacing w:line="543" w:lineRule="atLeast"/>
        <w:jc w:val="center"/>
        <w:rPr>
          <w:rFonts w:hint="default" w:ascii="Times New Roman" w:hAnsi="Times New Roman" w:eastAsia="宋体" w:cs="Times New Roman"/>
          <w:kern w:val="0"/>
          <w:sz w:val="20"/>
          <w:szCs w:val="20"/>
        </w:rPr>
      </w:pPr>
    </w:p>
    <w:tbl>
      <w:tblPr>
        <w:tblStyle w:val="12"/>
        <w:tblW w:w="4998" w:type="pct"/>
        <w:jc w:val="center"/>
        <w:tblLayout w:type="autofit"/>
        <w:tblCellMar>
          <w:top w:w="0" w:type="dxa"/>
          <w:left w:w="0" w:type="dxa"/>
          <w:bottom w:w="0" w:type="dxa"/>
          <w:right w:w="0" w:type="dxa"/>
        </w:tblCellMar>
      </w:tblPr>
      <w:tblGrid>
        <w:gridCol w:w="1641"/>
        <w:gridCol w:w="4392"/>
        <w:gridCol w:w="2486"/>
      </w:tblGrid>
      <w:tr>
        <w:tblPrEx>
          <w:tblCellMar>
            <w:top w:w="0" w:type="dxa"/>
            <w:left w:w="0" w:type="dxa"/>
            <w:bottom w:w="0" w:type="dxa"/>
            <w:right w:w="0" w:type="dxa"/>
          </w:tblCellMar>
        </w:tblPrEx>
        <w:trPr>
          <w:jc w:val="center"/>
        </w:trPr>
        <w:tc>
          <w:tcPr>
            <w:tcW w:w="96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需整改</w:t>
            </w:r>
          </w:p>
          <w:p>
            <w:pPr>
              <w:widowControl/>
              <w:snapToGrid w:val="0"/>
              <w:spacing w:line="30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条款号</w:t>
            </w:r>
          </w:p>
        </w:tc>
        <w:tc>
          <w:tcPr>
            <w:tcW w:w="257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完  成  整  改  情  况</w:t>
            </w:r>
          </w:p>
        </w:tc>
        <w:tc>
          <w:tcPr>
            <w:tcW w:w="14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评审专家确认签字</w:t>
            </w:r>
          </w:p>
        </w:tc>
      </w:tr>
      <w:tr>
        <w:tblPrEx>
          <w:tblCellMar>
            <w:top w:w="0" w:type="dxa"/>
            <w:left w:w="0" w:type="dxa"/>
            <w:bottom w:w="0" w:type="dxa"/>
            <w:right w:w="0" w:type="dxa"/>
          </w:tblCellMar>
        </w:tblPrEx>
        <w:trPr>
          <w:trHeight w:val="1909" w:hRule="atLeast"/>
          <w:jc w:val="center"/>
        </w:trPr>
        <w:tc>
          <w:tcPr>
            <w:tcW w:w="963"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hint="default" w:ascii="Times New Roman" w:hAnsi="Times New Roman" w:eastAsia="宋体" w:cs="Times New Roman"/>
                <w:kern w:val="0"/>
                <w:szCs w:val="21"/>
              </w:rPr>
            </w:pPr>
          </w:p>
        </w:tc>
        <w:tc>
          <w:tcPr>
            <w:tcW w:w="257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c>
          <w:tcPr>
            <w:tcW w:w="1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1909" w:hRule="atLeast"/>
          <w:jc w:val="center"/>
        </w:trPr>
        <w:tc>
          <w:tcPr>
            <w:tcW w:w="963"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hint="default" w:ascii="Times New Roman" w:hAnsi="Times New Roman" w:eastAsia="宋体" w:cs="Times New Roman"/>
                <w:kern w:val="0"/>
                <w:szCs w:val="21"/>
              </w:rPr>
            </w:pPr>
          </w:p>
        </w:tc>
        <w:tc>
          <w:tcPr>
            <w:tcW w:w="257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c>
          <w:tcPr>
            <w:tcW w:w="1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1909" w:hRule="atLeast"/>
          <w:jc w:val="center"/>
        </w:trPr>
        <w:tc>
          <w:tcPr>
            <w:tcW w:w="963"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hint="default" w:ascii="Times New Roman" w:hAnsi="Times New Roman" w:eastAsia="宋体" w:cs="Times New Roman"/>
                <w:kern w:val="0"/>
                <w:szCs w:val="21"/>
              </w:rPr>
            </w:pPr>
          </w:p>
        </w:tc>
        <w:tc>
          <w:tcPr>
            <w:tcW w:w="257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c>
          <w:tcPr>
            <w:tcW w:w="1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1909" w:hRule="atLeast"/>
          <w:jc w:val="center"/>
        </w:trPr>
        <w:tc>
          <w:tcPr>
            <w:tcW w:w="963"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hint="default" w:ascii="Times New Roman" w:hAnsi="Times New Roman" w:eastAsia="宋体" w:cs="Times New Roman"/>
                <w:kern w:val="0"/>
                <w:szCs w:val="21"/>
              </w:rPr>
            </w:pPr>
          </w:p>
        </w:tc>
        <w:tc>
          <w:tcPr>
            <w:tcW w:w="257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c>
          <w:tcPr>
            <w:tcW w:w="1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trHeight w:val="2860" w:hRule="atLeast"/>
          <w:jc w:val="center"/>
        </w:trPr>
        <w:tc>
          <w:tcPr>
            <w:tcW w:w="5000"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评审组对整改完成情况的确认意见：</w:t>
            </w:r>
          </w:p>
          <w:p>
            <w:pPr>
              <w:widowControl/>
              <w:snapToGrid w:val="0"/>
              <w:spacing w:line="440" w:lineRule="atLeast"/>
              <w:ind w:right="-336"/>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p>
            <w:pPr>
              <w:widowControl/>
              <w:snapToGrid w:val="0"/>
              <w:spacing w:line="440" w:lineRule="atLeast"/>
              <w:ind w:right="-336"/>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p>
            <w:pPr>
              <w:widowControl/>
              <w:shd w:val="clear" w:color="auto" w:fill="FFFFFF"/>
              <w:wordWrap w:val="0"/>
              <w:snapToGrid/>
              <w:spacing w:before="120" w:after="240" w:line="543" w:lineRule="atLeast"/>
              <w:ind w:right="433"/>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p>
            <w:pPr>
              <w:widowControl/>
              <w:snapToGrid w:val="0"/>
              <w:spacing w:line="440" w:lineRule="atLeast"/>
              <w:ind w:right="-336"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评审组</w:t>
            </w:r>
            <w:r>
              <w:rPr>
                <w:rFonts w:hint="default" w:ascii="Times New Roman" w:hAnsi="Times New Roman" w:cs="Times New Roman"/>
                <w:kern w:val="0"/>
                <w:szCs w:val="21"/>
                <w:lang w:val="en-US" w:eastAsia="zh-CN"/>
              </w:rPr>
              <w:t>长</w:t>
            </w:r>
            <w:r>
              <w:rPr>
                <w:rFonts w:hint="default" w:ascii="Times New Roman" w:hAnsi="Times New Roman" w:eastAsia="宋体" w:cs="Times New Roman"/>
                <w:kern w:val="0"/>
                <w:szCs w:val="21"/>
              </w:rPr>
              <w:t xml:space="preserve">签字：                 日期：    年 </w:t>
            </w:r>
            <w:r>
              <w:rPr>
                <w:rFonts w:hint="eastAsia" w:ascii="Times New Roman" w:hAnsi="Times New Roman" w:cs="Times New Roman"/>
                <w:kern w:val="0"/>
                <w:szCs w:val="21"/>
                <w:lang w:val="en-US" w:eastAsia="zh-CN"/>
              </w:rPr>
              <w:t xml:space="preserve">  </w:t>
            </w:r>
            <w:r>
              <w:rPr>
                <w:rFonts w:hint="default" w:ascii="Times New Roman" w:hAnsi="Times New Roman" w:eastAsia="宋体" w:cs="Times New Roman"/>
                <w:kern w:val="0"/>
                <w:szCs w:val="21"/>
              </w:rPr>
              <w:t xml:space="preserve"> 月 </w:t>
            </w:r>
            <w:r>
              <w:rPr>
                <w:rFonts w:hint="eastAsia" w:ascii="Times New Roman" w:hAnsi="Times New Roman" w:cs="Times New Roman"/>
                <w:kern w:val="0"/>
                <w:szCs w:val="21"/>
                <w:lang w:val="en-US" w:eastAsia="zh-CN"/>
              </w:rPr>
              <w:t xml:space="preserve">  </w:t>
            </w:r>
            <w:r>
              <w:rPr>
                <w:rFonts w:hint="default" w:ascii="Times New Roman" w:hAnsi="Times New Roman" w:eastAsia="宋体" w:cs="Times New Roman"/>
                <w:kern w:val="0"/>
                <w:szCs w:val="21"/>
              </w:rPr>
              <w:t xml:space="preserve"> 日</w:t>
            </w:r>
          </w:p>
        </w:tc>
      </w:tr>
    </w:tbl>
    <w:p>
      <w:pPr>
        <w:widowControl/>
        <w:shd w:val="clear" w:color="auto" w:fill="FFFFFF"/>
        <w:spacing w:line="543" w:lineRule="atLeast"/>
        <w:jc w:val="left"/>
        <w:rPr>
          <w:rFonts w:hint="default" w:ascii="Times New Roman" w:hAnsi="Times New Roman" w:eastAsia="黑体" w:cs="Times New Roman"/>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p>
    <w:p>
      <w:pPr>
        <w:widowControl/>
        <w:shd w:val="clear" w:color="auto" w:fill="FFFFFF"/>
        <w:spacing w:line="543" w:lineRule="atLeast"/>
        <w:jc w:val="left"/>
        <w:rPr>
          <w:rFonts w:hint="default" w:ascii="Times New Roman" w:hAnsi="Times New Roman" w:eastAsia="宋体" w:cs="Times New Roman"/>
          <w:kern w:val="0"/>
          <w:sz w:val="20"/>
          <w:szCs w:val="20"/>
        </w:rPr>
      </w:pPr>
      <w:r>
        <w:rPr>
          <w:rFonts w:hint="default" w:ascii="Times New Roman" w:hAnsi="Times New Roman" w:eastAsia="黑体" w:cs="Times New Roman"/>
          <w:sz w:val="32"/>
          <w:szCs w:val="32"/>
        </w:rPr>
        <w:t>附表6</w:t>
      </w:r>
    </w:p>
    <w:p>
      <w:pPr>
        <w:widowControl/>
        <w:shd w:val="clear" w:color="auto" w:fill="FFFFFF"/>
        <w:wordWrap w:val="0"/>
        <w:spacing w:before="120" w:after="120" w:line="543" w:lineRule="atLeas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检测机构资质现场评审签到表</w:t>
      </w:r>
    </w:p>
    <w:tbl>
      <w:tblPr>
        <w:tblStyle w:val="12"/>
        <w:tblW w:w="0" w:type="auto"/>
        <w:jc w:val="center"/>
        <w:tblLayout w:type="autofit"/>
        <w:tblCellMar>
          <w:top w:w="0" w:type="dxa"/>
          <w:left w:w="0" w:type="dxa"/>
          <w:bottom w:w="0" w:type="dxa"/>
          <w:right w:w="0" w:type="dxa"/>
        </w:tblCellMar>
      </w:tblPr>
      <w:tblGrid>
        <w:gridCol w:w="1665"/>
        <w:gridCol w:w="554"/>
        <w:gridCol w:w="792"/>
        <w:gridCol w:w="1392"/>
        <w:gridCol w:w="1254"/>
        <w:gridCol w:w="145"/>
        <w:gridCol w:w="1347"/>
        <w:gridCol w:w="1373"/>
      </w:tblGrid>
      <w:tr>
        <w:tblPrEx>
          <w:tblCellMar>
            <w:top w:w="0" w:type="dxa"/>
            <w:left w:w="0" w:type="dxa"/>
            <w:bottom w:w="0" w:type="dxa"/>
            <w:right w:w="0" w:type="dxa"/>
          </w:tblCellMar>
        </w:tblPrEx>
        <w:trPr>
          <w:trHeight w:val="482" w:hRule="atLeast"/>
          <w:jc w:val="center"/>
        </w:trPr>
        <w:tc>
          <w:tcPr>
            <w:tcW w:w="2235" w:type="dxa"/>
            <w:gridSpan w:val="2"/>
            <w:tcBorders>
              <w:top w:val="double" w:color="auto" w:sz="4" w:space="0"/>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检测机构名称</w:t>
            </w:r>
          </w:p>
        </w:tc>
        <w:tc>
          <w:tcPr>
            <w:tcW w:w="6287" w:type="dxa"/>
            <w:gridSpan w:val="6"/>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 </w:t>
            </w:r>
          </w:p>
        </w:tc>
      </w:tr>
      <w:tr>
        <w:tblPrEx>
          <w:tblCellMar>
            <w:top w:w="0" w:type="dxa"/>
            <w:left w:w="0" w:type="dxa"/>
            <w:bottom w:w="0" w:type="dxa"/>
            <w:right w:w="0" w:type="dxa"/>
          </w:tblCellMar>
        </w:tblPrEx>
        <w:trPr>
          <w:trHeight w:val="482" w:hRule="atLeast"/>
          <w:jc w:val="center"/>
        </w:trPr>
        <w:tc>
          <w:tcPr>
            <w:tcW w:w="2235" w:type="dxa"/>
            <w:gridSpan w:val="2"/>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会议名称</w:t>
            </w:r>
          </w:p>
        </w:tc>
        <w:tc>
          <w:tcPr>
            <w:tcW w:w="6287" w:type="dxa"/>
            <w:gridSpan w:val="6"/>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□首次会议        □末次会议 </w:t>
            </w:r>
          </w:p>
        </w:tc>
      </w:tr>
      <w:tr>
        <w:tblPrEx>
          <w:tblCellMar>
            <w:top w:w="0" w:type="dxa"/>
            <w:left w:w="0" w:type="dxa"/>
            <w:bottom w:w="0" w:type="dxa"/>
            <w:right w:w="0" w:type="dxa"/>
          </w:tblCellMar>
        </w:tblPrEx>
        <w:trPr>
          <w:trHeight w:val="482" w:hRule="atLeast"/>
          <w:jc w:val="center"/>
        </w:trPr>
        <w:tc>
          <w:tcPr>
            <w:tcW w:w="2235" w:type="dxa"/>
            <w:gridSpan w:val="2"/>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会议时间</w:t>
            </w:r>
          </w:p>
        </w:tc>
        <w:tc>
          <w:tcPr>
            <w:tcW w:w="21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 xml:space="preserve">  </w:t>
            </w:r>
          </w:p>
        </w:tc>
        <w:tc>
          <w:tcPr>
            <w:tcW w:w="1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会议地点</w:t>
            </w:r>
          </w:p>
        </w:tc>
        <w:tc>
          <w:tcPr>
            <w:tcW w:w="2885" w:type="dxa"/>
            <w:gridSpan w:val="3"/>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 </w:t>
            </w:r>
          </w:p>
        </w:tc>
      </w:tr>
      <w:tr>
        <w:tblPrEx>
          <w:tblCellMar>
            <w:top w:w="0" w:type="dxa"/>
            <w:left w:w="0" w:type="dxa"/>
            <w:bottom w:w="0" w:type="dxa"/>
            <w:right w:w="0" w:type="dxa"/>
          </w:tblCellMar>
        </w:tblPrEx>
        <w:trPr>
          <w:trHeight w:val="482" w:hRule="atLeast"/>
          <w:jc w:val="center"/>
        </w:trPr>
        <w:tc>
          <w:tcPr>
            <w:tcW w:w="8522" w:type="dxa"/>
            <w:gridSpan w:val="8"/>
            <w:tcBorders>
              <w:top w:val="nil"/>
              <w:left w:val="double" w:color="auto" w:sz="4" w:space="0"/>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检测机构人员</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职务</w:t>
            </w: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职务</w:t>
            </w: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职务</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8522" w:type="dxa"/>
            <w:gridSpan w:val="8"/>
            <w:tcBorders>
              <w:top w:val="nil"/>
              <w:left w:val="double" w:color="auto" w:sz="4" w:space="0"/>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评审组人员</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评审职务</w:t>
            </w: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评审职务</w:t>
            </w: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评审职务</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8522" w:type="dxa"/>
            <w:gridSpan w:val="8"/>
            <w:tcBorders>
              <w:top w:val="nil"/>
              <w:left w:val="double" w:color="auto" w:sz="4" w:space="0"/>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列席人员</w:t>
            </w: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签名</w:t>
            </w:r>
          </w:p>
        </w:tc>
        <w:tc>
          <w:tcPr>
            <w:tcW w:w="4166"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单位</w:t>
            </w:r>
          </w:p>
        </w:tc>
        <w:tc>
          <w:tcPr>
            <w:tcW w:w="2678" w:type="dxa"/>
            <w:gridSpan w:val="2"/>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24"/>
              </w:rPr>
              <w:t>职务/职称</w:t>
            </w: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4166"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2678" w:type="dxa"/>
            <w:gridSpan w:val="2"/>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4166"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2678" w:type="dxa"/>
            <w:gridSpan w:val="2"/>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double" w:color="auto" w:sz="4"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4166" w:type="dxa"/>
            <w:gridSpan w:val="5"/>
            <w:tcBorders>
              <w:top w:val="nil"/>
              <w:left w:val="nil"/>
              <w:bottom w:val="double" w:color="auto" w:sz="4" w:space="0"/>
              <w:right w:val="nil"/>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c>
          <w:tcPr>
            <w:tcW w:w="2678" w:type="dxa"/>
            <w:gridSpan w:val="2"/>
            <w:tcBorders>
              <w:top w:val="nil"/>
              <w:left w:val="single" w:color="auto" w:sz="8" w:space="0"/>
              <w:bottom w:val="double" w:color="auto" w:sz="4" w:space="0"/>
              <w:right w:val="double" w:color="auto" w:sz="4"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16"/>
                <w:szCs w:val="16"/>
              </w:rPr>
            </w:pPr>
          </w:p>
        </w:tc>
      </w:tr>
    </w:tbl>
    <w:p>
      <w:pPr>
        <w:pStyle w:val="15"/>
        <w:ind w:left="0" w:leftChars="0" w:firstLine="0" w:firstLineChars="0"/>
        <w:rPr>
          <w:rFonts w:hint="default" w:ascii="Times New Roman" w:hAnsi="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简体">
    <w:altName w:val="方正黑体_GBK"/>
    <w:panose1 w:val="02010601030101010101"/>
    <w:charset w:val="00"/>
    <w:family w:val="auto"/>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napToGrid w:val="0"/>
      <w:spacing w:before="120" w:line="300" w:lineRule="atLeast"/>
      <w:ind w:right="-33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F99B7"/>
    <w:multiLevelType w:val="singleLevel"/>
    <w:tmpl w:val="522F99B7"/>
    <w:lvl w:ilvl="0" w:tentative="0">
      <w:start w:val="1"/>
      <w:numFmt w:val="chineseCounting"/>
      <w:suff w:val="nothing"/>
      <w:lvlText w:val="（%1）"/>
      <w:lvlJc w:val="left"/>
      <w:pPr>
        <w:ind w:left="-430"/>
      </w:pPr>
      <w:rPr>
        <w:rFonts w:hint="eastAsia"/>
      </w:rPr>
    </w:lvl>
  </w:abstractNum>
  <w:abstractNum w:abstractNumId="1">
    <w:nsid w:val="602B621B"/>
    <w:multiLevelType w:val="singleLevel"/>
    <w:tmpl w:val="602B62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2Y3NGJiOTY3MTAwZWY3NTkyYzVkNGZjMGRkNTIifQ=="/>
  </w:docVars>
  <w:rsids>
    <w:rsidRoot w:val="00E22606"/>
    <w:rsid w:val="00445101"/>
    <w:rsid w:val="00516429"/>
    <w:rsid w:val="005E1B11"/>
    <w:rsid w:val="006D0AFA"/>
    <w:rsid w:val="006E4A62"/>
    <w:rsid w:val="007B3740"/>
    <w:rsid w:val="00B86439"/>
    <w:rsid w:val="00B92181"/>
    <w:rsid w:val="00D9086A"/>
    <w:rsid w:val="00DA186B"/>
    <w:rsid w:val="00E22606"/>
    <w:rsid w:val="00F60796"/>
    <w:rsid w:val="023E207E"/>
    <w:rsid w:val="03394EB3"/>
    <w:rsid w:val="03F61A98"/>
    <w:rsid w:val="04B96110"/>
    <w:rsid w:val="04BF588C"/>
    <w:rsid w:val="053069CC"/>
    <w:rsid w:val="05D71C1E"/>
    <w:rsid w:val="067E1037"/>
    <w:rsid w:val="068C5C42"/>
    <w:rsid w:val="06C62F02"/>
    <w:rsid w:val="06E22194"/>
    <w:rsid w:val="078B7CA7"/>
    <w:rsid w:val="07C64D36"/>
    <w:rsid w:val="087D5842"/>
    <w:rsid w:val="08A2174C"/>
    <w:rsid w:val="08F5187C"/>
    <w:rsid w:val="094D6794"/>
    <w:rsid w:val="09975029"/>
    <w:rsid w:val="09D37BC5"/>
    <w:rsid w:val="09E65669"/>
    <w:rsid w:val="0A2A19F9"/>
    <w:rsid w:val="0AA55524"/>
    <w:rsid w:val="0AB16081"/>
    <w:rsid w:val="0AE4604C"/>
    <w:rsid w:val="0B1667CF"/>
    <w:rsid w:val="0B210DDF"/>
    <w:rsid w:val="0B5E62B6"/>
    <w:rsid w:val="0B9D61FB"/>
    <w:rsid w:val="0BA852CC"/>
    <w:rsid w:val="0BF26547"/>
    <w:rsid w:val="0BF70001"/>
    <w:rsid w:val="0C05627A"/>
    <w:rsid w:val="0C7102BB"/>
    <w:rsid w:val="0C8F4CA8"/>
    <w:rsid w:val="0CA041F5"/>
    <w:rsid w:val="0CA85793"/>
    <w:rsid w:val="0D757F40"/>
    <w:rsid w:val="0E6C13D0"/>
    <w:rsid w:val="0EB52799"/>
    <w:rsid w:val="0F754F9C"/>
    <w:rsid w:val="0FB32491"/>
    <w:rsid w:val="1027514F"/>
    <w:rsid w:val="10E741A0"/>
    <w:rsid w:val="112453F4"/>
    <w:rsid w:val="117E0DEF"/>
    <w:rsid w:val="11B33508"/>
    <w:rsid w:val="11BE2CB7"/>
    <w:rsid w:val="122E12BD"/>
    <w:rsid w:val="12B5207C"/>
    <w:rsid w:val="15170DCC"/>
    <w:rsid w:val="15F66C34"/>
    <w:rsid w:val="16004783"/>
    <w:rsid w:val="163A1216"/>
    <w:rsid w:val="164E6A70"/>
    <w:rsid w:val="168D57EA"/>
    <w:rsid w:val="169326D4"/>
    <w:rsid w:val="17F35B20"/>
    <w:rsid w:val="182A472E"/>
    <w:rsid w:val="18BE39F9"/>
    <w:rsid w:val="19AA66B3"/>
    <w:rsid w:val="1A4268EB"/>
    <w:rsid w:val="1B3501FE"/>
    <w:rsid w:val="1B6F3710"/>
    <w:rsid w:val="1C817B9F"/>
    <w:rsid w:val="1CC8040E"/>
    <w:rsid w:val="1CF814E3"/>
    <w:rsid w:val="1D81597C"/>
    <w:rsid w:val="1DA82F09"/>
    <w:rsid w:val="1EA25BAA"/>
    <w:rsid w:val="1EA272B7"/>
    <w:rsid w:val="1ECA6EAF"/>
    <w:rsid w:val="1F86727A"/>
    <w:rsid w:val="1FB97650"/>
    <w:rsid w:val="207B66B3"/>
    <w:rsid w:val="21156B08"/>
    <w:rsid w:val="212D12AA"/>
    <w:rsid w:val="215D18CE"/>
    <w:rsid w:val="235F406A"/>
    <w:rsid w:val="23D031BA"/>
    <w:rsid w:val="24142FB7"/>
    <w:rsid w:val="254259F1"/>
    <w:rsid w:val="25865C30"/>
    <w:rsid w:val="27407F0F"/>
    <w:rsid w:val="27870033"/>
    <w:rsid w:val="278F0C96"/>
    <w:rsid w:val="27B716B6"/>
    <w:rsid w:val="28681C13"/>
    <w:rsid w:val="28812313"/>
    <w:rsid w:val="28BE0A91"/>
    <w:rsid w:val="28D16ED4"/>
    <w:rsid w:val="28F614A7"/>
    <w:rsid w:val="29451AFF"/>
    <w:rsid w:val="29514455"/>
    <w:rsid w:val="29E94B0F"/>
    <w:rsid w:val="2B2D0E86"/>
    <w:rsid w:val="2B326508"/>
    <w:rsid w:val="2BD61589"/>
    <w:rsid w:val="2C1C51EE"/>
    <w:rsid w:val="2CA174A1"/>
    <w:rsid w:val="2CBF201D"/>
    <w:rsid w:val="2CEA709A"/>
    <w:rsid w:val="2CF93672"/>
    <w:rsid w:val="2DDF4725"/>
    <w:rsid w:val="2E505623"/>
    <w:rsid w:val="2E5642BC"/>
    <w:rsid w:val="2E5F7614"/>
    <w:rsid w:val="2F642C86"/>
    <w:rsid w:val="2FBE480E"/>
    <w:rsid w:val="2FC55B9D"/>
    <w:rsid w:val="2FFB15BE"/>
    <w:rsid w:val="30C57829"/>
    <w:rsid w:val="3281224F"/>
    <w:rsid w:val="329F26D5"/>
    <w:rsid w:val="33AA7583"/>
    <w:rsid w:val="33D20888"/>
    <w:rsid w:val="35020CF9"/>
    <w:rsid w:val="3627310D"/>
    <w:rsid w:val="37607B94"/>
    <w:rsid w:val="381C2B0B"/>
    <w:rsid w:val="386121DB"/>
    <w:rsid w:val="38B642D4"/>
    <w:rsid w:val="39A84565"/>
    <w:rsid w:val="39B2175F"/>
    <w:rsid w:val="39E9692C"/>
    <w:rsid w:val="39FC3A97"/>
    <w:rsid w:val="3A440152"/>
    <w:rsid w:val="3A5E4C24"/>
    <w:rsid w:val="3AE462AC"/>
    <w:rsid w:val="3BAA174F"/>
    <w:rsid w:val="3C9963E7"/>
    <w:rsid w:val="3C9C721A"/>
    <w:rsid w:val="3CFD020C"/>
    <w:rsid w:val="3CFE624A"/>
    <w:rsid w:val="3DB64D77"/>
    <w:rsid w:val="3DBA6615"/>
    <w:rsid w:val="3E2241BA"/>
    <w:rsid w:val="3E2F162B"/>
    <w:rsid w:val="3E524A9F"/>
    <w:rsid w:val="3E6447D3"/>
    <w:rsid w:val="3F3423F7"/>
    <w:rsid w:val="3F485EA2"/>
    <w:rsid w:val="3FC419CD"/>
    <w:rsid w:val="3FCE3EEF"/>
    <w:rsid w:val="406B3BF6"/>
    <w:rsid w:val="407068AC"/>
    <w:rsid w:val="4104473A"/>
    <w:rsid w:val="41271A71"/>
    <w:rsid w:val="415A032F"/>
    <w:rsid w:val="41981549"/>
    <w:rsid w:val="41DD28D2"/>
    <w:rsid w:val="42186000"/>
    <w:rsid w:val="430B346F"/>
    <w:rsid w:val="433C7ACC"/>
    <w:rsid w:val="440B5E1C"/>
    <w:rsid w:val="44240C8C"/>
    <w:rsid w:val="44366C11"/>
    <w:rsid w:val="44DF1312"/>
    <w:rsid w:val="46555218"/>
    <w:rsid w:val="46690BD8"/>
    <w:rsid w:val="46796BA5"/>
    <w:rsid w:val="469A6392"/>
    <w:rsid w:val="46B61944"/>
    <w:rsid w:val="46BF4C9C"/>
    <w:rsid w:val="46FC37FA"/>
    <w:rsid w:val="476F66C2"/>
    <w:rsid w:val="47CF0F0F"/>
    <w:rsid w:val="48164D90"/>
    <w:rsid w:val="48362D3C"/>
    <w:rsid w:val="4894769F"/>
    <w:rsid w:val="49296D45"/>
    <w:rsid w:val="492E303F"/>
    <w:rsid w:val="49301E81"/>
    <w:rsid w:val="494F4C8A"/>
    <w:rsid w:val="4A510301"/>
    <w:rsid w:val="4B3B0528"/>
    <w:rsid w:val="4B971D44"/>
    <w:rsid w:val="4BC30D8B"/>
    <w:rsid w:val="4BE62CCB"/>
    <w:rsid w:val="4BF165EF"/>
    <w:rsid w:val="4C2213F2"/>
    <w:rsid w:val="4C60482B"/>
    <w:rsid w:val="4C72455F"/>
    <w:rsid w:val="4DEB17E5"/>
    <w:rsid w:val="4E0062C6"/>
    <w:rsid w:val="4E035DB6"/>
    <w:rsid w:val="4E2F2707"/>
    <w:rsid w:val="4F340E22"/>
    <w:rsid w:val="4F4B3F8F"/>
    <w:rsid w:val="4FC96B8B"/>
    <w:rsid w:val="501F1EE4"/>
    <w:rsid w:val="51204589"/>
    <w:rsid w:val="52081BED"/>
    <w:rsid w:val="52BE1CE6"/>
    <w:rsid w:val="52BE22AC"/>
    <w:rsid w:val="52D2096E"/>
    <w:rsid w:val="52E141EC"/>
    <w:rsid w:val="53894668"/>
    <w:rsid w:val="542919A7"/>
    <w:rsid w:val="54640C31"/>
    <w:rsid w:val="547075D6"/>
    <w:rsid w:val="55802A82"/>
    <w:rsid w:val="566B44F9"/>
    <w:rsid w:val="567ACA7A"/>
    <w:rsid w:val="56A25A40"/>
    <w:rsid w:val="56C13637"/>
    <w:rsid w:val="56D402F0"/>
    <w:rsid w:val="572823EA"/>
    <w:rsid w:val="57A44166"/>
    <w:rsid w:val="582211DD"/>
    <w:rsid w:val="586475A6"/>
    <w:rsid w:val="587162C9"/>
    <w:rsid w:val="587A6C75"/>
    <w:rsid w:val="5903310E"/>
    <w:rsid w:val="59653481"/>
    <w:rsid w:val="59B85CA7"/>
    <w:rsid w:val="5A752057"/>
    <w:rsid w:val="5AEF2DFF"/>
    <w:rsid w:val="5B2555BE"/>
    <w:rsid w:val="5B461090"/>
    <w:rsid w:val="5B802E43"/>
    <w:rsid w:val="5BE2700B"/>
    <w:rsid w:val="5BF83C0B"/>
    <w:rsid w:val="5C3E620B"/>
    <w:rsid w:val="5C7A5495"/>
    <w:rsid w:val="5C8A31FF"/>
    <w:rsid w:val="5CA442C0"/>
    <w:rsid w:val="5CD01559"/>
    <w:rsid w:val="5D1A6C78"/>
    <w:rsid w:val="5D681792"/>
    <w:rsid w:val="5DA44981"/>
    <w:rsid w:val="5DDC5CDC"/>
    <w:rsid w:val="5E2D4789"/>
    <w:rsid w:val="5E47584B"/>
    <w:rsid w:val="5E9E35CE"/>
    <w:rsid w:val="5ECE3876"/>
    <w:rsid w:val="5F09577C"/>
    <w:rsid w:val="5FC03AA5"/>
    <w:rsid w:val="5FEB0458"/>
    <w:rsid w:val="6089214B"/>
    <w:rsid w:val="60FB291D"/>
    <w:rsid w:val="615D0EE2"/>
    <w:rsid w:val="624125B1"/>
    <w:rsid w:val="62B95A0E"/>
    <w:rsid w:val="62CE02E9"/>
    <w:rsid w:val="63687CE2"/>
    <w:rsid w:val="63A66B70"/>
    <w:rsid w:val="646A5DEF"/>
    <w:rsid w:val="652D7DDC"/>
    <w:rsid w:val="665E7BD6"/>
    <w:rsid w:val="66B07D06"/>
    <w:rsid w:val="672871A7"/>
    <w:rsid w:val="67334BBF"/>
    <w:rsid w:val="677A606F"/>
    <w:rsid w:val="679715F1"/>
    <w:rsid w:val="67C93238"/>
    <w:rsid w:val="689773CF"/>
    <w:rsid w:val="6922313D"/>
    <w:rsid w:val="694E25A1"/>
    <w:rsid w:val="6A475AD8"/>
    <w:rsid w:val="6A9A6D03"/>
    <w:rsid w:val="6ACD0E86"/>
    <w:rsid w:val="6AD50449"/>
    <w:rsid w:val="6AD93CCF"/>
    <w:rsid w:val="6B301415"/>
    <w:rsid w:val="6B8D7AD1"/>
    <w:rsid w:val="6C060AF4"/>
    <w:rsid w:val="6C6D6877"/>
    <w:rsid w:val="6CCD11F8"/>
    <w:rsid w:val="6CFA617E"/>
    <w:rsid w:val="6D1F7993"/>
    <w:rsid w:val="6D512242"/>
    <w:rsid w:val="6D947F8F"/>
    <w:rsid w:val="6E1F6A3B"/>
    <w:rsid w:val="6ED722D3"/>
    <w:rsid w:val="6EEA2A6C"/>
    <w:rsid w:val="6F3516F0"/>
    <w:rsid w:val="6F8D32DA"/>
    <w:rsid w:val="6F920604"/>
    <w:rsid w:val="6FE069D1"/>
    <w:rsid w:val="70716758"/>
    <w:rsid w:val="710553E2"/>
    <w:rsid w:val="72133F6A"/>
    <w:rsid w:val="72F74835"/>
    <w:rsid w:val="731A1328"/>
    <w:rsid w:val="7367248B"/>
    <w:rsid w:val="74C57072"/>
    <w:rsid w:val="75B570E6"/>
    <w:rsid w:val="76731DF6"/>
    <w:rsid w:val="76AF753E"/>
    <w:rsid w:val="76DA32A9"/>
    <w:rsid w:val="77134CC2"/>
    <w:rsid w:val="77E2778E"/>
    <w:rsid w:val="782E09E2"/>
    <w:rsid w:val="78972AD3"/>
    <w:rsid w:val="797307C0"/>
    <w:rsid w:val="799A1CBD"/>
    <w:rsid w:val="79F857F4"/>
    <w:rsid w:val="7A6C25C1"/>
    <w:rsid w:val="7B3D3E06"/>
    <w:rsid w:val="7BF546E1"/>
    <w:rsid w:val="7CBA4FE2"/>
    <w:rsid w:val="7D9D14B6"/>
    <w:rsid w:val="7DF75091"/>
    <w:rsid w:val="7E7FF928"/>
    <w:rsid w:val="7E8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2"/>
    <w:basedOn w:val="1"/>
    <w:next w:val="1"/>
    <w:qFormat/>
    <w:uiPriority w:val="99"/>
    <w:pPr>
      <w:keepNext/>
      <w:keepLines/>
      <w:spacing w:line="413" w:lineRule="auto"/>
      <w:outlineLvl w:val="1"/>
    </w:pPr>
    <w:rPr>
      <w:rFonts w:ascii="Arial" w:hAnsi="Arial" w:eastAsia="黑体"/>
      <w:b/>
      <w:sz w:val="32"/>
    </w:rPr>
  </w:style>
  <w:style w:type="paragraph" w:styleId="5">
    <w:name w:val="heading 3"/>
    <w:basedOn w:val="1"/>
    <w:next w:val="1"/>
    <w:qFormat/>
    <w:uiPriority w:val="99"/>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200"/>
    </w:pPr>
    <w:rPr>
      <w:rFonts w:eastAsia="仿宋_GB2312" w:cs="Times New Roman"/>
      <w:sz w:val="36"/>
    </w:rPr>
  </w:style>
  <w:style w:type="paragraph" w:styleId="8">
    <w:name w:val="Body Text"/>
    <w:basedOn w:val="1"/>
    <w:link w:val="16"/>
    <w:qFormat/>
    <w:uiPriority w:val="0"/>
    <w:rPr>
      <w:rFonts w:hint="eastAsia" w:ascii="微软雅黑" w:hAnsi="微软雅黑" w:eastAsia="微软雅黑"/>
      <w:sz w:val="31"/>
      <w:szCs w:val="31"/>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5">
    <w:name w:val="Body text|1"/>
    <w:basedOn w:val="1"/>
    <w:qFormat/>
    <w:uiPriority w:val="99"/>
    <w:pPr>
      <w:spacing w:line="458" w:lineRule="auto"/>
      <w:ind w:firstLine="400"/>
    </w:pPr>
    <w:rPr>
      <w:rFonts w:ascii="??" w:hAnsi="??" w:cs="??"/>
      <w:sz w:val="20"/>
      <w:szCs w:val="20"/>
      <w:lang w:val="zh-TW" w:eastAsia="zh-TW"/>
    </w:rPr>
  </w:style>
  <w:style w:type="character" w:customStyle="1" w:styleId="16">
    <w:name w:val="正文文本 字符"/>
    <w:basedOn w:val="14"/>
    <w:link w:val="8"/>
    <w:qFormat/>
    <w:uiPriority w:val="0"/>
    <w:rPr>
      <w:rFonts w:hint="eastAsia" w:ascii="微软雅黑" w:hAnsi="微软雅黑" w:eastAsia="微软雅黑" w:cs="微软雅黑"/>
      <w:kern w:val="2"/>
      <w:sz w:val="31"/>
      <w:szCs w:val="31"/>
    </w:rPr>
  </w:style>
  <w:style w:type="character" w:customStyle="1" w:styleId="17">
    <w:name w:val="页眉 字符"/>
    <w:basedOn w:val="14"/>
    <w:link w:val="10"/>
    <w:qFormat/>
    <w:uiPriority w:val="0"/>
    <w:rPr>
      <w:rFonts w:ascii="Calibri" w:hAnsi="Calibri"/>
      <w:kern w:val="2"/>
      <w:sz w:val="18"/>
      <w:szCs w:val="18"/>
    </w:rPr>
  </w:style>
  <w:style w:type="character" w:customStyle="1" w:styleId="18">
    <w:name w:val="页脚 字符"/>
    <w:basedOn w:val="14"/>
    <w:link w:val="9"/>
    <w:qFormat/>
    <w:uiPriority w:val="0"/>
    <w:rPr>
      <w:rFonts w:ascii="Calibri" w:hAnsi="Calibri"/>
      <w:kern w:val="2"/>
      <w:sz w:val="18"/>
      <w:szCs w:val="18"/>
    </w:rPr>
  </w:style>
  <w:style w:type="paragraph" w:styleId="19">
    <w:name w:val="List Paragraph"/>
    <w:basedOn w:val="1"/>
    <w:qFormat/>
    <w:uiPriority w:val="34"/>
    <w:pPr>
      <w:ind w:firstLine="420" w:firstLineChars="200"/>
    </w:pPr>
  </w:style>
  <w:style w:type="paragraph" w:customStyle="1" w:styleId="20">
    <w:name w:val="_Style 31"/>
    <w:basedOn w:val="1"/>
    <w:next w:val="19"/>
    <w:qFormat/>
    <w:uiPriority w:val="34"/>
    <w:pPr>
      <w:overflowPunct w:val="0"/>
      <w:topLinePunct/>
      <w:ind w:firstLine="420"/>
    </w:pPr>
    <w:rPr>
      <w:rFonts w:ascii="Times New Roman" w:hAnsi="Times New Roman"/>
      <w:szCs w:val="32"/>
    </w:rPr>
  </w:style>
  <w:style w:type="character" w:customStyle="1" w:styleId="21">
    <w:name w:val="font11"/>
    <w:basedOn w:val="14"/>
    <w:qFormat/>
    <w:uiPriority w:val="0"/>
    <w:rPr>
      <w:rFonts w:hint="eastAsia" w:ascii="宋体" w:hAnsi="宋体" w:eastAsia="宋体" w:cs="宋体"/>
      <w:color w:val="000000"/>
      <w:sz w:val="20"/>
      <w:szCs w:val="20"/>
      <w:u w:val="none"/>
    </w:rPr>
  </w:style>
  <w:style w:type="character" w:customStyle="1" w:styleId="22">
    <w:name w:val="font21"/>
    <w:basedOn w:val="14"/>
    <w:qFormat/>
    <w:uiPriority w:val="0"/>
    <w:rPr>
      <w:rFonts w:hint="eastAsia" w:ascii="宋体" w:hAnsi="宋体" w:eastAsia="宋体" w:cs="宋体"/>
      <w:color w:val="FF0000"/>
      <w:sz w:val="20"/>
      <w:szCs w:val="20"/>
      <w:u w:val="none"/>
    </w:rPr>
  </w:style>
  <w:style w:type="character" w:customStyle="1" w:styleId="23">
    <w:name w:val="font41"/>
    <w:basedOn w:val="1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20431</Words>
  <Characters>24256</Characters>
  <Lines>44</Lines>
  <Paragraphs>12</Paragraphs>
  <TotalTime>1</TotalTime>
  <ScaleCrop>false</ScaleCrop>
  <LinksUpToDate>false</LinksUpToDate>
  <CharactersWithSpaces>25603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2024-03-26T18:00:00Z</dcterms:created>
  <dc:creator>hp</dc:creator>
  <cp:lastModifiedBy>guest</cp:lastModifiedBy>
  <cp:lastPrinted>2024-04-12T21:58:00Z</cp:lastPrinted>
  <dcterms:modified xsi:type="dcterms:W3CDTF">2024-06-24T17:23:16Z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7150F38FC3FC432B9D891008032F6638_13</vt:lpwstr>
  </property>
</Properties>
</file>