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30"/>
          <w:szCs w:val="30"/>
          <w:lang w:val="en-US"/>
        </w:rPr>
      </w:pPr>
      <w:r>
        <w:rPr>
          <w:rFonts w:hint="eastAsia"/>
          <w:sz w:val="28"/>
          <w:szCs w:val="28"/>
          <w:lang w:eastAsia="zh-CN"/>
        </w:rPr>
        <w:t>附件</w:t>
      </w:r>
    </w:p>
    <w:p>
      <w:pPr>
        <w:spacing w:line="240" w:lineRule="atLeast"/>
        <w:jc w:val="center"/>
        <w:rPr>
          <w:rFonts w:hint="eastAsia" w:ascii="黑体" w:hAnsi="黑体" w:eastAsia="黑体" w:cs="仿宋"/>
          <w:b/>
          <w:sz w:val="32"/>
          <w:szCs w:val="32"/>
          <w:lang w:eastAsia="zh-CN"/>
        </w:rPr>
      </w:pPr>
      <w:r>
        <w:rPr>
          <w:rFonts w:hint="eastAsia" w:ascii="黑体" w:hAnsi="黑体" w:eastAsia="黑体" w:cs="仿宋"/>
          <w:b/>
          <w:sz w:val="32"/>
          <w:szCs w:val="32"/>
        </w:rPr>
        <w:t>202</w:t>
      </w:r>
      <w:r>
        <w:rPr>
          <w:rFonts w:hint="eastAsia" w:ascii="黑体" w:hAnsi="黑体" w:eastAsia="黑体" w:cs="仿宋"/>
          <w:b/>
          <w:sz w:val="32"/>
          <w:szCs w:val="32"/>
          <w:lang w:val="en-US" w:eastAsia="zh-CN"/>
        </w:rPr>
        <w:t>4</w:t>
      </w:r>
      <w:r>
        <w:rPr>
          <w:rFonts w:hint="eastAsia" w:ascii="黑体" w:hAnsi="黑体" w:eastAsia="黑体" w:cs="仿宋"/>
          <w:b/>
          <w:sz w:val="32"/>
          <w:szCs w:val="32"/>
        </w:rPr>
        <w:t>年陕西省工程建设标准</w:t>
      </w:r>
      <w:r>
        <w:rPr>
          <w:rFonts w:hint="eastAsia" w:ascii="黑体" w:hAnsi="黑体" w:eastAsia="黑体" w:cs="仿宋"/>
          <w:b/>
          <w:sz w:val="32"/>
          <w:szCs w:val="32"/>
          <w:lang w:eastAsia="zh-CN"/>
        </w:rPr>
        <w:t>制定计划汇总</w:t>
      </w:r>
      <w:r>
        <w:rPr>
          <w:rFonts w:hint="eastAsia" w:ascii="黑体" w:hAnsi="黑体" w:eastAsia="黑体" w:cs="仿宋"/>
          <w:b/>
          <w:sz w:val="32"/>
          <w:szCs w:val="32"/>
        </w:rPr>
        <w:t>表</w:t>
      </w:r>
    </w:p>
    <w:p>
      <w:pPr>
        <w:keepNext/>
        <w:keepLines/>
        <w:spacing w:line="240" w:lineRule="atLeast"/>
        <w:outlineLvl w:val="1"/>
        <w:rPr>
          <w:rFonts w:ascii="宋体" w:hAnsi="宋体"/>
          <w:b/>
          <w:sz w:val="24"/>
        </w:rPr>
      </w:pPr>
    </w:p>
    <w:tbl>
      <w:tblPr>
        <w:tblStyle w:val="8"/>
        <w:tblW w:w="1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767"/>
        <w:gridCol w:w="721"/>
        <w:gridCol w:w="5403"/>
        <w:gridCol w:w="176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24" w:type="dxa"/>
            <w:vAlign w:val="center"/>
          </w:tcPr>
          <w:p>
            <w:pPr>
              <w:spacing w:line="240" w:lineRule="atLeast"/>
              <w:jc w:val="center"/>
              <w:rPr>
                <w:rFonts w:hint="eastAsia" w:eastAsia="宋体"/>
                <w:b/>
                <w:sz w:val="18"/>
                <w:szCs w:val="18"/>
                <w:lang w:eastAsia="zh-CN"/>
              </w:rPr>
            </w:pPr>
            <w:r>
              <w:rPr>
                <w:rFonts w:hint="eastAsia"/>
                <w:b/>
                <w:sz w:val="18"/>
                <w:szCs w:val="18"/>
                <w:lang w:eastAsia="zh-CN"/>
              </w:rPr>
              <w:t>序号</w:t>
            </w:r>
          </w:p>
        </w:tc>
        <w:tc>
          <w:tcPr>
            <w:tcW w:w="2767" w:type="dxa"/>
            <w:vAlign w:val="center"/>
          </w:tcPr>
          <w:p>
            <w:pPr>
              <w:spacing w:line="240" w:lineRule="atLeast"/>
              <w:jc w:val="center"/>
              <w:rPr>
                <w:rFonts w:hint="eastAsia"/>
                <w:b/>
                <w:sz w:val="18"/>
                <w:szCs w:val="18"/>
              </w:rPr>
            </w:pPr>
            <w:r>
              <w:rPr>
                <w:rFonts w:hint="eastAsia"/>
                <w:b/>
                <w:sz w:val="18"/>
                <w:szCs w:val="18"/>
              </w:rPr>
              <w:t>项目名称</w:t>
            </w:r>
          </w:p>
        </w:tc>
        <w:tc>
          <w:tcPr>
            <w:tcW w:w="721" w:type="dxa"/>
            <w:vAlign w:val="center"/>
          </w:tcPr>
          <w:p>
            <w:pPr>
              <w:spacing w:line="240" w:lineRule="atLeast"/>
              <w:jc w:val="center"/>
              <w:rPr>
                <w:b/>
                <w:sz w:val="18"/>
                <w:szCs w:val="18"/>
              </w:rPr>
            </w:pPr>
            <w:r>
              <w:rPr>
                <w:rFonts w:hint="eastAsia"/>
                <w:b/>
                <w:sz w:val="18"/>
                <w:szCs w:val="18"/>
              </w:rPr>
              <w:t>类别</w:t>
            </w:r>
          </w:p>
        </w:tc>
        <w:tc>
          <w:tcPr>
            <w:tcW w:w="5403" w:type="dxa"/>
            <w:vAlign w:val="center"/>
          </w:tcPr>
          <w:p>
            <w:pPr>
              <w:spacing w:line="240" w:lineRule="atLeast"/>
              <w:jc w:val="center"/>
              <w:rPr>
                <w:b/>
                <w:sz w:val="18"/>
                <w:szCs w:val="18"/>
              </w:rPr>
            </w:pPr>
            <w:r>
              <w:rPr>
                <w:rFonts w:hint="eastAsia"/>
                <w:b/>
                <w:sz w:val="18"/>
                <w:szCs w:val="18"/>
              </w:rPr>
              <w:t>适用范围和主要技术内容</w:t>
            </w:r>
          </w:p>
        </w:tc>
        <w:tc>
          <w:tcPr>
            <w:tcW w:w="1765" w:type="dxa"/>
            <w:vAlign w:val="center"/>
          </w:tcPr>
          <w:p>
            <w:pPr>
              <w:spacing w:line="240" w:lineRule="atLeast"/>
              <w:jc w:val="center"/>
              <w:rPr>
                <w:b/>
                <w:sz w:val="18"/>
                <w:szCs w:val="18"/>
              </w:rPr>
            </w:pPr>
            <w:r>
              <w:rPr>
                <w:rFonts w:hint="eastAsia"/>
                <w:b/>
                <w:sz w:val="18"/>
                <w:szCs w:val="18"/>
              </w:rPr>
              <w:t>主编单位</w:t>
            </w:r>
          </w:p>
        </w:tc>
        <w:tc>
          <w:tcPr>
            <w:tcW w:w="1400" w:type="dxa"/>
            <w:vAlign w:val="center"/>
          </w:tcPr>
          <w:p>
            <w:pPr>
              <w:spacing w:line="240" w:lineRule="atLeast"/>
              <w:jc w:val="center"/>
              <w:rPr>
                <w:b/>
                <w:sz w:val="18"/>
                <w:szCs w:val="18"/>
              </w:rPr>
            </w:pPr>
            <w:r>
              <w:rPr>
                <w:rFonts w:hint="eastAsia"/>
                <w:b/>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24" w:type="dxa"/>
            <w:vAlign w:val="center"/>
          </w:tcPr>
          <w:p>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房建与市政工程施工安全风险评价与控制技术规程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本标准适用于陕西省内新建、扩建、改建房屋建筑及市政基础设施建设的建设安全风险评价工作,规定了建设工程安全风险评价的管理规则、工作程序、评价内容和报告编制要求。</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陕西省建设工程质量安全监督总站、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长安大学</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24" w:type="dxa"/>
            <w:vAlign w:val="center"/>
          </w:tcPr>
          <w:p>
            <w:pPr>
              <w:spacing w:line="240" w:lineRule="atLeast"/>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2767" w:type="dxa"/>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建筑与市政工程试验技术管理规程</w:t>
            </w:r>
          </w:p>
        </w:tc>
        <w:tc>
          <w:tcPr>
            <w:tcW w:w="721" w:type="dxa"/>
            <w:vAlign w:val="center"/>
          </w:tcPr>
          <w:p>
            <w:pPr>
              <w:keepNext w:val="0"/>
              <w:keepLines w:val="0"/>
              <w:widowControl/>
              <w:suppressLineNumbers w:val="0"/>
              <w:jc w:val="center"/>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适用范围：本标准适用于陕西省行政区域内建筑与市政工程施工现场试验的技术管理。</w:t>
            </w:r>
          </w:p>
        </w:tc>
        <w:tc>
          <w:tcPr>
            <w:tcW w:w="1765" w:type="dxa"/>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陕西航天建设集团有限公司</w:t>
            </w:r>
          </w:p>
        </w:tc>
        <w:tc>
          <w:tcPr>
            <w:tcW w:w="1400" w:type="dxa"/>
            <w:vAlign w:val="center"/>
          </w:tcPr>
          <w:p>
            <w:pPr>
              <w:keepNext w:val="0"/>
              <w:keepLines w:val="0"/>
              <w:widowControl/>
              <w:suppressLineNumbers w:val="0"/>
              <w:jc w:val="center"/>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2767" w:type="dxa"/>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居民室内燃气管道暗封（埋）技术规程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b w:val="0"/>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适用范围：陕西省范围内的居民用户室内天然气管道暗封（埋）工程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要技术内容：1.燃气管道暗封（埋）对象、管材选用。2.管道布置形式、要求、流程图。3.地面暗埋单管和双管做法大样图。4.施工流程、注意事项、管道试压等。5.暗封（埋）出墙面或地面转换要求。6.沟槽砂浆要求。7.施工和竣工资料要求。8.交工后的运行管理等。</w:t>
            </w:r>
          </w:p>
        </w:tc>
        <w:tc>
          <w:tcPr>
            <w:tcW w:w="1765" w:type="dxa"/>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西安市燃气供热服务中心、西安市燃气规划设计院有限公司</w:t>
            </w:r>
          </w:p>
        </w:tc>
        <w:tc>
          <w:tcPr>
            <w:tcW w:w="1400" w:type="dxa"/>
            <w:vAlign w:val="center"/>
          </w:tcPr>
          <w:p>
            <w:pPr>
              <w:keepNext w:val="0"/>
              <w:keepLines w:val="0"/>
              <w:widowControl/>
              <w:suppressLineNumbers w:val="0"/>
              <w:jc w:val="center"/>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装配式混凝土结构检测技术规程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新建及改造的整体与局部装配式混凝土结构建（构）筑物，各类装配式混凝土建筑工程从检测项目、检测方法、检验设备及要求等方面提供可靠的依据和参考。以更高标准与要求确保装配式混凝土结构建（构）筑物的工程质量与安全性，</w:t>
            </w:r>
          </w:p>
          <w:p>
            <w:pPr>
              <w:keepNext w:val="0"/>
              <w:keepLines w:val="0"/>
              <w:widowControl/>
              <w:numPr>
                <w:ilvl w:val="0"/>
                <w:numId w:val="0"/>
              </w:numPr>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为陕西省装配式混凝土结构质量检测提供有力撑。</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陕西省建设工程质量安全监督总站、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陕西省建筑工程质量检测中心有限公司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24" w:type="dxa"/>
            <w:vAlign w:val="center"/>
          </w:tcPr>
          <w:p>
            <w:pPr>
              <w:spacing w:line="240" w:lineRule="atLeas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工程建设智能建造水平评价标准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标准适用于陕西省行政区域内智能建造与建筑工业化技术应用建设工程项目的评价。</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陕西省建筑节能协会、陕西建工集团股份有限公司</w:t>
            </w:r>
            <w:bookmarkStart w:id="0" w:name="_GoBack"/>
            <w:bookmarkEnd w:id="0"/>
          </w:p>
        </w:tc>
        <w:tc>
          <w:tcPr>
            <w:tcW w:w="1400"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2767"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全氟己酮灭火系统技术标准</w:t>
            </w:r>
          </w:p>
        </w:tc>
        <w:tc>
          <w:tcPr>
            <w:tcW w:w="721"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本标准适用于新建、扩建、改建的工业和民用建筑中设置的全氟己酮灭火系统的设计、施工、验收和维护</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西安通昱科创集团有限公司、霍尼韦尔（西安）有限公司</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装配式建筑碳排放计算标准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本标准适用于新建、扩建和改建的装配式建筑生命周期各阶段（生产与建造阶段、维护与更新阶段、拆除与回收阶段）碳排放计算方法和建筑构件碳排放计算方法。</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西安建筑科技大学</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钢筋混凝土结构耐火设计标准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普通混凝土、震损混凝土、固废混凝土新建、改建、扩建建筑结构耐火性能设计。</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西安建筑科技大学</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9</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建筑地基基础工程碳排放核算标准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本规程适用于基础工程与其配套的地基处理过程中的碳排放计算。</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西安建筑科技大学、陕西景行大道建设工程有限公司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建筑隔震工程柔性管道应用技术规程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本标准适用范围为采用建筑隔震技术的建筑工程。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主要技术内容包括以下：（1）制定机电管道隔震方案的基本性能要求，例如管道隔震自由度与结构的匹配性、管道隔震变形与结构位移响应同步性等。（2）管道隔震形式的系列化、标准化，对穿越隔震层、跨越隔震缝、穿墙管及进出户等管道提出标准化要求。（3）管道隔震产品的质量及性能要求。（4）结构管道设计与构造。（5）管道隔震系统的防火要求。（6）隔震系统的安装与验收要求。（7）检验要求，包括型式检验、出厂检验、见证检验等。管道隔震系统型式检测中增加位移响应同步性测试。（8）管道隔震参数的远程感知要求。</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陕西建工控股集团未来城市创新科技有限公司、震安科技股份有限公司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11</w:t>
            </w:r>
          </w:p>
        </w:tc>
        <w:tc>
          <w:tcPr>
            <w:tcW w:w="2767"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既有社区低碳改造技术标准</w:t>
            </w:r>
          </w:p>
        </w:tc>
        <w:tc>
          <w:tcPr>
            <w:tcW w:w="721"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本标准适用于陕西省内有低碳改造需求的既有社区。社区中文物类建筑、历史类建筑在有低碳改造的需求时，可参考本标准的计算方法、推荐指标等。</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西安建筑科技大学设计研究总院有限公司</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城市轨道交通工程文物保护技术规程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适用范围：陕西省轨道交通工程建设和运营过程中的不可移动文物保护。</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要技术内容：1）、基本规定2）、文物现状调查与评估方法3）、轨道交通工程文物影响评估方法4）、文物变形控制标准及评估方法5）、文物振动控制标准及评估方法6）、文物保护技术和措施7）、文物监测内容、方法（建设期和运营期）8）、考古与勘探。</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西安市轨道交通集团有限公司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13</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建筑减隔震装置应用技术标准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Arial" w:hAnsi="Arial" w:eastAsia="仿宋"/>
                <w:color w:val="000000" w:themeColor="text1"/>
                <w:sz w:val="32"/>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适用范围：本标准适用于陕西省建筑结构用减隔震装置，构筑物、桥梁等结构用消能减震装置也可参照使用</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中国建筑西北设计研究院有限公司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14</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既有建筑抗震鉴定与加固技术规程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适用范围：适用于陕西省内抗震设防烈度为6度（0.05g）、7度（0.10g、0.15g）、8度（0.20g、0.30g）地区的现有建筑的抗震鉴定与结构加固。</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要技术内容：总则、术语和符号、基本规定、建筑抗震鉴定、地基和基础加固、砌体结构加固、钢筋混凝土结构加固、钢结构加固、基础隔震和消能减震加固、检验与验收、拆除和加固施工安全技术、条文说明、附录等。</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中国建筑西北设计研究院有限公司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建筑工程材料与构配件碳排放计算标准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适用范围本标准适用于新建、扩建和改建的建筑工程中建筑工程材料与构配件的碳排放计算。</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陕西省建筑科学研究院有限公司、西安建筑科技大学</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市政道路基础设施智慧监测技术规程</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市政基础设施监测分为基础性监测和实时监测。基础性监测基于灾害调查数据、定期检测数据、巡查数据，根据本省市政基础设施病害的形成规律建立模型，预测事故风险。实时监测根据市政基础设施特点，确定传感器类型、位置和数量，构建多指标数字化监测系统，对监测数据进行安全等级评估并给出养护建议。</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西安科技大学、中科云图科技有限公司</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17</w:t>
            </w:r>
          </w:p>
        </w:tc>
        <w:tc>
          <w:tcPr>
            <w:tcW w:w="2767" w:type="dxa"/>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城市更新技术导则</w:t>
            </w:r>
          </w:p>
        </w:tc>
        <w:tc>
          <w:tcPr>
            <w:tcW w:w="721"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适用于全省各市县（区）建成区内各类街区的更新设计方案编制及设计管理；主要技术内容包括总则、一般性规定、强制性规定、弹性化引导以及附则、编制说明等技术内容。</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陕西省城乡规划设计研究、西安建筑科技大学</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2767" w:type="dxa"/>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城市体检技术标准</w:t>
            </w:r>
          </w:p>
        </w:tc>
        <w:tc>
          <w:tcPr>
            <w:tcW w:w="721"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适用范围：陕西省城市体检工作。主要技术内容：总则、术语和定义、工作流程、体检内容、指标体系、评估方法、成果应用等七个章节。阐明陕西省城市体检指标的指标规定、计算方式、数据来源及评价标准。</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陕西省城乡规划设计研究院、陕西省建筑设计研究院（集团）有限公司、陕西市政建筑设计研究院有限公司</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19</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建设工程消防设施物联网系统技术标准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标准适用于新建、改建和扩建工程的项目消防物联网系统的设计、施工及验收。主要规定了西安市建设工程消防设施物联网系统设计的基本要求、消防系统信息采集、消防安全管理信息、供电与布线、信息传输与安全等要求。</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西安市建设工程消防技术协会</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c>
          <w:tcPr>
            <w:tcW w:w="2767"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传统村落保护和发展利用标准</w:t>
            </w:r>
          </w:p>
        </w:tc>
        <w:tc>
          <w:tcPr>
            <w:tcW w:w="721"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适用范围：本标准适用于陕西省行政区域内传统村落的保护和发展实施，包括国家级传统村落、省、市级传统村落和其他未被识别、但具有传统村落特点的需要保护的村落。</w:t>
            </w:r>
          </w:p>
        </w:tc>
        <w:tc>
          <w:tcPr>
            <w:tcW w:w="1765" w:type="dxa"/>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西安建筑科技大学</w:t>
            </w:r>
          </w:p>
        </w:tc>
        <w:tc>
          <w:tcPr>
            <w:tcW w:w="1400" w:type="dxa"/>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21</w:t>
            </w:r>
          </w:p>
        </w:tc>
        <w:tc>
          <w:tcPr>
            <w:tcW w:w="2767"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蟹型钢管脚手架安全技术标准</w:t>
            </w:r>
          </w:p>
        </w:tc>
        <w:tc>
          <w:tcPr>
            <w:tcW w:w="72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适用于建筑工程、市政工程、桥梁工程及其他架设工程中采用插接自锁式钢管脚手架构配件搭设的脚手架、模板支撑架、装配式临时架体的设计、施工、验收和使用。主要技术内容：1总则、2术语和符号、3基本规定、4主要构配件的材质及制作质量要求、5设计和计算、6构造要求、7安装与拆除、8检查与验收、9安全管理与维护。</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陕西建工集团股份有限公司、西安安德固模架工程有限公司</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22</w:t>
            </w:r>
          </w:p>
        </w:tc>
        <w:tc>
          <w:tcPr>
            <w:tcW w:w="2767"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湿陷性黄土地区顶管工程施工及验收技术规程</w:t>
            </w:r>
          </w:p>
        </w:tc>
        <w:tc>
          <w:tcPr>
            <w:tcW w:w="721"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本规程适用于湿陷性黄土区域采用顶管施工技术穿越各类管道的施工和工程验收</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西部机场集团建设工程（西安）有限公司</w:t>
            </w:r>
          </w:p>
        </w:tc>
        <w:tc>
          <w:tcPr>
            <w:tcW w:w="1400"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4" w:type="dxa"/>
            <w:vAlign w:val="center"/>
          </w:tcPr>
          <w:p>
            <w:pPr>
              <w:spacing w:line="240" w:lineRule="atLeast"/>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23</w:t>
            </w:r>
          </w:p>
        </w:tc>
        <w:tc>
          <w:tcPr>
            <w:tcW w:w="2767"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建制镇生活污水调节设施技术标准</w:t>
            </w:r>
          </w:p>
        </w:tc>
        <w:tc>
          <w:tcPr>
            <w:tcW w:w="72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标准</w:t>
            </w:r>
          </w:p>
        </w:tc>
        <w:tc>
          <w:tcPr>
            <w:tcW w:w="540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适用范围：本标准适用于陕西省建制镇生活污水设施中调节池的建设。本标准是陕西省建制镇污水处理设施中调节池建设的技术指南准则，包括建设标准和管理。</w:t>
            </w:r>
          </w:p>
        </w:tc>
        <w:tc>
          <w:tcPr>
            <w:tcW w:w="17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陕西省城乡规划设计研究院、中国市政工程西北设计研究院有限公司</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2025年10月</w:t>
            </w:r>
          </w:p>
        </w:tc>
      </w:tr>
    </w:tbl>
    <w:p>
      <w:pPr>
        <w:jc w:val="both"/>
        <w:rPr>
          <w:rFonts w:hint="eastAsia" w:eastAsia="宋体"/>
          <w:color w:val="000000" w:themeColor="text1"/>
          <w:sz w:val="28"/>
          <w:szCs w:val="28"/>
          <w:lang w:eastAsia="zh-CN"/>
          <w14:textFill>
            <w14:solidFill>
              <w14:schemeClr w14:val="tx1"/>
            </w14:solidFill>
          </w14:textFill>
        </w:rPr>
      </w:pPr>
    </w:p>
    <w:p>
      <w:pPr>
        <w:jc w:val="both"/>
        <w:rPr>
          <w:rFonts w:hint="eastAsia" w:eastAsia="宋体"/>
          <w:color w:val="000000" w:themeColor="text1"/>
          <w:sz w:val="28"/>
          <w:szCs w:val="28"/>
          <w:lang w:eastAsia="zh-CN"/>
          <w14:textFill>
            <w14:solidFill>
              <w14:schemeClr w14:val="tx1"/>
            </w14:solidFill>
          </w14:textFill>
        </w:rPr>
      </w:pPr>
    </w:p>
    <w:p>
      <w:pPr>
        <w:jc w:val="both"/>
        <w:rPr>
          <w:rFonts w:hint="eastAsia" w:eastAsia="宋体"/>
          <w:color w:val="000000" w:themeColor="text1"/>
          <w:sz w:val="28"/>
          <w:szCs w:val="28"/>
          <w:lang w:eastAsia="zh-CN"/>
          <w14:textFill>
            <w14:solidFill>
              <w14:schemeClr w14:val="tx1"/>
            </w14:solidFill>
          </w14:textFill>
        </w:rPr>
      </w:pPr>
    </w:p>
    <w:p>
      <w:pPr>
        <w:jc w:val="both"/>
        <w:rPr>
          <w:rFonts w:hint="eastAsia" w:eastAsia="宋体"/>
          <w:color w:val="000000" w:themeColor="text1"/>
          <w:sz w:val="28"/>
          <w:szCs w:val="28"/>
          <w:lang w:eastAsia="zh-CN"/>
          <w14:textFill>
            <w14:solidFill>
              <w14:schemeClr w14:val="tx1"/>
            </w14:solidFill>
          </w14:textFill>
        </w:rPr>
      </w:pPr>
    </w:p>
    <w:p>
      <w:pPr>
        <w:jc w:val="both"/>
        <w:rPr>
          <w:rFonts w:hint="eastAsia" w:eastAsia="宋体"/>
          <w:color w:val="000000" w:themeColor="text1"/>
          <w:sz w:val="28"/>
          <w:szCs w:val="28"/>
          <w:lang w:eastAsia="zh-CN"/>
          <w14:textFill>
            <w14:solidFill>
              <w14:schemeClr w14:val="tx1"/>
            </w14:solidFill>
          </w14:textFill>
        </w:rPr>
      </w:pPr>
    </w:p>
    <w:p>
      <w:pPr>
        <w:jc w:val="both"/>
        <w:rPr>
          <w:rFonts w:hint="eastAsia" w:eastAsia="宋体"/>
          <w:color w:val="000000" w:themeColor="text1"/>
          <w:sz w:val="28"/>
          <w:szCs w:val="28"/>
          <w:lang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EA498"/>
    <w:multiLevelType w:val="singleLevel"/>
    <w:tmpl w:val="5BBEA4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Dk5OTI1YjlkMzY4YzE3OTJmYzk4MzRkNDgxYmIifQ=="/>
  </w:docVars>
  <w:rsids>
    <w:rsidRoot w:val="00A72E8C"/>
    <w:rsid w:val="00001228"/>
    <w:rsid w:val="000B1CA6"/>
    <w:rsid w:val="0016572E"/>
    <w:rsid w:val="001A0BDC"/>
    <w:rsid w:val="001E3BB7"/>
    <w:rsid w:val="00232D4A"/>
    <w:rsid w:val="00263616"/>
    <w:rsid w:val="002C7C61"/>
    <w:rsid w:val="00302A5A"/>
    <w:rsid w:val="003571CF"/>
    <w:rsid w:val="00413E47"/>
    <w:rsid w:val="00424DA2"/>
    <w:rsid w:val="00427969"/>
    <w:rsid w:val="004A1DF7"/>
    <w:rsid w:val="004C2ADD"/>
    <w:rsid w:val="00547DB0"/>
    <w:rsid w:val="005D2ABC"/>
    <w:rsid w:val="0061184B"/>
    <w:rsid w:val="00653A53"/>
    <w:rsid w:val="00677A43"/>
    <w:rsid w:val="006E7B21"/>
    <w:rsid w:val="00701583"/>
    <w:rsid w:val="007156B1"/>
    <w:rsid w:val="00735E78"/>
    <w:rsid w:val="007943A7"/>
    <w:rsid w:val="007F3AC5"/>
    <w:rsid w:val="00810B11"/>
    <w:rsid w:val="00862F93"/>
    <w:rsid w:val="00870629"/>
    <w:rsid w:val="008B621F"/>
    <w:rsid w:val="009A30C2"/>
    <w:rsid w:val="00A2512D"/>
    <w:rsid w:val="00A72E8C"/>
    <w:rsid w:val="00A84FC0"/>
    <w:rsid w:val="00AC55CC"/>
    <w:rsid w:val="00B17357"/>
    <w:rsid w:val="00BC6A63"/>
    <w:rsid w:val="00C855D6"/>
    <w:rsid w:val="00C95F3F"/>
    <w:rsid w:val="00CB7937"/>
    <w:rsid w:val="00CC04C0"/>
    <w:rsid w:val="00CE534A"/>
    <w:rsid w:val="00D55103"/>
    <w:rsid w:val="00D8096B"/>
    <w:rsid w:val="00D9673B"/>
    <w:rsid w:val="00DA3211"/>
    <w:rsid w:val="00DD4E53"/>
    <w:rsid w:val="00E66CDF"/>
    <w:rsid w:val="00E858BA"/>
    <w:rsid w:val="00EB3DD0"/>
    <w:rsid w:val="00EB61C0"/>
    <w:rsid w:val="00EF4C23"/>
    <w:rsid w:val="00F55301"/>
    <w:rsid w:val="00F736C9"/>
    <w:rsid w:val="00F81A42"/>
    <w:rsid w:val="00F9272F"/>
    <w:rsid w:val="00FA0918"/>
    <w:rsid w:val="00FA4B12"/>
    <w:rsid w:val="0119548C"/>
    <w:rsid w:val="02595BF1"/>
    <w:rsid w:val="02D54924"/>
    <w:rsid w:val="03C5243A"/>
    <w:rsid w:val="05BB42A5"/>
    <w:rsid w:val="087671DD"/>
    <w:rsid w:val="08E753B1"/>
    <w:rsid w:val="0B772A1C"/>
    <w:rsid w:val="0FC93A62"/>
    <w:rsid w:val="109220A6"/>
    <w:rsid w:val="122A278C"/>
    <w:rsid w:val="133451EC"/>
    <w:rsid w:val="13DA7FEC"/>
    <w:rsid w:val="15962639"/>
    <w:rsid w:val="16F13FCB"/>
    <w:rsid w:val="17192449"/>
    <w:rsid w:val="19DA2E4F"/>
    <w:rsid w:val="1A591713"/>
    <w:rsid w:val="1B746F78"/>
    <w:rsid w:val="1BED3564"/>
    <w:rsid w:val="1BFEAD63"/>
    <w:rsid w:val="1CB304A3"/>
    <w:rsid w:val="1D5A3F4C"/>
    <w:rsid w:val="1F672950"/>
    <w:rsid w:val="200F04DE"/>
    <w:rsid w:val="22F65A23"/>
    <w:rsid w:val="25CD5C03"/>
    <w:rsid w:val="26600825"/>
    <w:rsid w:val="267624EF"/>
    <w:rsid w:val="27286E69"/>
    <w:rsid w:val="274E4B21"/>
    <w:rsid w:val="28754330"/>
    <w:rsid w:val="28AF339E"/>
    <w:rsid w:val="2C76027C"/>
    <w:rsid w:val="2DD613CD"/>
    <w:rsid w:val="2E2C723F"/>
    <w:rsid w:val="32944BE6"/>
    <w:rsid w:val="3357CF18"/>
    <w:rsid w:val="38FB262F"/>
    <w:rsid w:val="3B024B1C"/>
    <w:rsid w:val="3D255001"/>
    <w:rsid w:val="3D850719"/>
    <w:rsid w:val="3DBCD91F"/>
    <w:rsid w:val="3DBD600A"/>
    <w:rsid w:val="3E7F3E91"/>
    <w:rsid w:val="3EC2309F"/>
    <w:rsid w:val="3ECDA835"/>
    <w:rsid w:val="41A73354"/>
    <w:rsid w:val="43122A4F"/>
    <w:rsid w:val="463468FB"/>
    <w:rsid w:val="46582E6F"/>
    <w:rsid w:val="4689127A"/>
    <w:rsid w:val="4743767B"/>
    <w:rsid w:val="4860600B"/>
    <w:rsid w:val="4A4A6F73"/>
    <w:rsid w:val="4D426C45"/>
    <w:rsid w:val="4E571C5E"/>
    <w:rsid w:val="4EBF61F1"/>
    <w:rsid w:val="52C84ED8"/>
    <w:rsid w:val="546D7169"/>
    <w:rsid w:val="552A59D6"/>
    <w:rsid w:val="56617B1E"/>
    <w:rsid w:val="589A03BC"/>
    <w:rsid w:val="5C780E51"/>
    <w:rsid w:val="5E600C1A"/>
    <w:rsid w:val="5F9F0CFF"/>
    <w:rsid w:val="631101D6"/>
    <w:rsid w:val="639A01CB"/>
    <w:rsid w:val="64E01BFD"/>
    <w:rsid w:val="67EF44CC"/>
    <w:rsid w:val="69A27DD9"/>
    <w:rsid w:val="6BA30D72"/>
    <w:rsid w:val="70DF1913"/>
    <w:rsid w:val="74DD4CC0"/>
    <w:rsid w:val="7615092E"/>
    <w:rsid w:val="77DFCAB8"/>
    <w:rsid w:val="77FEB784"/>
    <w:rsid w:val="7B8A691F"/>
    <w:rsid w:val="7BAF448F"/>
    <w:rsid w:val="7BD04ED2"/>
    <w:rsid w:val="7C5739AD"/>
    <w:rsid w:val="7CA0464C"/>
    <w:rsid w:val="7D5A2578"/>
    <w:rsid w:val="7E45786A"/>
    <w:rsid w:val="7F1D801F"/>
    <w:rsid w:val="7FB421BD"/>
    <w:rsid w:val="9FEF55EF"/>
    <w:rsid w:val="BEFAD163"/>
    <w:rsid w:val="BF69CF91"/>
    <w:rsid w:val="BFEE7961"/>
    <w:rsid w:val="C6EBF898"/>
    <w:rsid w:val="D8DF1B42"/>
    <w:rsid w:val="E3ED2A7C"/>
    <w:rsid w:val="ECFF5AAD"/>
    <w:rsid w:val="ED7F3E1D"/>
    <w:rsid w:val="F557BC6E"/>
    <w:rsid w:val="FEE8D96F"/>
    <w:rsid w:val="FF1FE7FA"/>
    <w:rsid w:val="FFFC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Lines="50" w:after="10" w:line="360" w:lineRule="auto"/>
      <w:outlineLvl w:val="1"/>
    </w:pPr>
    <w:rPr>
      <w:rFonts w:ascii="Arial" w:hAnsi="Arial" w:eastAsia="仿宋"/>
      <w:b/>
      <w:sz w:val="32"/>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rPr>
      <w:szCs w:val="22"/>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3"/>
    <w:link w:val="16"/>
    <w:semiHidden/>
    <w:unhideWhenUsed/>
    <w:qFormat/>
    <w:uiPriority w:val="99"/>
    <w:pPr>
      <w:ind w:firstLine="420" w:firstLineChars="100"/>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日期 Char"/>
    <w:basedOn w:val="10"/>
    <w:link w:val="4"/>
    <w:semiHidden/>
    <w:qFormat/>
    <w:uiPriority w:val="99"/>
    <w:rPr>
      <w:rFonts w:ascii="Times New Roman" w:hAnsi="Times New Roman" w:eastAsia="宋体" w:cs="Times New Roman"/>
      <w:szCs w:val="24"/>
    </w:rPr>
  </w:style>
  <w:style w:type="character" w:customStyle="1" w:styleId="14">
    <w:name w:val="标题 2 Char"/>
    <w:basedOn w:val="10"/>
    <w:link w:val="2"/>
    <w:qFormat/>
    <w:uiPriority w:val="0"/>
    <w:rPr>
      <w:rFonts w:ascii="Arial" w:hAnsi="Arial" w:eastAsia="仿宋" w:cs="Times New Roman"/>
      <w:b/>
      <w:sz w:val="32"/>
    </w:rPr>
  </w:style>
  <w:style w:type="character" w:customStyle="1" w:styleId="15">
    <w:name w:val="正文文本 Char"/>
    <w:basedOn w:val="10"/>
    <w:link w:val="3"/>
    <w:semiHidden/>
    <w:qFormat/>
    <w:uiPriority w:val="99"/>
    <w:rPr>
      <w:rFonts w:ascii="Times New Roman" w:hAnsi="Times New Roman" w:eastAsia="宋体" w:cs="Times New Roman"/>
    </w:rPr>
  </w:style>
  <w:style w:type="character" w:customStyle="1" w:styleId="16">
    <w:name w:val="正文首行缩进 Char"/>
    <w:basedOn w:val="15"/>
    <w:link w:val="7"/>
    <w:semiHidden/>
    <w:qFormat/>
    <w:uiPriority w:val="99"/>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2905</Words>
  <Characters>16561</Characters>
  <Lines>138</Lines>
  <Paragraphs>38</Paragraphs>
  <TotalTime>15</TotalTime>
  <ScaleCrop>false</ScaleCrop>
  <LinksUpToDate>false</LinksUpToDate>
  <CharactersWithSpaces>19428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2021-12-07T17:13:00Z</dcterms:created>
  <dc:creator>Lenovo</dc:creator>
  <cp:lastModifiedBy>guest</cp:lastModifiedBy>
  <cp:lastPrinted>2024-03-26T17:58:30Z</cp:lastPrinted>
  <dcterms:modified xsi:type="dcterms:W3CDTF">2024-03-26T18:01:13Z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6DFC1884ECA84F01BBDDC57799FFA451_12</vt:lpwstr>
  </property>
</Properties>
</file>