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1" w:line="224" w:lineRule="auto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8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38"/>
          <w:sz w:val="32"/>
          <w:szCs w:val="32"/>
          <w:lang w:val="en-US" w:eastAsia="zh-CN"/>
        </w:rPr>
        <w:t>2</w:t>
      </w:r>
    </w:p>
    <w:p>
      <w:pPr>
        <w:spacing w:before="196" w:line="229" w:lineRule="auto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消防设计审查案卷技术审查表（专业：建筑/给水排水/暖通/电气等）</w:t>
      </w:r>
    </w:p>
    <w:p>
      <w:pPr>
        <w:spacing w:before="153" w:line="219" w:lineRule="auto"/>
        <w:ind w:left="0" w:leftChars="0"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8"/>
          <w:w w:val="95"/>
          <w:sz w:val="30"/>
          <w:szCs w:val="30"/>
        </w:rPr>
        <w:t>工程项目：</w:t>
      </w:r>
      <w:r>
        <w:rPr>
          <w:rFonts w:ascii="仿宋" w:hAnsi="仿宋" w:eastAsia="仿宋" w:cs="仿宋"/>
          <w:sz w:val="30"/>
          <w:szCs w:val="30"/>
        </w:rPr>
        <w:t xml:space="preserve">                                                         </w:t>
      </w:r>
      <w:r>
        <w:rPr>
          <w:rFonts w:ascii="仿宋" w:hAnsi="仿宋" w:eastAsia="仿宋" w:cs="仿宋"/>
          <w:spacing w:val="-28"/>
          <w:w w:val="95"/>
          <w:sz w:val="30"/>
          <w:szCs w:val="30"/>
        </w:rPr>
        <w:t>日期：</w:t>
      </w:r>
    </w:p>
    <w:p>
      <w:pPr>
        <w:spacing w:line="108" w:lineRule="exact"/>
        <w:ind w:left="0" w:leftChars="0" w:firstLine="0" w:firstLineChars="0"/>
      </w:pPr>
    </w:p>
    <w:tbl>
      <w:tblPr>
        <w:tblW w:w="14280" w:type="dxa"/>
        <w:tblInd w:w="-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"/>
        <w:gridCol w:w="3095"/>
        <w:gridCol w:w="2"/>
        <w:gridCol w:w="11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1880" w:hRule="atLeast"/>
        </w:trPr>
        <w:tc>
          <w:tcPr>
            <w:tcW w:w="3097" w:type="dxa"/>
            <w:gridSpan w:val="2"/>
            <w:vAlign w:val="top"/>
          </w:tcPr>
          <w:p>
            <w:pPr>
              <w:spacing w:before="155" w:line="222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</w:pPr>
          </w:p>
          <w:p>
            <w:pPr>
              <w:spacing w:before="155" w:line="222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评查内容</w:t>
            </w:r>
          </w:p>
        </w:tc>
        <w:tc>
          <w:tcPr>
            <w:tcW w:w="11179" w:type="dxa"/>
            <w:vAlign w:val="top"/>
          </w:tcPr>
          <w:p>
            <w:pPr>
              <w:spacing w:before="155" w:line="221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4"/>
                <w:sz w:val="32"/>
                <w:szCs w:val="32"/>
                <w:lang w:eastAsia="zh-CN"/>
              </w:rPr>
            </w:pPr>
          </w:p>
          <w:p>
            <w:pPr>
              <w:spacing w:before="155" w:line="221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32"/>
                <w:szCs w:val="32"/>
                <w:lang w:eastAsia="zh-CN"/>
              </w:rPr>
              <w:t>检查结果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2611" w:hRule="atLeast"/>
        </w:trPr>
        <w:tc>
          <w:tcPr>
            <w:tcW w:w="309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设计单位资质、技术人员及专业技术能力信息</w:t>
            </w:r>
          </w:p>
        </w:tc>
        <w:tc>
          <w:tcPr>
            <w:tcW w:w="111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3101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2.消防设计文件（含总平面图消防设计）完整性、合规性</w:t>
            </w:r>
          </w:p>
        </w:tc>
        <w:tc>
          <w:tcPr>
            <w:tcW w:w="111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3101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3.消防设计文件及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图审报告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执行国家工程建设消防技术标准强制性条文情况</w:t>
            </w:r>
          </w:p>
        </w:tc>
        <w:tc>
          <w:tcPr>
            <w:tcW w:w="111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01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4.消防设计文件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及图审报告执行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国家工程建设消防技术标准中带有“严禁”“必须”“应”“不应”“不得”要求的非强制性条文规定的情况</w:t>
            </w:r>
          </w:p>
        </w:tc>
        <w:tc>
          <w:tcPr>
            <w:tcW w:w="1117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628" w:hRule="atLeast"/>
        </w:trPr>
        <w:tc>
          <w:tcPr>
            <w:tcW w:w="30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适用国家工程建设消防技术标准情况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118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1876" w:hRule="atLeast"/>
        </w:trPr>
        <w:tc>
          <w:tcPr>
            <w:tcW w:w="30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执行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专家评审、防火论证及专家技术审查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有关规定要求情况</w:t>
            </w:r>
          </w:p>
        </w:tc>
        <w:tc>
          <w:tcPr>
            <w:tcW w:w="1118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732" w:hRule="atLeast"/>
        </w:trPr>
        <w:tc>
          <w:tcPr>
            <w:tcW w:w="30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7.其他情况</w:t>
            </w:r>
          </w:p>
        </w:tc>
        <w:tc>
          <w:tcPr>
            <w:tcW w:w="11181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left="0" w:leftChars="0" w:firstLine="0" w:firstLineChars="0"/>
        <w:rPr>
          <w:rFonts w:ascii="Arial"/>
          <w:sz w:val="21"/>
        </w:rPr>
      </w:pPr>
    </w:p>
    <w:p>
      <w:pPr>
        <w:spacing w:before="97" w:line="216" w:lineRule="auto"/>
        <w:ind w:left="0" w:leftChars="0"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检查专家签字：</w:t>
      </w:r>
    </w:p>
    <w:sectPr>
      <w:pgSz w:w="16839" w:h="11907"/>
      <w:pgMar w:top="1012" w:right="1324" w:bottom="0" w:left="13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semiHidden/>
    <w:unhideWhenUsed/>
    <w:uiPriority w:val="9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2021-07-09T09:10:00Z</dcterms:created>
  <dc:creator>ZRL</dc:creator>
  <cp:lastModifiedBy>张润霖</cp:lastModifiedBy>
  <dcterms:modified xsi:type="dcterms:W3CDTF">2022-06-14T08:09:48Z</dcterms:modified>
  <dc:title>附件 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2025-06-13T16:44:00Z</vt:filetime>
  </property>
  <property fmtid="{D5CDD505-2E9C-101B-9397-08002B2CF9AE}" pid="4" name="KSOProductBuildVer">
    <vt:lpwstr>2052-9.1.0.4569</vt:lpwstr>
  </property>
</Properties>
</file>