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textAlignment w:val="baseline"/>
        <w:rPr>
          <w:rFonts w:hint="eastAsia" w:ascii="黑体" w:hAnsi="黑体" w:eastAsia="黑体" w:cs="宋体"/>
          <w:color w:val="000000"/>
          <w:szCs w:val="20"/>
        </w:rPr>
      </w:pPr>
      <w:r>
        <w:rPr>
          <w:rFonts w:ascii="黑体" w:hAnsi="黑体" w:eastAsia="黑体" w:cs="Times New Roman"/>
          <w:color w:val="000000"/>
          <w:szCs w:val="20"/>
        </w:rPr>
        <w:t>附件</w:t>
      </w:r>
      <w:r>
        <w:rPr>
          <w:rFonts w:hint="eastAsia" w:ascii="黑体" w:hAnsi="黑体" w:eastAsia="黑体" w:cs="Times New Roman"/>
          <w:color w:val="000000"/>
          <w:szCs w:val="20"/>
        </w:rPr>
        <w:t>2</w:t>
      </w:r>
    </w:p>
    <w:p>
      <w:pPr>
        <w:widowControl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陕西省</w:t>
      </w:r>
      <w:r>
        <w:rPr>
          <w:rFonts w:hint="eastAsia" w:ascii="宋体" w:hAnsi="宋体" w:eastAsia="宋体" w:cs="Times New Roman"/>
          <w:b/>
          <w:sz w:val="36"/>
          <w:szCs w:val="36"/>
        </w:rPr>
        <w:t>县城建</w:t>
      </w:r>
      <w:r>
        <w:rPr>
          <w:rFonts w:ascii="宋体" w:hAnsi="宋体" w:eastAsia="宋体" w:cs="Times New Roman"/>
          <w:b/>
          <w:sz w:val="36"/>
          <w:szCs w:val="36"/>
        </w:rPr>
        <w:t>评价标准（试行）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00"/>
        <w:gridCol w:w="6179"/>
        <w:gridCol w:w="766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类别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指标项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评价标准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分值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FF000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制度机制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2"/>
              </w:rPr>
              <w:t>规划管控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  <w:t>1.编制建设规划，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  <w:lang w:eastAsia="zh-CN"/>
              </w:rPr>
              <w:t>统筹推进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  <w:t>海绵城市、综合管廊管沟、停车设施、排水防涝等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  <w:lang w:eastAsia="zh-CN"/>
              </w:rPr>
              <w:t>建设，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满足生活、生态、安全、经济发展需要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eastAsia="仿宋_GB2312" w:cs="Times New Roman"/>
                <w:snapToGrid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  <w:t>2.编制专项规划，推动城市基础设施建设补短板强弱项，城市人居环境建设绿色人文发展与品质提升，历史文化名城（镇、村）保护，水资源集约节约利用。</w:t>
            </w:r>
          </w:p>
          <w:p>
            <w:pPr>
              <w:rPr>
                <w:rFonts w:ascii="仿宋_GB2312" w:hAns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  <w:t>3.专项规划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  <w:lang w:val="en-US" w:eastAsia="zh-CN"/>
              </w:rPr>
              <w:t>分组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  <w:t>严格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  <w:lang w:val="en-US" w:eastAsia="zh-CN"/>
              </w:rPr>
              <w:t>落实</w:t>
            </w:r>
            <w:r>
              <w:rPr>
                <w:rFonts w:hint="eastAsia" w:ascii="仿宋_GB2312" w:hAnsi="仿宋_GB2312" w:eastAsia="仿宋_GB2312" w:cs="Times New Roman"/>
                <w:snapToGrid w:val="0"/>
                <w:sz w:val="21"/>
                <w:szCs w:val="22"/>
              </w:rPr>
              <w:t>，项目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建设依法依规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党委政府、职能部门组织、审核制度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2"/>
              </w:rPr>
              <w:t>分级指导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.分区功能定位，市级主管部门加强对县城建设工作督促指导，定期对辖区县城建设情况进行考核评估。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.县级主管部门积极与市级部门对接，开展市级示范创建活动。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.以街区为单元，推动县城功能完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.年度重点工作完成计划、目标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2"/>
              </w:rPr>
              <w:t>公众参与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.推动共建共治共享，重大项目公开，群众参与县城建设重大事项决策。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eastAsia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.群众急难盼愁事项有清单、项目分阶段实施。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2"/>
              </w:rPr>
              <w:t>社会投资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.投资社会化，支持和推动大型企业、民用资本参与。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投融资平台建设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保障有效。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FF0000"/>
                <w:sz w:val="21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2"/>
              </w:rPr>
              <w:t>评估评价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.统计分析制度建立健全，发展水平数据准确全面。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  <w:t>开展城市体检，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短板弱项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  <w:t>及发展优势，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有清单、动态调整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</w:rPr>
              <w:t>定期自评估，人口与结构、设施供给，底数清，态势明，对标有评价。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.项目建设有计划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 w:val="21"/>
                <w:szCs w:val="22"/>
              </w:rPr>
              <w:t>进度投资清</w:t>
            </w:r>
            <w:r>
              <w:rPr>
                <w:rFonts w:hint="eastAsia" w:ascii="仿宋_GB2312" w:hAnsi="仿宋_GB2312" w:eastAsia="仿宋_GB2312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/>
                <w:color w:val="0000FF"/>
                <w:sz w:val="21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2"/>
              </w:rPr>
              <w:t>要素保障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.财政资金预算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安排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重点事项有保障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、投融资有平台。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.建设用地集约节约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利用，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优先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保障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基础设施、公共服务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设施供给。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黑体" w:hAnsi="黑体" w:eastAsia="黑体" w:cs="Times New Roman"/>
                <w:sz w:val="21"/>
                <w:szCs w:val="22"/>
              </w:rPr>
              <w:t>人居环境</w:t>
            </w:r>
          </w:p>
          <w:p/>
          <w:p/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特色风貌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.开展城市设计，优化城市空间和建筑布局。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.加强对县城门户空间、中心区、重要节点等重要区域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地段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重要类型建筑开展颜色、形态等风貌管控。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.历史文化街区挂牌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历史建筑挂牌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及测绘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建档100%。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加强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历史建筑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修缮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保护，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历史建筑保存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完好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20.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人与自然和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谐共生的人居环境，人文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山水格局保护良好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/>
                <w:sz w:val="21"/>
                <w:szCs w:val="22"/>
              </w:rPr>
            </w:pP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生态空间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.见缝插绿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，应绿尽绿，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建成区绿地率≥3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%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.新建建筑中绿色建筑所占比例≥30%；因地制宜推广绿色建材和装配式建筑。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.县城居住建筑高度要与消防救援能力相匹配。县城新建住宅以6层为主，6层及以下住宅占比应不低于75%。县城新建住宅最高不超过18层。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24.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新建区域按照海绵城市规划设计建设；老城区改造有序推进海绵城市建设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2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.违法建筑底数清，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严格依法依规查处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12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品质提升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overflowPunct/>
              <w:autoSpaceDE/>
              <w:autoSpaceDN/>
              <w:adjustRightInd/>
              <w:snapToGrid/>
              <w:jc w:val="both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.老旧小区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改造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，坚持片区统筹、社会治理延伸，与市政绿化、道路以及等融合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，完善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小区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功能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。项目建设资金筹措、工程管理等制度落实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开工率达到100%。安全隐患消除率达到100%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开展街容及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背街小巷整治、治理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。管理有序、干净、整洁。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类别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指标项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评价标准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</w:rPr>
              <w:t>分值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市政设施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环卫设施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.小区及公共区域垃圾设施配置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合理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，分类投放收集。垃圾中转站布局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规范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。生活垃圾无害化处理率达到9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%以上。县城道路机械化清扫率达到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%以上。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29.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商贸、旅游、体育健身等地段及其周边街区公厕配建完备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、达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排水防涝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.按照“小雨不积水，大雨不内涝”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的原则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，编制县城排水防涝建设方案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，推进项目建设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。县城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历史易涝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积水点消除率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不低于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80%。</w:t>
            </w:r>
          </w:p>
          <w:p>
            <w:pPr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.污水处理率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%以上。黄河流域县城污水处理厂提标改造达到黄河A排放标准。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县城建成区无黑臭水体。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管网建设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2.建成区公共供水全覆盖，公共供水管网漏损率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低于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10%。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3.生活污水管网与工业污水处理混接消除率达到95%以上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4.因地制宜雨污分流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建设地下管沟。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市政道路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5.优化路网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结构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，打通“断头路”“卡脖路”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建成区平均路网密度7.5公里/平方公里以上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或较上年提高20%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公共服务设施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停车设施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.编制公共停车设施建设规划，或者制定年度公共停车设施建设计划。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县城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机动车公共停车场面积/常住人口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0.5-1平方米/人。</w:t>
            </w:r>
          </w:p>
          <w:p>
            <w:pPr>
              <w:rPr>
                <w:rFonts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.新建公共建筑、居住小区按规定配建停车位。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养老托育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.老有所养、幼有所育设施建设，工作有计划、项目有进度。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.新建工程建设无障碍环境、婴幼儿活动设施。1500户以上新建小区配建幼儿园。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.独立建设、小区配建养老设施，每万老人床位数排名前20，或者每万老人增加量高于全省年度平均水平。医院人均规划建设用地面积≥0.2平方米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全民健身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.建设贴近社区、方便可达的全民健身中心、多功能运动场、步道、小型足球场等健身场地设施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44.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“15分钟健身圈”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，城市慢跑步行道人均长度持续提升，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建成区人均体育场地面积达到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平方米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文化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教育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.每万名常住人口拥有的博物馆、图书馆、科技馆等文化艺术场馆数量达到0.3个。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教育设施配套。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用地生均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小学15-25平方米，中学20-25平方米。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</w:rPr>
              <w:t>发展水平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宜居便利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45.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菜市场、快递驿站等设施配套，满足步行便利需求。</w:t>
            </w:r>
          </w:p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.公园绿地人均面积≥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平方米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服务半径覆盖率≥80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%。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47.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市政设施、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公共服务设施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推广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5G、物联网等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数字化、智能化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技术。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建立数字化城市管理系统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创建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活动，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节水型居民小区、单位覆盖率≥10%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；达到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国家或省级卫生县城、园林县城、历史文化名城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等标准。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民意测评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满意度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49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.以人民为中心，尊重群众意见，决策科学、民主、依法，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脱离实际、华而不实的政绩工程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面子工程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及新闻媒体曝光事件。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.民意测评满意度达到9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%以上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，无到中省的投诉上访。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eastAsia="zh-CN"/>
              </w:rPr>
              <w:t>说明</w:t>
            </w:r>
          </w:p>
        </w:tc>
        <w:tc>
          <w:tcPr>
            <w:tcW w:w="8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.评价综合考虑全省平均水平及各县发展现状、年度进展、增幅，人均水平，覆盖面等因素进行量化。2.根据日常工作开展、统计报告、制度机制与推进举措创新以及表扬表彰、编发工作简报等，进行加减分。3.被中省通报督导的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年度重点工作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排后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倒数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1至10位的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，总分再每项扣减3分。4.创建活动为年度活动开展评价指标。5.各市县城建设工作评估，排名前三的，所属县各加2分；排名后三的，所属县各减2分。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134" w:bottom="1134" w:left="1134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E0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2022-12-08T06:29:55Z</dcterms:created>
  <dc:creator>Administrator</dc:creator>
  <cp:lastModifiedBy>〰</cp:lastModifiedBy>
  <dcterms:modified xsi:type="dcterms:W3CDTF">2022-12-08T06:30:10Z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F6B7D0DC049545E2AC95E1FADD6792E4</vt:lpwstr>
  </property>
</Properties>
</file>