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2021年陕西省工程建设领域消防安全</w:t>
      </w:r>
    </w:p>
    <w:p>
      <w:pPr>
        <w:overflowPunct w:val="0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工作要点</w:t>
      </w:r>
    </w:p>
    <w:p>
      <w:pPr>
        <w:overflowPunct w:val="0"/>
        <w:spacing w:line="560" w:lineRule="exact"/>
        <w:ind w:firstLine="640" w:firstLineChars="200"/>
        <w:rPr>
          <w:rFonts w:ascii="方正小标宋简体" w:eastAsia="方正小标宋简体"/>
          <w:color w:val="00000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是实施“十四五”规划的开局之年，是中国共产党成立100周年，也是全省工程建设领域消防安全树立新理念、谋求新突破、实现新发展的重要一年。建设工程消防设计、施工质量，不仅事关建设工程本质安全，而且事关人民生命和财产安全，依法依规、全面扎实履行好党和国家赋予的职责，做好今年全省工程建设领域消防安全各项工作，责任重大，使命光荣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今年我省工程建设领域消防安全工作的总体思路是：</w:t>
      </w:r>
      <w:r>
        <w:rPr>
          <w:rFonts w:ascii="Times New Roman" w:hAnsi="Times New Roman" w:eastAsia="仿宋_GB2312" w:cs="Times New Roman"/>
          <w:sz w:val="32"/>
          <w:szCs w:val="32"/>
        </w:rPr>
        <w:t>以习近平新时代中国特色社会主义思想为指导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，深入</w:t>
      </w:r>
      <w:r>
        <w:rPr>
          <w:rFonts w:ascii="Times New Roman" w:hAnsi="Times New Roman" w:eastAsia="仿宋_GB2312" w:cs="Times New Roman"/>
          <w:sz w:val="32"/>
          <w:szCs w:val="32"/>
        </w:rPr>
        <w:t>贯彻党的十九大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十九届二中、三中、四中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、五中</w:t>
      </w:r>
      <w:r>
        <w:rPr>
          <w:rFonts w:ascii="Times New Roman" w:hAnsi="Times New Roman" w:eastAsia="仿宋_GB2312" w:cs="Times New Roman"/>
          <w:sz w:val="32"/>
          <w:szCs w:val="32"/>
        </w:rPr>
        <w:t>全会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以及</w:t>
      </w:r>
      <w:r>
        <w:rPr>
          <w:rFonts w:ascii="Times New Roman" w:hAnsi="Times New Roman" w:eastAsia="仿宋_GB2312" w:cs="Times New Roman"/>
          <w:sz w:val="32"/>
          <w:szCs w:val="32"/>
        </w:rPr>
        <w:t>习近平总书记关于安全生产重要论述和来陕考察重要讲话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精神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按照省委、省政府的决策部署，在厅党组的坚强领导下，以</w:t>
      </w:r>
      <w:r>
        <w:rPr>
          <w:rFonts w:ascii="Times New Roman" w:hAnsi="Times New Roman" w:eastAsia="仿宋_GB2312" w:cs="Times New Roman"/>
          <w:sz w:val="32"/>
          <w:szCs w:val="32"/>
        </w:rPr>
        <w:t>推进工程建设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</w:t>
      </w:r>
      <w:r>
        <w:rPr>
          <w:rFonts w:ascii="Times New Roman" w:hAnsi="Times New Roman" w:eastAsia="仿宋_GB2312" w:cs="Times New Roman"/>
          <w:sz w:val="32"/>
          <w:szCs w:val="32"/>
        </w:rPr>
        <w:t>消防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</w:t>
      </w:r>
      <w:r>
        <w:rPr>
          <w:rFonts w:ascii="Times New Roman" w:hAnsi="Times New Roman" w:eastAsia="仿宋_GB2312" w:cs="Times New Roman"/>
          <w:sz w:val="32"/>
          <w:szCs w:val="32"/>
        </w:rPr>
        <w:t>治理体系和治理能力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现代化为目标，以</w:t>
      </w:r>
      <w:r>
        <w:rPr>
          <w:rFonts w:ascii="Times New Roman" w:hAnsi="Times New Roman" w:eastAsia="仿宋_GB2312" w:cs="Times New Roman"/>
          <w:sz w:val="32"/>
          <w:szCs w:val="32"/>
        </w:rPr>
        <w:t>强化风险防控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为重点，以建设工程消防安全“十四五”规划为纲领，</w:t>
      </w:r>
      <w:r>
        <w:rPr>
          <w:rFonts w:ascii="Times New Roman" w:hAnsi="Times New Roman" w:eastAsia="仿宋_GB2312" w:cs="Times New Roman"/>
          <w:sz w:val="32"/>
          <w:szCs w:val="32"/>
        </w:rPr>
        <w:t>坚持安全发展理念，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深入贯彻落实《中华人民共和国建筑法》《中华人民共和国消防法》《建设工程质量管理条例》《建设工程消防设计审查验收管理暂行规定》等法律法规规章，全面推动我省</w:t>
      </w:r>
      <w:r>
        <w:rPr>
          <w:rFonts w:ascii="Times New Roman" w:hAnsi="Times New Roman" w:eastAsia="仿宋_GB2312" w:cs="Times New Roman"/>
          <w:sz w:val="32"/>
          <w:szCs w:val="32"/>
        </w:rPr>
        <w:t>工程建设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领域消防安全工作高质量发展，为奋力</w:t>
      </w:r>
      <w:r>
        <w:rPr>
          <w:rFonts w:ascii="Times New Roman" w:hAnsi="Times New Roman" w:eastAsia="仿宋_GB2312" w:cs="Times New Roman"/>
          <w:sz w:val="32"/>
          <w:szCs w:val="32"/>
        </w:rPr>
        <w:t>谱写陕西新时代追赶超越新篇章创造安全稳定环境。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 xml:space="preserve">重点做好以下工作： 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/>
          <w:strike/>
          <w:color w:val="C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一、健全建设工程消防审验政策体系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 w:cs="仿宋"/>
          <w:sz w:val="32"/>
          <w:szCs w:val="32"/>
        </w:rPr>
        <w:t>完善《陕西省&lt;建设工程消防设计审查验收管理暂行规定〉实施细则》等制度规定。规范特殊行业建设工程消防技术审查、特殊消防设计专家评审、消防验收现场评定等组织程序，指导、督促各级住建部门规范、有序开展建设工程消防设计审查验收及备案和抽查工作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（二）梳理住建部门工作职责，明晰行业监管责任边界，明确省市县三级权力清单、责任清单。强化监督指导，规范权力运行，防范廉政风险。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已办结案卷，采取网上后台抽取或查阅纸质资料，对全省建设工程消防设计审查、验收、执法案卷每半年抽查一次，抽查率不低于5%,以评判执法能力和工作质量。对执法、审批等方面群众反映集中、问题突出的设区市、县（区）住建部门进行通报批评，约谈设区市级住建主管部门主要负责人，同时对该地区审批的案卷实行时段每卷必查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</w:t>
      </w:r>
      <w:r>
        <w:rPr>
          <w:rFonts w:hint="eastAsia" w:ascii="仿宋_GB2312" w:hAnsi="仿宋" w:eastAsia="仿宋_GB2312" w:cs="仿宋"/>
          <w:sz w:val="32"/>
          <w:szCs w:val="32"/>
        </w:rPr>
        <w:t>构建</w:t>
      </w:r>
      <w:r>
        <w:rPr>
          <w:rFonts w:ascii="仿宋_GB2312" w:hAnsi="仿宋" w:eastAsia="仿宋_GB2312" w:cs="仿宋"/>
          <w:sz w:val="32"/>
          <w:szCs w:val="32"/>
        </w:rPr>
        <w:t>系统全面、支撑有力的技术</w:t>
      </w:r>
      <w:r>
        <w:rPr>
          <w:rFonts w:hint="eastAsia" w:ascii="仿宋_GB2312" w:hAnsi="仿宋" w:eastAsia="仿宋_GB2312" w:cs="仿宋"/>
          <w:sz w:val="32"/>
          <w:szCs w:val="32"/>
        </w:rPr>
        <w:t>标准</w:t>
      </w:r>
      <w:r>
        <w:rPr>
          <w:rFonts w:ascii="仿宋_GB2312" w:hAnsi="仿宋" w:eastAsia="仿宋_GB2312" w:cs="仿宋"/>
          <w:sz w:val="32"/>
          <w:szCs w:val="32"/>
        </w:rPr>
        <w:t>体系。</w:t>
      </w:r>
      <w:r>
        <w:rPr>
          <w:rFonts w:ascii="仿宋_GB2312" w:eastAsia="仿宋_GB2312"/>
          <w:sz w:val="32"/>
          <w:szCs w:val="32"/>
        </w:rPr>
        <w:t>编制《</w:t>
      </w:r>
      <w:r>
        <w:rPr>
          <w:rFonts w:hint="eastAsia" w:ascii="仿宋_GB2312" w:eastAsia="仿宋_GB2312"/>
          <w:sz w:val="32"/>
          <w:szCs w:val="32"/>
        </w:rPr>
        <w:t>建设工程消防验收档案归档标准</w:t>
      </w:r>
      <w:r>
        <w:rPr>
          <w:rFonts w:ascii="仿宋_GB2312" w:eastAsia="仿宋_GB2312"/>
          <w:sz w:val="32"/>
          <w:szCs w:val="32"/>
        </w:rPr>
        <w:t>》《</w:t>
      </w:r>
      <w:r>
        <w:rPr>
          <w:rFonts w:hint="eastAsia" w:ascii="仿宋_GB2312" w:eastAsia="仿宋_GB2312"/>
          <w:sz w:val="32"/>
          <w:szCs w:val="32"/>
        </w:rPr>
        <w:t>城市建设工程远程监控系统技术规范</w:t>
      </w:r>
      <w:r>
        <w:rPr>
          <w:rFonts w:ascii="仿宋_GB2312" w:eastAsia="仿宋_GB2312"/>
          <w:sz w:val="32"/>
          <w:szCs w:val="32"/>
        </w:rPr>
        <w:t>》《</w:t>
      </w:r>
      <w:r>
        <w:rPr>
          <w:rFonts w:hint="eastAsia" w:ascii="仿宋_GB2312" w:eastAsia="仿宋_GB2312"/>
          <w:sz w:val="32"/>
          <w:szCs w:val="32"/>
        </w:rPr>
        <w:t>消防应急照明和疏散指示系统产品选型与施工验收技术标准</w:t>
      </w:r>
      <w:r>
        <w:rPr>
          <w:rFonts w:ascii="仿宋_GB2312" w:eastAsia="仿宋_GB2312"/>
          <w:sz w:val="32"/>
          <w:szCs w:val="32"/>
        </w:rPr>
        <w:t>》，出台《</w:t>
      </w:r>
      <w:r>
        <w:rPr>
          <w:rFonts w:hint="eastAsia" w:ascii="仿宋_GB2312" w:hAnsi="仿宋" w:eastAsia="仿宋_GB2312" w:cs="仿宋"/>
          <w:sz w:val="32"/>
          <w:szCs w:val="32"/>
        </w:rPr>
        <w:t>变配电工程消防设计文件编制和审查要点》等行业消防设计文件。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二、强化工程建设领域消防安全监管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（四）</w:t>
      </w:r>
      <w:r>
        <w:rPr>
          <w:rFonts w:hint="eastAsia" w:ascii="仿宋_GB2312" w:hAnsi="仿宋" w:eastAsia="仿宋_GB2312" w:cs="仿宋"/>
          <w:sz w:val="32"/>
          <w:szCs w:val="32"/>
        </w:rPr>
        <w:t>依法加强建设单位履行首要责任，其他参建单位履行消防设计、施工质量主体责任。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对建设单位违反4类消防法律法规（未经消防设计审查擅自施工、未经验收擅自投入使用、未按规定报验收备案、验收备案抽查不合格不停止使用）处罚形成闭环。对设计、图审、施工、监理等单位</w:t>
      </w:r>
      <w:r>
        <w:rPr>
          <w:rFonts w:ascii="仿宋_GB2312" w:hAnsi="仿宋" w:eastAsia="仿宋_GB2312" w:cs="仿宋"/>
          <w:sz w:val="32"/>
          <w:szCs w:val="32"/>
        </w:rPr>
        <w:t>违反或降低消防技术标准强制性要求，不执行</w:t>
      </w:r>
      <w:r>
        <w:rPr>
          <w:rFonts w:hint="eastAsia" w:ascii="仿宋_GB2312" w:hAnsi="仿宋" w:eastAsia="仿宋_GB2312" w:cs="仿宋"/>
          <w:sz w:val="32"/>
          <w:szCs w:val="32"/>
        </w:rPr>
        <w:t>规定</w:t>
      </w:r>
      <w:r>
        <w:rPr>
          <w:rFonts w:ascii="仿宋_GB2312" w:hAnsi="仿宋" w:eastAsia="仿宋_GB2312" w:cs="仿宋"/>
          <w:sz w:val="32"/>
          <w:szCs w:val="32"/>
        </w:rPr>
        <w:t>要求的消防技术标准非强制性要求的，依法处罚并纳入信用管理。</w:t>
      </w:r>
      <w:r>
        <w:rPr>
          <w:rFonts w:hint="eastAsia" w:ascii="仿宋_GB2312" w:hAnsi="仿宋" w:eastAsia="仿宋_GB2312" w:cs="仿宋"/>
          <w:sz w:val="32"/>
          <w:szCs w:val="32"/>
        </w:rPr>
        <w:t>对建设工程消防设计图审质量每半年抽查一次，比例不低于5%。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</w:t>
      </w:r>
      <w:r>
        <w:rPr>
          <w:rFonts w:hint="eastAsia" w:ascii="仿宋_GB2312" w:eastAsia="仿宋_GB2312"/>
          <w:sz w:val="32"/>
          <w:szCs w:val="32"/>
        </w:rPr>
        <w:t>加强部门执法协作，完善与应急管理、市场监管、消防救援等部门信息共享、联合执法协作机制，防范化解工程建设领域消防安全风险。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同消防救援部门紧密协作，定期召开联席会议，强化工程建设消防质量。对建设工程消防技术服务机构实行宽进严管，严查虚假、失实检测报告，采取函告处理、限制从业等措施，确保竞争有序、诚信执业、高质服务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（七）认真贯彻《全省消防安全专项整治三年行动实施方案》，跟进城市更新、老旧小区改造、既有建筑改造等重点工作，提高消防安全水平。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三、加强工程建设领域消防安全信息化建设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</w:t>
      </w:r>
      <w:r>
        <w:rPr>
          <w:rFonts w:hint="eastAsia" w:ascii="仿宋_GB2312" w:hAnsi="仿宋" w:eastAsia="仿宋_GB2312" w:cs="仿宋"/>
          <w:sz w:val="32"/>
          <w:szCs w:val="32"/>
        </w:rPr>
        <w:t>启动消防审验服务管理平台二期建设。充分融入工程审批改革平台系统；推进建设工程消防验收档案管理电子化；完善建筑行业单位信息采集、调整、更新，畅通部门共享渠道，加强数据安全。对违法的有关参建方，将处罚记录、限制从业等信息，网上推送信用平台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（九）加强省级消防技术专家队伍管理，落实建设、设计等网上动态评价制度，实行动态管理，对违规专家，一经核实，强制退出。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四、建立工程建设领域人才队伍教育培训和考核体系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（十）督促各地加快推进消防审验机构设立和人员配置，加强消防审验人才队伍教育培训，提高从业人员业务技能。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十一）按照“培养配备住建系统自有人才为主、邀请聘用专家为辅”的工作方向，建立科学严密、富有特色、实效明显的培训考核体系，使从业人员熟悉政策法规、标准规范、审批程序，具有行政执法、档案管理等业务技能，符合现实工作需要。2021年，各地市组织不少于2次的专业技术培训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十二）全面提升工程建设领域消防设计、施工质量。省厅将适时召开建设工程消防设计及审查验收现场观摩会、座谈答疑会、政策宣贯会、标准培训会等，促进住建部门管理人员及工程建设主体履责能力、水平提升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Times New Roman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2021-04-02T08:11:52Z</dcterms:created>
  <dc:creator>Administrator</dc:creator>
  <cp:lastModifiedBy>〰</cp:lastModifiedBy>
  <dcterms:modified xsi:type="dcterms:W3CDTF">2021-04-02T08:12:01Z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