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附件</w:t>
      </w:r>
    </w:p>
    <w:p>
      <w:pPr>
        <w:jc w:val="center"/>
        <w:rPr>
          <w:b/>
          <w:bCs/>
          <w:sz w:val="30"/>
          <w:szCs w:val="30"/>
        </w:rPr>
      </w:pPr>
      <w:r>
        <w:rPr>
          <w:rFonts w:hint="eastAsia" w:hAnsi="仿宋_GB2312"/>
          <w:color w:val="auto"/>
        </w:rPr>
        <w:t>2020年度工程勘察设计企业动态监督抽查情况问题汇总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1310"/>
        <w:gridCol w:w="1221"/>
        <w:gridCol w:w="1190"/>
        <w:gridCol w:w="1391"/>
        <w:gridCol w:w="7624"/>
        <w:gridCol w:w="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68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序号</w:t>
            </w:r>
          </w:p>
        </w:tc>
        <w:tc>
          <w:tcPr>
            <w:tcW w:w="131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项目名称</w:t>
            </w:r>
          </w:p>
        </w:tc>
        <w:tc>
          <w:tcPr>
            <w:tcW w:w="122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勘察单位</w:t>
            </w:r>
          </w:p>
        </w:tc>
        <w:tc>
          <w:tcPr>
            <w:tcW w:w="119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设计单位</w:t>
            </w:r>
          </w:p>
        </w:tc>
        <w:tc>
          <w:tcPr>
            <w:tcW w:w="139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图审机构</w:t>
            </w:r>
          </w:p>
        </w:tc>
        <w:tc>
          <w:tcPr>
            <w:tcW w:w="762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违反规范内容</w:t>
            </w:r>
          </w:p>
        </w:tc>
        <w:tc>
          <w:tcPr>
            <w:tcW w:w="74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9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陕西金源招贤矿业有限公司办公楼、食堂及文体中心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中煤科工集团北京华宇工程有限公司</w:t>
            </w:r>
          </w:p>
        </w:tc>
        <w:tc>
          <w:tcPr>
            <w:tcW w:w="11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贵州建工集团第四建筑工程有限公司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宝鸡市方震施工图技术咨询有限公司</w:t>
            </w:r>
          </w:p>
        </w:tc>
        <w:tc>
          <w:tcPr>
            <w:tcW w:w="7624" w:type="dxa"/>
            <w:noWrap w:val="0"/>
            <w:vAlign w:val="top"/>
          </w:tcPr>
          <w:p>
            <w:pPr>
              <w:spacing w:line="4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1、食堂单体计算中，餐厅及风机房的活荷载取值不满足《荷载规范》5.1.1条之规定，违反强制性条文；</w:t>
            </w:r>
          </w:p>
          <w:p>
            <w:pPr>
              <w:spacing w:line="4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、未说明勘测控制点位置、坐标、搞成，勘探点定位、高程测量依据不足；对岩石坚硬程度和基本质量等级划分不清晰，违反《岩土工程勘察规范》第3.2.1条，项目场地存在较大厚度的杂填土，工程性质差，设计未处理；终端选择4层老黄土不合理，应进入中风化岩；计算书中单桩承载力计算未计入杂填土的负摩阻；桩长17米，桩端持力层压缩性差异大，部分桩基的桩端进入粉质粘土层仅3m左右，其上14m左右位于杂填土段;采用单桩单桩时仅一个方向可设连系梁，方案不合理，不满足桩基4.2.6条之规定;</w:t>
            </w:r>
          </w:p>
          <w:p>
            <w:pPr>
              <w:spacing w:line="4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3、办公楼计算中漏算电梯吊钩荷载；</w:t>
            </w:r>
          </w:p>
          <w:p>
            <w:pPr>
              <w:spacing w:line="4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4、项目二、三层不符合规范规定的二个安全出口和安全疏散距离方面的要求。</w:t>
            </w:r>
          </w:p>
          <w:p>
            <w:pPr>
              <w:spacing w:line="4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5、荷载组合分项系数应按《建筑结构可靠性设计统一标准》（GB50068-2018）8.2.9条规定取值，并重新复核各项计算指标；</w:t>
            </w:r>
          </w:p>
          <w:p>
            <w:pPr>
              <w:spacing w:line="4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6、办公楼暖1-02PY-RF-2-3风机设计不符合《建筑防烟排烟系统技术标准》GB51251-2017第4.6.3条的规定；</w:t>
            </w:r>
          </w:p>
          <w:p>
            <w:pPr>
              <w:spacing w:line="4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 、穿越厨房区域隔墙处的风管未设防火阀，事故排风与其他房间排风采用同一系统有误；.暖3-02、3-08.篮球场排烟量过低，不符合 GB51251-2017第4.6.3条的规定。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2" w:hRule="atLeast"/>
        </w:trPr>
        <w:tc>
          <w:tcPr>
            <w:tcW w:w="689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陕西盘龙药业集团有限公司生产线改造项目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信息产业部电子综合勘察研究院</w:t>
            </w:r>
          </w:p>
        </w:tc>
        <w:tc>
          <w:tcPr>
            <w:tcW w:w="11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山东省医药工业设计院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商洛秦丹建设工程技术咨询所</w:t>
            </w:r>
          </w:p>
        </w:tc>
        <w:tc>
          <w:tcPr>
            <w:tcW w:w="7624" w:type="dxa"/>
            <w:noWrap w:val="0"/>
            <w:vAlign w:val="top"/>
          </w:tcPr>
          <w:p>
            <w:pPr>
              <w:spacing w:line="4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1、工业建筑的“火灾危险性类别”确定无依据，无生产内容，无法判定其正确度。</w:t>
            </w:r>
          </w:p>
          <w:p>
            <w:pPr>
              <w:numPr>
                <w:ilvl w:val="0"/>
                <w:numId w:val="1"/>
              </w:numPr>
              <w:snapToGrid/>
              <w:spacing w:line="440" w:lineRule="exact"/>
              <w:ind w:left="360" w:hanging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二、三层梁配筋2、3、4、11轴不满足《抗规》6.3.4条第一款规定。</w:t>
            </w:r>
          </w:p>
          <w:p>
            <w:pPr>
              <w:numPr>
                <w:ilvl w:val="0"/>
                <w:numId w:val="1"/>
              </w:numPr>
              <w:snapToGrid/>
              <w:spacing w:line="440" w:lineRule="exact"/>
              <w:ind w:left="360" w:hanging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3层“洗丸间”有防爆要求（来由不详），设计审查未关注底部（下部空间）楼板的抗爆措施。</w:t>
            </w:r>
          </w:p>
          <w:p>
            <w:pPr>
              <w:numPr>
                <w:ilvl w:val="0"/>
                <w:numId w:val="1"/>
              </w:numPr>
              <w:snapToGrid/>
              <w:spacing w:line="440" w:lineRule="exact"/>
              <w:ind w:left="360" w:hanging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楼层层间框架梁多数遗漏，传力路线不完整，梯板设置不合理，概念不清。</w:t>
            </w:r>
          </w:p>
          <w:p>
            <w:pPr>
              <w:spacing w:line="4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5、楼梯层间框架梁多数遗漏，传力路线不完整，楼梯设置不合理，志不满足《消防示意照明和疏散指示系统技术标准》 GB 51309-2018 第 3.8.1条。</w:t>
            </w:r>
          </w:p>
          <w:p>
            <w:pPr>
              <w:spacing w:line="4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6、爆炸危险场所按暖通专业设置的事故排风机完善配电和控制设计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</w:trPr>
        <w:tc>
          <w:tcPr>
            <w:tcW w:w="689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浐灞生态区八家堡村集体土地棚户区改造项目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机械工业勘察设计研究院有限公司</w:t>
            </w:r>
          </w:p>
        </w:tc>
        <w:tc>
          <w:tcPr>
            <w:tcW w:w="11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上海颐景建筑设计有限公司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陕西三秦施工图审查有限公司</w:t>
            </w:r>
          </w:p>
        </w:tc>
        <w:tc>
          <w:tcPr>
            <w:tcW w:w="7624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napToGrid/>
              <w:spacing w:line="580" w:lineRule="exact"/>
              <w:ind w:left="360" w:hanging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缺框架总剪力调整内容，不满足《高规定》第8.1.3条第1款的规定。</w:t>
            </w:r>
          </w:p>
          <w:p>
            <w:pPr>
              <w:numPr>
                <w:ilvl w:val="0"/>
                <w:numId w:val="2"/>
              </w:numPr>
              <w:snapToGrid/>
              <w:spacing w:line="580" w:lineRule="exact"/>
              <w:ind w:left="360" w:hanging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5#楼Z-02页KZ</w:t>
            </w:r>
            <w:r>
              <w:rPr>
                <w:rFonts w:hint="eastAsia"/>
                <w:sz w:val="18"/>
                <w:szCs w:val="18"/>
                <w:vertAlign w:val="subscript"/>
              </w:rPr>
              <w:t>23</w:t>
            </w:r>
            <w:r>
              <w:rPr>
                <w:rFonts w:hint="eastAsia"/>
                <w:sz w:val="18"/>
                <w:szCs w:val="18"/>
              </w:rPr>
              <w:t>柱、Z-04页KZ</w:t>
            </w:r>
            <w:r>
              <w:rPr>
                <w:rFonts w:hint="eastAsia"/>
                <w:sz w:val="18"/>
                <w:szCs w:val="18"/>
                <w:vertAlign w:val="subscript"/>
              </w:rPr>
              <w:t>21</w:t>
            </w:r>
            <w:r>
              <w:rPr>
                <w:rFonts w:hint="eastAsia"/>
                <w:sz w:val="18"/>
                <w:szCs w:val="18"/>
              </w:rPr>
              <w:t>柱纵筋配有</w:t>
            </w:r>
            <w:r>
              <w:rPr>
                <w:sz w:val="18"/>
                <w:szCs w:val="18"/>
              </w:rPr>
              <w:drawing>
                <wp:inline distT="0" distB="0" distL="114300" distR="114300">
                  <wp:extent cx="132715" cy="125095"/>
                  <wp:effectExtent l="0" t="0" r="635" b="8255"/>
                  <wp:docPr id="2" name="图片 2" descr="1608020465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608020465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>18者，箍筋非加密区间距200mm&gt;10X18=180mm,不符合《抗规》第6.3.9条4.2款。</w:t>
            </w:r>
          </w:p>
          <w:p>
            <w:pPr>
              <w:spacing w:line="5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3、1#3#楼暖施011、012、5#楼暖施 007~009厨房未设事故排风系统，不符合《民用建筑供暖通风与空气调节设计规范》GB50736-2012第6.3.9条第1款的规定。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1" w:hRule="atLeast"/>
        </w:trPr>
        <w:tc>
          <w:tcPr>
            <w:tcW w:w="689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黄金嘉境1-6#楼及地下车库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西安市勘察测绘院</w:t>
            </w:r>
          </w:p>
        </w:tc>
        <w:tc>
          <w:tcPr>
            <w:tcW w:w="11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北方-汉沙杨建筑工程设计有限公司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西安鸿发施工图设计审查有限责任公司</w:t>
            </w:r>
          </w:p>
        </w:tc>
        <w:tc>
          <w:tcPr>
            <w:tcW w:w="7624" w:type="dxa"/>
            <w:noWrap w:val="0"/>
            <w:vAlign w:val="top"/>
          </w:tcPr>
          <w:p>
            <w:pPr>
              <w:spacing w:line="3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1、4#楼为一类高层住宅，外墙均设玻璃幕墙（局部），不符合住建部[2015]38号文新建住宅不得在二层及以上采用玻璃幕墙的规定。</w:t>
            </w:r>
          </w:p>
          <w:p>
            <w:pPr>
              <w:spacing w:line="3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、1#、2#、4#楼嵌固端取在一层板面，计算书缺管道层与地上一层剪切刚度比大于2的内容，管道层嵌固部位采用构造边缘构件弱于主楼地上一层约束边缘构件，地下一层、二层主楼抗震构造措施分别降为二、三级，不符合《建筑抗震设计规范》GBJ 50011-2010抗震概念设计相关规定.</w:t>
            </w:r>
          </w:p>
          <w:p>
            <w:pPr>
              <w:spacing w:line="3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3、3#、5#、6#楼嵌固端仅在基础顶面，车库地下二层主楼相关范围抗震构造措施为三级，不符合《建筑抗震设计规范》GBJ500 11-2010抗震概念设计相关规定。</w:t>
            </w:r>
          </w:p>
          <w:p>
            <w:pPr>
              <w:spacing w:line="3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4、所有单体均应做抗震设计专项说明。</w:t>
            </w:r>
          </w:p>
          <w:p>
            <w:pPr>
              <w:spacing w:line="3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5、下车库：暖-07PFY-2-2系统所在的地下防火分区中，排烟垂壁设置有误，应按防烟分区设置。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1507D"/>
    <w:multiLevelType w:val="multilevel"/>
    <w:tmpl w:val="1E51507D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05C2DFF"/>
    <w:multiLevelType w:val="multilevel"/>
    <w:tmpl w:val="505C2DFF"/>
    <w:lvl w:ilvl="0" w:tentative="0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5B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jc w:val="both"/>
    </w:pPr>
    <w:rPr>
      <w:rFonts w:ascii="仿宋_GB2312" w:hAnsi="Times New Roman" w:eastAsia="仿宋_GB2312" w:cs="Times New Roman"/>
      <w:color w:val="000000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3">
    <w:name w:val="header"/>
    <w:basedOn w:val="1"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2021-01-04T02:24:12Z</dcterms:created>
  <dc:creator>Administrator</dc:creator>
  <cp:lastModifiedBy>〰</cp:lastModifiedBy>
  <dcterms:modified xsi:type="dcterms:W3CDTF">2021-01-04T02:25:29Z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