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ascii="仿宋" w:hAnsi="仿宋" w:eastAsia="仿宋" w:cs="仿宋"/>
          <w:kern w:val="2"/>
          <w:sz w:val="32"/>
          <w:szCs w:val="32"/>
          <w:lang w:val="en-US" w:eastAsia="zh-CN" w:bidi="ar-SA"/>
        </w:rPr>
      </w:pPr>
      <w:r>
        <w:rPr>
          <w:rFonts w:hint="eastAsia" w:ascii="方正小标宋简体" w:hAnsi="方正小标宋简体" w:eastAsia="方正小标宋简体" w:cs="方正小标宋简体"/>
          <w:kern w:val="2"/>
          <w:sz w:val="44"/>
          <w:szCs w:val="44"/>
          <w:lang w:val="en-US" w:eastAsia="zh-CN" w:bidi="ar-SA"/>
        </w:rPr>
        <w:t>住建领域百日安全生产整治行动方案</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深入贯彻习近平总书记关于安全生产工作的重要指示批示和李克强总理重要批示精神，认真落实全国、全省安全生产电视电话会议精神，按照省安委会《全省百日安全生产整治行动方案》，切实加强今冬明春安全生产工作，切实解决全省住建系统安全生产领域突出问题，从即日至2020年3月20日，在全省住房和城乡建设领域开展百日安全生产整治行动。现制定工作方案如下：</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一、总体要求</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入贯彻落实习近平总书记关于安全生产工作的重要指示批示和李克强总理重要批示精神，认真落实全省安全生产电视电话会议暨安委会第四季度全体（扩大）会议精神，集中整治防范化解重大安全风险整治责任不到位、树立安全发展理念不牢固、落实安全生产责任不到位、隐患排查不深入不扎实、打击非法违法行为不力、事故调查处理走过场等形式主义官僚主义突出问题，全面排查整治住建系统安全生产隐患，严厉打击违法违规行为，大力夯实企业安全生产主体责任，严防岁末年初安全生产事故发生，确保全省住建系统安全生产形势持续稳定。</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二、组织领导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66"/>
        <w:jc w:val="both"/>
        <w:textAlignment w:val="auto"/>
        <w:outlineLvl w:val="9"/>
        <w:rPr>
          <w:rFonts w:hint="eastAsia" w:ascii="仿宋_GB2312" w:eastAsia="仿宋_GB2312"/>
          <w:sz w:val="32"/>
          <w:szCs w:val="32"/>
          <w:lang w:eastAsia="zh-CN"/>
        </w:rPr>
      </w:pPr>
      <w:r>
        <w:rPr>
          <w:rFonts w:hint="eastAsia" w:ascii="仿宋" w:hAnsi="仿宋" w:eastAsia="仿宋" w:cs="仿宋"/>
          <w:sz w:val="32"/>
          <w:szCs w:val="32"/>
          <w:lang w:val="en-US" w:eastAsia="zh-CN"/>
        </w:rPr>
        <w:t>省厅成立百日安全生产整治工作领导小组，</w:t>
      </w:r>
      <w:r>
        <w:rPr>
          <w:rFonts w:hint="eastAsia" w:ascii="仿宋_GB2312" w:eastAsia="仿宋_GB2312"/>
          <w:sz w:val="32"/>
          <w:szCs w:val="32"/>
          <w:lang w:eastAsia="zh-CN"/>
        </w:rPr>
        <w:t>具体组成如下：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6"/>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组</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长：韩一兵</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厅党组书记、厅长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6"/>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副组长：李卫军</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厅党组成员、副厅长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97" w:firstLineChars="218"/>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组</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员：宋世锋</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工程质量安全监管处处长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77" w:firstLineChars="618"/>
        <w:jc w:val="both"/>
        <w:textAlignment w:val="auto"/>
        <w:outlineLvl w:val="9"/>
        <w:rPr>
          <w:rFonts w:hint="default" w:ascii="仿宋_GB2312" w:eastAsia="仿宋_GB2312"/>
          <w:sz w:val="32"/>
          <w:szCs w:val="32"/>
          <w:lang w:val="en-US" w:eastAsia="zh-CN"/>
        </w:rPr>
      </w:pPr>
      <w:r>
        <w:rPr>
          <w:rFonts w:hint="eastAsia" w:ascii="仿宋_GB2312" w:eastAsia="仿宋_GB2312"/>
          <w:sz w:val="32"/>
          <w:szCs w:val="32"/>
          <w:lang w:eastAsia="zh-CN"/>
        </w:rPr>
        <w:t>段玉鹏</w:t>
      </w:r>
      <w:r>
        <w:rPr>
          <w:rFonts w:hint="eastAsia" w:ascii="仿宋_GB2312" w:eastAsia="仿宋_GB2312"/>
          <w:sz w:val="32"/>
          <w:szCs w:val="32"/>
          <w:lang w:val="en-US" w:eastAsia="zh-CN"/>
        </w:rPr>
        <w:t xml:space="preserve">  城市管理处处长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77" w:firstLineChars="618"/>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赵</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鹏</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房地产市场监管处处长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77" w:firstLineChars="618"/>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张</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丹</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建筑管理办公室主任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77" w:firstLineChars="618"/>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蒋</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卫</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城市建设处处长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77" w:firstLineChars="618"/>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王宏宇</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村镇建设处处长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77" w:firstLineChars="618"/>
        <w:jc w:val="both"/>
        <w:textAlignment w:val="auto"/>
        <w:outlineLvl w:val="9"/>
        <w:rPr>
          <w:rFonts w:hint="eastAsia"/>
          <w:lang w:val="en-US" w:eastAsia="zh-CN"/>
        </w:rPr>
      </w:pPr>
      <w:r>
        <w:rPr>
          <w:rFonts w:hint="eastAsia" w:ascii="仿宋_GB2312" w:eastAsia="仿宋_GB2312"/>
          <w:sz w:val="32"/>
          <w:szCs w:val="32"/>
          <w:lang w:eastAsia="zh-CN"/>
        </w:rPr>
        <w:t>杨</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帆</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标准定额处处长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77" w:firstLineChars="618"/>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何</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波</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办公室主任</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1977" w:firstLineChars="618"/>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罗鹏飞  住房保障处副处长</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1977" w:firstLineChars="618"/>
        <w:jc w:val="both"/>
        <w:textAlignment w:val="auto"/>
        <w:outlineLvl w:val="9"/>
        <w:rPr>
          <w:rFonts w:hint="eastAsia" w:ascii="Calibri" w:hAnsi="Calibri" w:eastAsia="宋体" w:cs="Times New Roman"/>
          <w:kern w:val="2"/>
          <w:sz w:val="21"/>
          <w:szCs w:val="24"/>
          <w:lang w:val="en-US" w:eastAsia="zh-CN" w:bidi="ar-SA"/>
        </w:rPr>
      </w:pPr>
      <w:r>
        <w:rPr>
          <w:rFonts w:hint="eastAsia" w:ascii="仿宋_GB2312" w:hAnsi="Calibri" w:eastAsia="仿宋_GB2312" w:cs="Times New Roman"/>
          <w:kern w:val="2"/>
          <w:sz w:val="32"/>
          <w:szCs w:val="32"/>
          <w:lang w:val="en-US" w:eastAsia="zh-CN" w:bidi="ar-SA"/>
        </w:rPr>
        <w:t>段  莉  消防处负责人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77" w:firstLineChars="618"/>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张</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珂</w:t>
      </w:r>
      <w:r>
        <w:rPr>
          <w:rFonts w:hint="eastAsia" w:ascii="仿宋_GB2312" w:eastAsia="仿宋_GB2312"/>
          <w:sz w:val="32"/>
          <w:szCs w:val="32"/>
          <w:lang w:val="en-US" w:eastAsia="zh-CN"/>
        </w:rPr>
        <w:t xml:space="preserve">  农村危房改造办公室负责人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1977" w:firstLineChars="618"/>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李玉林  省建设工程质量安全监督总站站长</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三、整治内容及任务分工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（一）综合整治重点。</w:t>
      </w:r>
      <w:r>
        <w:rPr>
          <w:rFonts w:hint="eastAsia" w:ascii="仿宋_GB2312" w:hAnsi="Calibri" w:eastAsia="仿宋_GB2312" w:cs="Times New Roman"/>
          <w:b/>
          <w:bCs/>
          <w:kern w:val="2"/>
          <w:sz w:val="32"/>
          <w:szCs w:val="32"/>
          <w:lang w:val="en-US" w:eastAsia="zh-CN" w:bidi="ar-SA"/>
        </w:rPr>
        <w:t>一是</w:t>
      </w:r>
      <w:r>
        <w:rPr>
          <w:rFonts w:hint="eastAsia" w:ascii="仿宋_GB2312" w:hAnsi="Calibri" w:eastAsia="仿宋_GB2312" w:cs="Times New Roman"/>
          <w:kern w:val="2"/>
          <w:sz w:val="32"/>
          <w:szCs w:val="32"/>
          <w:lang w:val="en-US" w:eastAsia="zh-CN" w:bidi="ar-SA"/>
        </w:rPr>
        <w:t>政治站位不高的问题。重点整治对习近平总书记关于安全生产的重要论述学习贯彻不深入，对安全生产“五项攻坚”、集中执法等决策部署不安排不落实，贯彻落实上级文件不切实际、一转了之；对防范化解重大安全风险的重要性认识不足，研究不认真、排查不细致、管控措施针对性不强等问题。</w:t>
      </w:r>
      <w:r>
        <w:rPr>
          <w:rFonts w:hint="eastAsia" w:ascii="仿宋_GB2312" w:hAnsi="Calibri" w:eastAsia="仿宋_GB2312" w:cs="Times New Roman"/>
          <w:b/>
          <w:bCs/>
          <w:kern w:val="2"/>
          <w:sz w:val="32"/>
          <w:szCs w:val="32"/>
          <w:lang w:val="en-US" w:eastAsia="zh-CN" w:bidi="ar-SA"/>
        </w:rPr>
        <w:t>二是</w:t>
      </w:r>
      <w:r>
        <w:rPr>
          <w:rFonts w:hint="eastAsia" w:ascii="仿宋_GB2312" w:hAnsi="Calibri" w:eastAsia="仿宋_GB2312" w:cs="Times New Roman"/>
          <w:kern w:val="2"/>
          <w:sz w:val="32"/>
          <w:szCs w:val="32"/>
          <w:lang w:val="en-US" w:eastAsia="zh-CN" w:bidi="ar-SA"/>
        </w:rPr>
        <w:t>红线意识不强的问题。重点整治不能正确认识安全与发展的关系，政绩观存在偏差，在建设项目引进上安全风险把关不严、准入门槛低，淘汰落后产能力度不大等问题。</w:t>
      </w:r>
      <w:r>
        <w:rPr>
          <w:rFonts w:hint="eastAsia" w:ascii="仿宋_GB2312" w:hAnsi="Calibri" w:eastAsia="仿宋_GB2312" w:cs="Times New Roman"/>
          <w:b/>
          <w:bCs/>
          <w:kern w:val="2"/>
          <w:sz w:val="32"/>
          <w:szCs w:val="32"/>
          <w:lang w:val="en-US" w:eastAsia="zh-CN" w:bidi="ar-SA"/>
        </w:rPr>
        <w:t>三是</w:t>
      </w:r>
      <w:r>
        <w:rPr>
          <w:rFonts w:hint="eastAsia" w:ascii="仿宋_GB2312" w:hAnsi="Calibri" w:eastAsia="仿宋_GB2312" w:cs="Times New Roman"/>
          <w:kern w:val="2"/>
          <w:sz w:val="32"/>
          <w:szCs w:val="32"/>
          <w:lang w:val="en-US" w:eastAsia="zh-CN" w:bidi="ar-SA"/>
        </w:rPr>
        <w:t>安全责任缺失问题。重点整治党委、政府安全生产“党政同责、一岗双责”落实不到位，“三个责任清单”制定进度缓慢；安全生产“三必须”落实不到位，安全监管职责未写入有关部门职责规定、管业务与管安全脱节，部门担当意识不强、互相推诿扯皮，监管存在盲区等问题。</w:t>
      </w:r>
      <w:r>
        <w:rPr>
          <w:rFonts w:hint="eastAsia" w:ascii="仿宋_GB2312" w:hAnsi="Calibri" w:eastAsia="仿宋_GB2312" w:cs="Times New Roman"/>
          <w:b/>
          <w:bCs/>
          <w:kern w:val="2"/>
          <w:sz w:val="32"/>
          <w:szCs w:val="32"/>
          <w:lang w:val="en-US" w:eastAsia="zh-CN" w:bidi="ar-SA"/>
        </w:rPr>
        <w:t>四是</w:t>
      </w:r>
      <w:r>
        <w:rPr>
          <w:rFonts w:hint="eastAsia" w:ascii="仿宋_GB2312" w:hAnsi="Calibri" w:eastAsia="仿宋_GB2312" w:cs="Times New Roman"/>
          <w:kern w:val="2"/>
          <w:sz w:val="32"/>
          <w:szCs w:val="32"/>
          <w:lang w:val="en-US" w:eastAsia="zh-CN" w:bidi="ar-SA"/>
        </w:rPr>
        <w:t>监管执法宽松软问题。重点整治不能正确处理放管服的关系，只放不管或简单化限制执法；监管执法队伍能力不强、作风不实，执法检查不精准，只检查不执法、选择性执法、人情执法、以整改代替处罚、执法检查“一刀切”等突出问题；对违法违规企业不敢动真碰硬，放任违法企业长期“带病”生产等问题。</w:t>
      </w:r>
      <w:r>
        <w:rPr>
          <w:rFonts w:hint="eastAsia" w:ascii="仿宋_GB2312" w:hAnsi="Calibri" w:eastAsia="仿宋_GB2312" w:cs="Times New Roman"/>
          <w:b/>
          <w:bCs/>
          <w:kern w:val="2"/>
          <w:sz w:val="32"/>
          <w:szCs w:val="32"/>
          <w:lang w:val="en-US" w:eastAsia="zh-CN" w:bidi="ar-SA"/>
        </w:rPr>
        <w:t>五是</w:t>
      </w:r>
      <w:r>
        <w:rPr>
          <w:rFonts w:hint="eastAsia" w:ascii="仿宋_GB2312" w:hAnsi="Calibri" w:eastAsia="仿宋_GB2312" w:cs="Times New Roman"/>
          <w:kern w:val="2"/>
          <w:sz w:val="32"/>
          <w:szCs w:val="32"/>
          <w:lang w:val="en-US" w:eastAsia="zh-CN" w:bidi="ar-SA"/>
        </w:rPr>
        <w:t>事故调查处理不到位问题。重点整治事故调查处理偏轻偏软，未按规定追究相关人员责任，特别是对一般生产安全事故调查流于形式、走过场，该追究刑事责任的没有按规定移送司法机关；发生事故不能正确面对，片面强调客观原因，不从主观查找问题，千方百计推脱责任、逃避追究，不能真正汲取教训；事故统计不严肃，压减数字、迟报漏报、随意“销号”等问题。</w:t>
      </w:r>
      <w:r>
        <w:rPr>
          <w:rFonts w:hint="eastAsia" w:ascii="仿宋_GB2312" w:hAnsi="Calibri" w:eastAsia="仿宋_GB2312" w:cs="Times New Roman"/>
          <w:b/>
          <w:bCs/>
          <w:kern w:val="2"/>
          <w:sz w:val="32"/>
          <w:szCs w:val="32"/>
          <w:lang w:val="en-US" w:eastAsia="zh-CN" w:bidi="ar-SA"/>
        </w:rPr>
        <w:t>六是</w:t>
      </w:r>
      <w:r>
        <w:rPr>
          <w:rFonts w:hint="eastAsia" w:ascii="仿宋_GB2312" w:hAnsi="Calibri" w:eastAsia="仿宋_GB2312" w:cs="Times New Roman"/>
          <w:kern w:val="2"/>
          <w:sz w:val="32"/>
          <w:szCs w:val="32"/>
          <w:lang w:val="en-US" w:eastAsia="zh-CN" w:bidi="ar-SA"/>
        </w:rPr>
        <w:t>教育培训管理不严格问题。重点整治培训走过程，考核做样子，替考、持假证等问题。</w:t>
      </w:r>
      <w:r>
        <w:rPr>
          <w:rFonts w:hint="eastAsia" w:ascii="仿宋_GB2312" w:hAnsi="Calibri" w:eastAsia="仿宋_GB2312" w:cs="Times New Roman"/>
          <w:b/>
          <w:bCs/>
          <w:kern w:val="2"/>
          <w:sz w:val="32"/>
          <w:szCs w:val="32"/>
          <w:lang w:val="en-US" w:eastAsia="zh-CN" w:bidi="ar-SA"/>
        </w:rPr>
        <w:t>七是</w:t>
      </w:r>
      <w:r>
        <w:rPr>
          <w:rFonts w:hint="eastAsia" w:ascii="仿宋_GB2312" w:hAnsi="Calibri" w:eastAsia="仿宋_GB2312" w:cs="Times New Roman"/>
          <w:kern w:val="2"/>
          <w:sz w:val="32"/>
          <w:szCs w:val="32"/>
          <w:lang w:val="en-US" w:eastAsia="zh-CN" w:bidi="ar-SA"/>
        </w:rPr>
        <w:t>联合惩戒不落实问题。重点整治在实施安全生产失信行为“黑名单”管理问题上存在顾虑和畏难情绪，对明显符合“黑名单”条件的企业推诿不报，或故意漏报责任主体，甚至为企业说情等问题。</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（二）企业主体责任整治重点。</w:t>
      </w:r>
      <w:r>
        <w:rPr>
          <w:rFonts w:hint="eastAsia" w:ascii="仿宋_GB2312" w:hAnsi="Calibri" w:eastAsia="仿宋_GB2312" w:cs="Times New Roman"/>
          <w:b/>
          <w:bCs/>
          <w:kern w:val="2"/>
          <w:sz w:val="32"/>
          <w:szCs w:val="32"/>
          <w:lang w:val="en-US" w:eastAsia="zh-CN" w:bidi="ar-SA"/>
        </w:rPr>
        <w:t>一是</w:t>
      </w:r>
      <w:r>
        <w:rPr>
          <w:rFonts w:hint="eastAsia" w:ascii="仿宋_GB2312" w:hAnsi="Calibri" w:eastAsia="仿宋_GB2312" w:cs="Times New Roman"/>
          <w:kern w:val="2"/>
          <w:sz w:val="32"/>
          <w:szCs w:val="32"/>
          <w:lang w:val="en-US" w:eastAsia="zh-CN" w:bidi="ar-SA"/>
        </w:rPr>
        <w:t>企业主要负责人安全责任落实不到位问题。重点整治企业主要负责人、实际控制人未落实第一责任人的责任，逃避责任、末位负责，未按规定研究部署安全生产工作；安全监管机构不健全，人员配备不到位；未落实安全设施“三同时”要求，非法组织生产等问题。</w:t>
      </w:r>
      <w:r>
        <w:rPr>
          <w:rFonts w:hint="eastAsia" w:ascii="仿宋_GB2312" w:hAnsi="Calibri" w:eastAsia="仿宋_GB2312" w:cs="Times New Roman"/>
          <w:b/>
          <w:bCs/>
          <w:kern w:val="2"/>
          <w:sz w:val="32"/>
          <w:szCs w:val="32"/>
          <w:lang w:val="en-US" w:eastAsia="zh-CN" w:bidi="ar-SA"/>
        </w:rPr>
        <w:t>二是</w:t>
      </w:r>
      <w:r>
        <w:rPr>
          <w:rFonts w:hint="eastAsia" w:ascii="仿宋_GB2312" w:hAnsi="Calibri" w:eastAsia="仿宋_GB2312" w:cs="Times New Roman"/>
          <w:kern w:val="2"/>
          <w:sz w:val="32"/>
          <w:szCs w:val="32"/>
          <w:lang w:val="en-US" w:eastAsia="zh-CN" w:bidi="ar-SA"/>
        </w:rPr>
        <w:t>安全管理制度不健全问题。重点整治未制定、落实企业全员岗位责任制、安全承诺制度，安全管理制度不切实际，特殊作业和外包作业安全管理制度不严格，只包不管、以包代管等问题。</w:t>
      </w:r>
      <w:r>
        <w:rPr>
          <w:rFonts w:hint="eastAsia" w:ascii="仿宋_GB2312" w:hAnsi="Calibri" w:eastAsia="仿宋_GB2312" w:cs="Times New Roman"/>
          <w:b/>
          <w:bCs/>
          <w:kern w:val="2"/>
          <w:sz w:val="32"/>
          <w:szCs w:val="32"/>
          <w:lang w:val="en-US" w:eastAsia="zh-CN" w:bidi="ar-SA"/>
        </w:rPr>
        <w:t>三是</w:t>
      </w:r>
      <w:r>
        <w:rPr>
          <w:rFonts w:hint="eastAsia" w:ascii="仿宋_GB2312" w:hAnsi="Calibri" w:eastAsia="仿宋_GB2312" w:cs="Times New Roman"/>
          <w:kern w:val="2"/>
          <w:sz w:val="32"/>
          <w:szCs w:val="32"/>
          <w:lang w:val="en-US" w:eastAsia="zh-CN" w:bidi="ar-SA"/>
        </w:rPr>
        <w:t>安全投入不足问题。重点整治未严格落实企业安全生产费用提取管理使用制度，未按照国家标准实施安全设施改造和装备升级，采用国家明令禁止或淘汰落后工艺，安全、应急和个人防护装备配备不到位等问题。</w:t>
      </w:r>
      <w:r>
        <w:rPr>
          <w:rFonts w:hint="eastAsia" w:ascii="仿宋_GB2312" w:hAnsi="Calibri" w:eastAsia="仿宋_GB2312" w:cs="Times New Roman"/>
          <w:b/>
          <w:bCs/>
          <w:kern w:val="2"/>
          <w:sz w:val="32"/>
          <w:szCs w:val="32"/>
          <w:lang w:val="en-US" w:eastAsia="zh-CN" w:bidi="ar-SA"/>
        </w:rPr>
        <w:t>四是</w:t>
      </w:r>
      <w:r>
        <w:rPr>
          <w:rFonts w:hint="eastAsia" w:ascii="仿宋_GB2312" w:hAnsi="Calibri" w:eastAsia="仿宋_GB2312" w:cs="Times New Roman"/>
          <w:kern w:val="2"/>
          <w:sz w:val="32"/>
          <w:szCs w:val="32"/>
          <w:lang w:val="en-US" w:eastAsia="zh-CN" w:bidi="ar-SA"/>
        </w:rPr>
        <w:t>安全风险和隐患排查治理不扎实问题。重点整治双重预防机制建设不认真，安全风险辨识不到位、分级管控不严格，红、橙、黄、蓝分级管控制度落实不到位；隐患排查不全面不彻底，对风险隐患视而不见，对发现的隐患问题整治不彻底，闭环管理不到位；政府挂牌督办隐患治理超期、反复延期；安全整治走形式、走过场，不能紧盯突出问题，没有形成有效机制，受限空间、检维修作业等特殊作业审批不严格、科研实验风险评估和管控措施不落实等问题。</w:t>
      </w:r>
      <w:r>
        <w:rPr>
          <w:rFonts w:hint="eastAsia" w:ascii="仿宋_GB2312" w:hAnsi="Calibri" w:eastAsia="仿宋_GB2312" w:cs="Times New Roman"/>
          <w:b/>
          <w:bCs/>
          <w:kern w:val="2"/>
          <w:sz w:val="32"/>
          <w:szCs w:val="32"/>
          <w:lang w:val="en-US" w:eastAsia="zh-CN" w:bidi="ar-SA"/>
        </w:rPr>
        <w:t>五是</w:t>
      </w:r>
      <w:r>
        <w:rPr>
          <w:rFonts w:hint="eastAsia" w:ascii="仿宋_GB2312" w:hAnsi="Calibri" w:eastAsia="仿宋_GB2312" w:cs="Times New Roman"/>
          <w:kern w:val="2"/>
          <w:sz w:val="32"/>
          <w:szCs w:val="32"/>
          <w:lang w:val="en-US" w:eastAsia="zh-CN" w:bidi="ar-SA"/>
        </w:rPr>
        <w:t>员工培训制度落实不到位问题。重点整治未制定培训方案、计划，安全交底、班前警示教育落实不到位，企业主要负责人、管理人员、特种作业人员无证上岗，新进人员培训时间严重缩水，短期合同工、临时工、劳务派遣工未经培训就直接上岗等问题。</w:t>
      </w:r>
      <w:r>
        <w:rPr>
          <w:rFonts w:hint="eastAsia" w:ascii="仿宋_GB2312" w:hAnsi="Calibri" w:eastAsia="仿宋_GB2312" w:cs="Times New Roman"/>
          <w:b/>
          <w:bCs/>
          <w:kern w:val="2"/>
          <w:sz w:val="32"/>
          <w:szCs w:val="32"/>
          <w:lang w:val="en-US" w:eastAsia="zh-CN" w:bidi="ar-SA"/>
        </w:rPr>
        <w:t>六是</w:t>
      </w:r>
      <w:r>
        <w:rPr>
          <w:rFonts w:hint="eastAsia" w:ascii="仿宋_GB2312" w:hAnsi="Calibri" w:eastAsia="仿宋_GB2312" w:cs="Times New Roman"/>
          <w:kern w:val="2"/>
          <w:sz w:val="32"/>
          <w:szCs w:val="32"/>
          <w:lang w:val="en-US" w:eastAsia="zh-CN" w:bidi="ar-SA"/>
        </w:rPr>
        <w:t>应急救援要求不落实问题。重点整治一些企业无应急预案，或应急预案处置措施不具体、内容与实际相脱节，预案不演练，发生事故处置不得力，盲目施救，瞒报、迟报事故信息等问题。</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（三）建筑施工安全整治重点：</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重点</w:t>
      </w:r>
      <w:r>
        <w:rPr>
          <w:rFonts w:hint="eastAsia" w:ascii="仿宋" w:hAnsi="仿宋" w:eastAsia="仿宋" w:cs="仿宋"/>
          <w:sz w:val="32"/>
          <w:szCs w:val="32"/>
          <w:lang w:val="en-US" w:eastAsia="zh-CN"/>
        </w:rPr>
        <w:t>整治施工企业无相关资质证书或超越资质范围承揽工程及违法分工、转包工程，盲目赶工期、抢进度和冬季恶劣天气强行组织施工，特别是防滑、防冻、防火、防坍塌、防中毒窒息工作措施不到位等问题；</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重点整治起重机械、深基坑边坡、高支模、脚手架、临时用电用火、施工机械设备等危险性较大的分部分项工程和复杂地质条件下城市轨道交通工程存在的安全隐患；</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重点整治城市改造等旧房及设施拆除、农村建房中存在的安全隐患；</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强化大风、降温天气，室外高处作业施工现场检查和安全监管。</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lang w:val="en-US" w:eastAsia="zh-CN"/>
        </w:rPr>
      </w:pPr>
      <w:r>
        <w:rPr>
          <w:rFonts w:hint="eastAsia" w:ascii="楷体" w:hAnsi="楷体" w:eastAsia="楷体" w:cs="楷体"/>
          <w:sz w:val="32"/>
          <w:szCs w:val="32"/>
          <w:lang w:val="en-US" w:eastAsia="zh-CN"/>
        </w:rPr>
        <w:t>（四）燃气安全整治重点：</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整治燃气站无证经营，瓶装液化气非法储存、运输、充装和倒装，农村“煤改气”用户、餐饮店等燃气使用场所燃气用具、连接软管、减压阀和燃气泄漏报警装置等存在安全隐患，以及擅自拆装、改装、迁移、暗埋燃气设施和用具等问题；</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整治燃气管线存在结构性隐患和管线交叉、安全间距、防腐、管道标识及违章建筑等隐患；</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整治居民小区集中供热和工业生产等用气企业未落实燃气安全使用规定、未进行用气安全隐患自查整改；燃气供气企业对居民家庭用气管网安全检查不到位；高层建筑及公寓住户违规使用瓶装液化石油气等问题。</w:t>
      </w:r>
    </w:p>
    <w:p>
      <w:pPr>
        <w:numPr>
          <w:ilvl w:val="0"/>
          <w:numId w:val="0"/>
        </w:numPr>
        <w:ind w:firstLine="640"/>
        <w:jc w:val="both"/>
        <w:rPr>
          <w:rFonts w:hint="eastAsia" w:ascii="仿宋" w:hAnsi="仿宋" w:eastAsia="仿宋" w:cs="仿宋"/>
          <w:sz w:val="32"/>
          <w:szCs w:val="32"/>
          <w:lang w:val="en-US" w:eastAsia="zh-CN"/>
        </w:rPr>
      </w:pPr>
      <w:r>
        <w:rPr>
          <w:rFonts w:hint="eastAsia" w:ascii="楷体" w:hAnsi="楷体" w:eastAsia="楷体" w:cs="楷体"/>
          <w:b w:val="0"/>
          <w:bCs/>
          <w:sz w:val="32"/>
          <w:szCs w:val="32"/>
          <w:lang w:eastAsia="zh-CN"/>
        </w:rPr>
        <w:t>（五）其他方面整治工作：</w:t>
      </w:r>
      <w:r>
        <w:rPr>
          <w:rFonts w:hint="eastAsia" w:ascii="仿宋" w:hAnsi="仿宋" w:eastAsia="仿宋" w:cs="仿宋"/>
          <w:sz w:val="32"/>
          <w:szCs w:val="32"/>
          <w:lang w:val="en-US" w:eastAsia="zh-CN"/>
        </w:rPr>
        <w:t>危险化学品安全整治、消防安全整治、特种设备安全整治工作，各市（区）住建部门要高度重视，按照当地政府的统一安排部署，按照职能分工，加强与相关部门的配合，做好安全整治各项工作。</w:t>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四、工作安排</w:t>
      </w:r>
    </w:p>
    <w:p>
      <w:pPr>
        <w:numPr>
          <w:ilvl w:val="0"/>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从即日起至2020年3月20日，不分阶段，按动员部署、集中整治、巩固总结的要求推动各项工作落实。</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（一）动员部署：</w:t>
      </w:r>
      <w:r>
        <w:rPr>
          <w:rFonts w:hint="eastAsia" w:ascii="仿宋" w:hAnsi="仿宋" w:eastAsia="仿宋" w:cs="仿宋"/>
          <w:sz w:val="32"/>
          <w:szCs w:val="32"/>
          <w:lang w:val="en-US" w:eastAsia="zh-CN"/>
        </w:rPr>
        <w:t>各市(区）建设行政主管部门要认真研究制定行业百日安全生产整治行动具体实施方案，明确整治行动计划和措施，突出整治重点，深入开展思想动员，广泛发动群众参与整治行动。</w:t>
      </w:r>
    </w:p>
    <w:p>
      <w:pPr>
        <w:ind w:firstLine="640"/>
        <w:jc w:val="both"/>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（二）集中整治：</w:t>
      </w:r>
      <w:r>
        <w:rPr>
          <w:rFonts w:hint="eastAsia" w:ascii="仿宋" w:hAnsi="仿宋" w:eastAsia="仿宋" w:cs="仿宋"/>
          <w:sz w:val="32"/>
          <w:szCs w:val="32"/>
          <w:lang w:val="en-US" w:eastAsia="zh-CN"/>
        </w:rPr>
        <w:t>全面、准确、深入查找责任落实、管理制度、风险管控、隐患排查、应急管理等方面存在的突出问题和薄弱环节，建立问题隐患责任清单，明确整改责任人和整改措施，逐一整改销号。对违法违规问题严格依法查处。</w:t>
      </w:r>
    </w:p>
    <w:p>
      <w:pPr>
        <w:ind w:firstLine="640"/>
        <w:jc w:val="both"/>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（三）巩固总结：</w:t>
      </w:r>
      <w:r>
        <w:rPr>
          <w:rFonts w:hint="eastAsia" w:ascii="仿宋" w:hAnsi="仿宋" w:eastAsia="仿宋" w:cs="仿宋"/>
          <w:sz w:val="32"/>
          <w:szCs w:val="32"/>
          <w:lang w:val="en-US" w:eastAsia="zh-CN"/>
        </w:rPr>
        <w:t>组织开展百日安全生产整治行动“回头看”，巩固提升整治行动成果，重点检查工作部署情况、风险辨识及隐患排查台账建立情况、风险管控和隐患治理是否落到实处等情况，并对整治行动进行总结。</w:t>
      </w:r>
    </w:p>
    <w:p>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五、工作措施及要求</w:t>
      </w:r>
    </w:p>
    <w:p>
      <w:pPr>
        <w:ind w:firstLine="640"/>
        <w:jc w:val="both"/>
        <w:rPr>
          <w:rFonts w:hint="eastAsia"/>
          <w:lang w:val="en-US" w:eastAsia="zh-CN"/>
        </w:rPr>
      </w:pPr>
      <w:r>
        <w:rPr>
          <w:rFonts w:hint="eastAsia" w:ascii="楷体" w:hAnsi="楷体" w:eastAsia="楷体" w:cs="楷体"/>
          <w:sz w:val="32"/>
          <w:szCs w:val="32"/>
          <w:lang w:val="en-US" w:eastAsia="zh-CN"/>
        </w:rPr>
        <w:t>（一）提高思想认识，加强组织领导。</w:t>
      </w:r>
      <w:r>
        <w:rPr>
          <w:rFonts w:hint="eastAsia" w:ascii="仿宋" w:hAnsi="仿宋" w:eastAsia="仿宋" w:cs="仿宋"/>
          <w:sz w:val="32"/>
          <w:szCs w:val="32"/>
          <w:lang w:val="en-US" w:eastAsia="zh-CN"/>
        </w:rPr>
        <w:t>各市、县（区）住房城乡建设主管部门要结合“不忘初心、牢记使命”主题教育，对习近平总书记和李克强总理关于安全生产重要批示指示精神进行再学习再领会，进一步提高思想认识。要加强对本地区住房城乡建设领域安全生产情况进行研究分析，着力解决存在的突出问题，扎实开展督导检查，促进整治行动各项工作落实。整治行动期间，省厅将抽调相关专家组成指导服务组，对问题较多的地区开展会诊服务，对各市（区）百日安全整治行动进行指导。</w:t>
      </w:r>
    </w:p>
    <w:p>
      <w:pPr>
        <w:ind w:firstLine="640"/>
        <w:jc w:val="both"/>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（二）落实主体责任，提升本质安全。</w:t>
      </w:r>
      <w:r>
        <w:rPr>
          <w:rFonts w:hint="eastAsia" w:ascii="仿宋" w:hAnsi="仿宋" w:eastAsia="仿宋" w:cs="仿宋"/>
          <w:sz w:val="32"/>
          <w:szCs w:val="32"/>
          <w:lang w:val="en-US" w:eastAsia="zh-CN"/>
        </w:rPr>
        <w:t>要注重抓住企业主要负责人这个关键，把落实企业安全生产主体责任放在首位，调动企业主要负责人抓安全生产工作的主动性、积极性，增强企业加强安全生产管理的内生动力，从根本上提升安全生产工作水平。要督促企业认真对照主体责任落实等方面存在的突出问题，制定集中整治和自查自改工作方案，全面推进隐患排查治理和安全风险防控双重预防机制建设，严格落实安全设施“三同时”制度，加大安全投入，加强人员教育培训，增强应急预案和演练的科学性针对性，提升安全生产标准化水平，建立健全自我约束、持续改进的内生机制，确保安全生产各项工作有效落实。</w:t>
      </w:r>
    </w:p>
    <w:p>
      <w:pPr>
        <w:ind w:firstLine="640"/>
        <w:jc w:val="both"/>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（三）严格监管执法，强化隐患治理。</w:t>
      </w:r>
      <w:r>
        <w:rPr>
          <w:rFonts w:hint="eastAsia" w:ascii="仿宋" w:hAnsi="仿宋" w:eastAsia="仿宋" w:cs="仿宋"/>
          <w:sz w:val="32"/>
          <w:szCs w:val="32"/>
          <w:lang w:val="en-US" w:eastAsia="zh-CN"/>
        </w:rPr>
        <w:t>要把严格执法贯穿百日安全生产整治行动全过程，扎实开展专项执法行动，推动百日安全生产整治行动取得实效。百日安全生产整治行动期间，各市（区）住房和城乡建设主管部门要惩治曝光一批典型违法行为、通报一批“黑名单”生产经营企业、取缔一批非法违法企业、关停一批不符合安全生产条件企业。要突出重点地区、重点企业开展督导检查和暗查暗访，督促企业认真整改发现的问题隐患，切实做到措施、责任、资金、时限、预案“五到位”，及时消除事故隐患。省厅将组成督导检查组，每月对不少于2个市（区）开展督查检查、暗访暗查。</w:t>
      </w:r>
    </w:p>
    <w:p>
      <w:pPr>
        <w:numPr>
          <w:ilvl w:val="0"/>
          <w:numId w:val="0"/>
        </w:numPr>
        <w:ind w:firstLine="640"/>
        <w:jc w:val="both"/>
        <w:rPr>
          <w:rFonts w:hint="eastAsia" w:ascii="仿宋" w:hAnsi="仿宋" w:eastAsia="仿宋" w:cs="仿宋"/>
          <w:sz w:val="32"/>
          <w:szCs w:val="32"/>
          <w:lang w:val="en-US" w:eastAsia="zh-CN"/>
        </w:rPr>
      </w:pPr>
      <w:r>
        <w:rPr>
          <w:rFonts w:hint="eastAsia" w:ascii="楷体" w:hAnsi="楷体" w:eastAsia="楷体" w:cs="楷体"/>
          <w:b w:val="0"/>
          <w:bCs w:val="0"/>
          <w:sz w:val="32"/>
          <w:szCs w:val="32"/>
          <w:lang w:val="en-US" w:eastAsia="zh-CN"/>
        </w:rPr>
        <w:t>（四）营造舆论氛围，加强信息报送。</w:t>
      </w:r>
      <w:r>
        <w:rPr>
          <w:rFonts w:hint="eastAsia" w:ascii="仿宋" w:hAnsi="仿宋" w:eastAsia="仿宋" w:cs="仿宋"/>
          <w:sz w:val="32"/>
          <w:szCs w:val="32"/>
          <w:lang w:val="en-US" w:eastAsia="zh-CN"/>
        </w:rPr>
        <w:t>各市、县（区）住建主管部门要在充分运用报纸、电视、广播、网络等媒体，采取开辟专题、专栏、专刊，充分发挥主流媒体作用，广泛宣传动员，营造浓厚氛围，开展警示教育，提高公众参与的积极性。要安排专人负责，加强信息报送，及时统计总结百日安全生产整治行动开展情况。各市（区）每月23日前将建筑施工、燃气安全整治工作小结及统计表分别报送省厅工程质量安全监管处、城市管理处，并于2020年3月10日前将工作总结报送省厅工程质量安全监管处。</w:t>
      </w:r>
    </w:p>
    <w:p>
      <w:pPr>
        <w:numPr>
          <w:ilvl w:val="0"/>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联系人：工程质量安全监管处 孙海亭  029-63915830</w:t>
      </w:r>
    </w:p>
    <w:p>
      <w:pPr>
        <w:numPr>
          <w:ilvl w:val="0"/>
          <w:numId w:val="0"/>
        </w:numPr>
        <w:ind w:firstLine="1929" w:firstLineChars="603"/>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城市管理处         朱  林  029-63915816</w:t>
      </w:r>
    </w:p>
    <w:p>
      <w:pPr>
        <w:numPr>
          <w:ilvl w:val="0"/>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附件：全省住建领域百日安全生产整治行动统计表</w:t>
      </w:r>
    </w:p>
    <w:p>
      <w:pPr>
        <w:widowControl w:val="0"/>
        <w:jc w:val="both"/>
        <w:rPr>
          <w:rFonts w:hint="eastAsia" w:ascii="Tahoma" w:hAnsi="Tahoma" w:eastAsia="仿宋_GB2312" w:cs="Times New Roman"/>
          <w:kern w:val="2"/>
          <w:sz w:val="32"/>
          <w:szCs w:val="20"/>
          <w:lang w:val="en-US" w:eastAsia="zh-CN" w:bidi="ar-SA"/>
        </w:rPr>
      </w:pPr>
    </w:p>
    <w:p>
      <w:pPr>
        <w:widowControl w:val="0"/>
        <w:spacing w:after="120"/>
        <w:jc w:val="both"/>
        <w:rPr>
          <w:rFonts w:hint="eastAsia" w:ascii="Calibri" w:hAnsi="Calibri" w:eastAsia="宋体" w:cs="Times New Roman"/>
          <w:kern w:val="2"/>
          <w:sz w:val="21"/>
          <w:szCs w:val="24"/>
          <w:lang w:val="en-US" w:eastAsia="zh-CN" w:bidi="ar-SA"/>
        </w:rPr>
      </w:pPr>
    </w:p>
    <w:p>
      <w:pPr>
        <w:widowControl w:val="0"/>
        <w:spacing w:after="120"/>
        <w:jc w:val="both"/>
        <w:rPr>
          <w:rFonts w:hint="eastAsia" w:ascii="Calibri" w:hAnsi="Calibri" w:eastAsia="宋体" w:cs="Times New Roman"/>
          <w:kern w:val="2"/>
          <w:sz w:val="21"/>
          <w:szCs w:val="24"/>
          <w:lang w:val="en-US" w:eastAsia="zh-CN" w:bidi="ar-SA"/>
        </w:rPr>
      </w:pPr>
    </w:p>
    <w:p>
      <w:pPr>
        <w:widowControl w:val="0"/>
        <w:spacing w:after="120"/>
        <w:jc w:val="both"/>
        <w:rPr>
          <w:rFonts w:hint="eastAsia" w:ascii="Calibri" w:hAnsi="Calibri" w:eastAsia="宋体" w:cs="Times New Roman"/>
          <w:kern w:val="2"/>
          <w:sz w:val="21"/>
          <w:szCs w:val="24"/>
          <w:lang w:val="en-US" w:eastAsia="zh-CN" w:bidi="ar-SA"/>
        </w:rPr>
      </w:pPr>
    </w:p>
    <w:p>
      <w:pPr>
        <w:spacing w:line="580" w:lineRule="exact"/>
        <w:rPr>
          <w:rFonts w:hint="eastAsia" w:ascii="黑体" w:hAnsi="黑体" w:eastAsia="黑体" w:cs="宋体"/>
          <w:color w:val="000000"/>
          <w:kern w:val="0"/>
          <w:szCs w:val="32"/>
          <w:lang w:eastAsia="zh-CN"/>
        </w:rPr>
        <w:sectPr>
          <w:type w:val="continuous"/>
          <w:pgSz w:w="11906" w:h="16838"/>
          <w:pgMar w:top="1588" w:right="1797" w:bottom="1440" w:left="1797" w:header="851" w:footer="992" w:gutter="0"/>
          <w:pgNumType w:fmt="numberInDash"/>
          <w:cols w:space="720" w:num="1"/>
          <w:titlePg/>
          <w:docGrid w:type="lines" w:linePitch="312" w:charSpace="0"/>
        </w:sectPr>
      </w:pPr>
    </w:p>
    <w:p>
      <w:pPr>
        <w:spacing w:line="580" w:lineRule="exact"/>
        <w:jc w:val="both"/>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附件</w:t>
      </w:r>
    </w:p>
    <w:p>
      <w:pPr>
        <w:spacing w:line="58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全省</w:t>
      </w:r>
      <w:r>
        <w:rPr>
          <w:rFonts w:hint="eastAsia" w:ascii="方正小标宋简体" w:hAnsi="宋体" w:eastAsia="方正小标宋简体" w:cs="宋体"/>
          <w:color w:val="000000"/>
          <w:kern w:val="0"/>
          <w:sz w:val="44"/>
          <w:szCs w:val="44"/>
          <w:lang w:eastAsia="zh-CN"/>
        </w:rPr>
        <w:t>住建领域</w:t>
      </w:r>
      <w:r>
        <w:rPr>
          <w:rFonts w:hint="eastAsia" w:ascii="方正小标宋简体" w:hAnsi="宋体" w:eastAsia="方正小标宋简体" w:cs="宋体"/>
          <w:color w:val="000000"/>
          <w:kern w:val="0"/>
          <w:sz w:val="44"/>
          <w:szCs w:val="44"/>
        </w:rPr>
        <w:t>百日安全生产整治行动统计表</w:t>
      </w:r>
    </w:p>
    <w:p>
      <w:pPr>
        <w:spacing w:line="400" w:lineRule="exact"/>
        <w:rPr>
          <w:rFonts w:hint="eastAsia" w:ascii="黑体" w:hAnsi="黑体" w:eastAsia="黑体"/>
          <w:color w:val="000000"/>
          <w:szCs w:val="21"/>
        </w:rPr>
      </w:pPr>
      <w:r>
        <w:rPr>
          <w:rFonts w:hint="eastAsia" w:ascii="黑体" w:hAnsi="黑体" w:eastAsia="黑体" w:cs="宋体"/>
          <w:color w:val="000000"/>
          <w:kern w:val="0"/>
          <w:sz w:val="20"/>
          <w:szCs w:val="20"/>
        </w:rPr>
        <w:t>填报单位：                                                                                                       填报日期：     年  月  日</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22"/>
        <w:gridCol w:w="1288"/>
        <w:gridCol w:w="7"/>
        <w:gridCol w:w="709"/>
        <w:gridCol w:w="709"/>
        <w:gridCol w:w="850"/>
        <w:gridCol w:w="993"/>
        <w:gridCol w:w="1134"/>
        <w:gridCol w:w="850"/>
        <w:gridCol w:w="992"/>
        <w:gridCol w:w="851"/>
        <w:gridCol w:w="992"/>
        <w:gridCol w:w="992"/>
        <w:gridCol w:w="993"/>
        <w:gridCol w:w="850"/>
        <w:gridCol w:w="791"/>
        <w:gridCol w:w="5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5" w:hRule="atLeast"/>
          <w:jc w:val="center"/>
        </w:trPr>
        <w:tc>
          <w:tcPr>
            <w:tcW w:w="422" w:type="dxa"/>
            <w:vMerge w:val="restart"/>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1295" w:type="dxa"/>
            <w:gridSpan w:val="2"/>
            <w:vMerge w:val="restart"/>
            <w:noWrap w:val="0"/>
            <w:vAlign w:val="center"/>
          </w:tcPr>
          <w:p>
            <w:pPr>
              <w:spacing w:line="24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行业领域</w:t>
            </w:r>
          </w:p>
        </w:tc>
        <w:tc>
          <w:tcPr>
            <w:tcW w:w="709" w:type="dxa"/>
            <w:vMerge w:val="restart"/>
            <w:noWrap w:val="0"/>
            <w:vAlign w:val="center"/>
          </w:tcPr>
          <w:p>
            <w:pPr>
              <w:spacing w:line="24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检查</w:t>
            </w:r>
          </w:p>
          <w:p>
            <w:pPr>
              <w:spacing w:line="24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企业</w:t>
            </w:r>
          </w:p>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总数</w:t>
            </w:r>
          </w:p>
        </w:tc>
        <w:tc>
          <w:tcPr>
            <w:tcW w:w="2552" w:type="dxa"/>
            <w:gridSpan w:val="3"/>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排查治理问题隐患</w:t>
            </w:r>
          </w:p>
        </w:tc>
        <w:tc>
          <w:tcPr>
            <w:tcW w:w="1134" w:type="dxa"/>
            <w:vMerge w:val="restart"/>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打击严重违法违规行为</w:t>
            </w:r>
          </w:p>
        </w:tc>
        <w:tc>
          <w:tcPr>
            <w:tcW w:w="4677" w:type="dxa"/>
            <w:gridSpan w:val="5"/>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执法处罚情况</w:t>
            </w:r>
          </w:p>
        </w:tc>
        <w:tc>
          <w:tcPr>
            <w:tcW w:w="993" w:type="dxa"/>
            <w:vMerge w:val="restart"/>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联合惩戒失信企业</w:t>
            </w:r>
          </w:p>
        </w:tc>
        <w:tc>
          <w:tcPr>
            <w:tcW w:w="1641" w:type="dxa"/>
            <w:gridSpan w:val="2"/>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问责曝光工作不力的单位和个人</w:t>
            </w:r>
          </w:p>
        </w:tc>
        <w:tc>
          <w:tcPr>
            <w:tcW w:w="567" w:type="dxa"/>
            <w:vMerge w:val="restart"/>
            <w:noWrap w:val="0"/>
            <w:vAlign w:val="center"/>
          </w:tcPr>
          <w:p>
            <w:pPr>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5" w:hRule="atLeast"/>
          <w:jc w:val="center"/>
        </w:trPr>
        <w:tc>
          <w:tcPr>
            <w:tcW w:w="422" w:type="dxa"/>
            <w:vMerge w:val="continue"/>
            <w:noWrap w:val="0"/>
            <w:vAlign w:val="center"/>
          </w:tcPr>
          <w:p>
            <w:pPr>
              <w:spacing w:line="240" w:lineRule="exact"/>
              <w:jc w:val="left"/>
              <w:rPr>
                <w:rFonts w:ascii="黑体" w:hAnsi="黑体" w:eastAsia="黑体" w:cs="宋体"/>
                <w:color w:val="000000"/>
                <w:kern w:val="0"/>
                <w:sz w:val="20"/>
                <w:szCs w:val="20"/>
              </w:rPr>
            </w:pPr>
          </w:p>
        </w:tc>
        <w:tc>
          <w:tcPr>
            <w:tcW w:w="1295" w:type="dxa"/>
            <w:gridSpan w:val="2"/>
            <w:vMerge w:val="continue"/>
            <w:noWrap w:val="0"/>
            <w:vAlign w:val="center"/>
          </w:tcPr>
          <w:p>
            <w:pPr>
              <w:spacing w:line="240" w:lineRule="exact"/>
              <w:jc w:val="left"/>
              <w:rPr>
                <w:rFonts w:ascii="黑体" w:hAnsi="黑体" w:eastAsia="黑体" w:cs="宋体"/>
                <w:color w:val="000000"/>
                <w:kern w:val="0"/>
                <w:sz w:val="20"/>
                <w:szCs w:val="20"/>
              </w:rPr>
            </w:pPr>
          </w:p>
        </w:tc>
        <w:tc>
          <w:tcPr>
            <w:tcW w:w="709" w:type="dxa"/>
            <w:vMerge w:val="continue"/>
            <w:noWrap w:val="0"/>
            <w:vAlign w:val="center"/>
          </w:tcPr>
          <w:p>
            <w:pPr>
              <w:spacing w:line="240" w:lineRule="exact"/>
              <w:jc w:val="left"/>
              <w:rPr>
                <w:rFonts w:ascii="黑体" w:hAnsi="黑体" w:eastAsia="黑体" w:cs="宋体"/>
                <w:color w:val="000000"/>
                <w:kern w:val="0"/>
                <w:sz w:val="20"/>
                <w:szCs w:val="20"/>
              </w:rPr>
            </w:pPr>
          </w:p>
        </w:tc>
        <w:tc>
          <w:tcPr>
            <w:tcW w:w="709" w:type="dxa"/>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排查</w:t>
            </w:r>
          </w:p>
        </w:tc>
        <w:tc>
          <w:tcPr>
            <w:tcW w:w="850" w:type="dxa"/>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已整治</w:t>
            </w:r>
          </w:p>
        </w:tc>
        <w:tc>
          <w:tcPr>
            <w:tcW w:w="993" w:type="dxa"/>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整改率</w:t>
            </w:r>
          </w:p>
        </w:tc>
        <w:tc>
          <w:tcPr>
            <w:tcW w:w="1134" w:type="dxa"/>
            <w:vMerge w:val="continue"/>
            <w:noWrap w:val="0"/>
            <w:vAlign w:val="center"/>
          </w:tcPr>
          <w:p>
            <w:pPr>
              <w:spacing w:line="240" w:lineRule="exact"/>
              <w:jc w:val="left"/>
              <w:rPr>
                <w:rFonts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关闭</w:t>
            </w:r>
          </w:p>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取缔</w:t>
            </w:r>
          </w:p>
        </w:tc>
        <w:tc>
          <w:tcPr>
            <w:tcW w:w="992" w:type="dxa"/>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停产停业整顿企业</w:t>
            </w:r>
          </w:p>
        </w:tc>
        <w:tc>
          <w:tcPr>
            <w:tcW w:w="851" w:type="dxa"/>
            <w:noWrap w:val="0"/>
            <w:vAlign w:val="center"/>
          </w:tcPr>
          <w:p>
            <w:pPr>
              <w:spacing w:line="20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暂扣</w:t>
            </w:r>
          </w:p>
          <w:p>
            <w:pPr>
              <w:spacing w:line="20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吊销</w:t>
            </w:r>
          </w:p>
          <w:p>
            <w:pPr>
              <w:spacing w:line="20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许可证</w:t>
            </w:r>
          </w:p>
        </w:tc>
        <w:tc>
          <w:tcPr>
            <w:tcW w:w="992" w:type="dxa"/>
            <w:noWrap w:val="0"/>
            <w:vAlign w:val="center"/>
          </w:tcPr>
          <w:p>
            <w:pPr>
              <w:spacing w:line="24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处罚</w:t>
            </w:r>
          </w:p>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罚款</w:t>
            </w:r>
          </w:p>
        </w:tc>
        <w:tc>
          <w:tcPr>
            <w:tcW w:w="992" w:type="dxa"/>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追究刑事责任</w:t>
            </w:r>
          </w:p>
        </w:tc>
        <w:tc>
          <w:tcPr>
            <w:tcW w:w="993" w:type="dxa"/>
            <w:vMerge w:val="continue"/>
            <w:noWrap w:val="0"/>
            <w:vAlign w:val="center"/>
          </w:tcPr>
          <w:p>
            <w:pPr>
              <w:spacing w:line="240" w:lineRule="exact"/>
              <w:jc w:val="left"/>
              <w:rPr>
                <w:rFonts w:ascii="黑体" w:hAnsi="黑体" w:eastAsia="黑体" w:cs="宋体"/>
                <w:color w:val="000000"/>
                <w:kern w:val="0"/>
                <w:sz w:val="20"/>
                <w:szCs w:val="20"/>
              </w:rPr>
            </w:pPr>
          </w:p>
        </w:tc>
        <w:tc>
          <w:tcPr>
            <w:tcW w:w="850" w:type="dxa"/>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单位</w:t>
            </w:r>
          </w:p>
        </w:tc>
        <w:tc>
          <w:tcPr>
            <w:tcW w:w="791" w:type="dxa"/>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个人</w:t>
            </w:r>
          </w:p>
        </w:tc>
        <w:tc>
          <w:tcPr>
            <w:tcW w:w="567" w:type="dxa"/>
            <w:vMerge w:val="continue"/>
            <w:noWrap w:val="0"/>
            <w:vAlign w:val="center"/>
          </w:tcPr>
          <w:p>
            <w:pPr>
              <w:jc w:val="left"/>
              <w:rPr>
                <w:rFonts w:ascii="黑体" w:hAnsi="黑体" w:eastAsia="黑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9" w:hRule="atLeast"/>
          <w:jc w:val="center"/>
        </w:trPr>
        <w:tc>
          <w:tcPr>
            <w:tcW w:w="422" w:type="dxa"/>
            <w:vMerge w:val="continue"/>
            <w:noWrap w:val="0"/>
            <w:vAlign w:val="center"/>
          </w:tcPr>
          <w:p>
            <w:pPr>
              <w:jc w:val="left"/>
              <w:rPr>
                <w:rFonts w:ascii="黑体" w:hAnsi="黑体" w:eastAsia="黑体" w:cs="宋体"/>
                <w:color w:val="000000"/>
                <w:kern w:val="0"/>
                <w:sz w:val="20"/>
                <w:szCs w:val="20"/>
              </w:rPr>
            </w:pPr>
          </w:p>
        </w:tc>
        <w:tc>
          <w:tcPr>
            <w:tcW w:w="1295" w:type="dxa"/>
            <w:gridSpan w:val="2"/>
            <w:vMerge w:val="continue"/>
            <w:noWrap w:val="0"/>
            <w:vAlign w:val="center"/>
          </w:tcPr>
          <w:p>
            <w:pPr>
              <w:jc w:val="center"/>
              <w:rPr>
                <w:rFonts w:hint="eastAsia" w:ascii="黑体" w:hAnsi="黑体" w:eastAsia="黑体" w:cs="宋体"/>
                <w:color w:val="000000"/>
                <w:kern w:val="0"/>
                <w:sz w:val="20"/>
                <w:szCs w:val="20"/>
              </w:rPr>
            </w:pPr>
          </w:p>
        </w:tc>
        <w:tc>
          <w:tcPr>
            <w:tcW w:w="709" w:type="dxa"/>
            <w:noWrap w:val="0"/>
            <w:vAlign w:val="center"/>
          </w:tcPr>
          <w:p>
            <w:pPr>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家</w:t>
            </w:r>
          </w:p>
        </w:tc>
        <w:tc>
          <w:tcPr>
            <w:tcW w:w="709" w:type="dxa"/>
            <w:noWrap w:val="0"/>
            <w:vAlign w:val="center"/>
          </w:tcPr>
          <w:p>
            <w:pPr>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项</w:t>
            </w:r>
          </w:p>
        </w:tc>
        <w:tc>
          <w:tcPr>
            <w:tcW w:w="850" w:type="dxa"/>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项</w:t>
            </w:r>
          </w:p>
        </w:tc>
        <w:tc>
          <w:tcPr>
            <w:tcW w:w="993" w:type="dxa"/>
            <w:noWrap w:val="0"/>
            <w:vAlign w:val="center"/>
          </w:tcPr>
          <w:p>
            <w:pPr>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w:t>
            </w:r>
          </w:p>
        </w:tc>
        <w:tc>
          <w:tcPr>
            <w:tcW w:w="1134" w:type="dxa"/>
            <w:noWrap w:val="0"/>
            <w:vAlign w:val="center"/>
          </w:tcPr>
          <w:p>
            <w:pPr>
              <w:spacing w:line="32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起</w:t>
            </w:r>
          </w:p>
        </w:tc>
        <w:tc>
          <w:tcPr>
            <w:tcW w:w="850" w:type="dxa"/>
            <w:noWrap w:val="0"/>
            <w:vAlign w:val="center"/>
          </w:tcPr>
          <w:p>
            <w:pPr>
              <w:spacing w:line="32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家</w:t>
            </w:r>
          </w:p>
        </w:tc>
        <w:tc>
          <w:tcPr>
            <w:tcW w:w="992" w:type="dxa"/>
            <w:noWrap w:val="0"/>
            <w:vAlign w:val="center"/>
          </w:tcPr>
          <w:p>
            <w:pPr>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家</w:t>
            </w:r>
          </w:p>
        </w:tc>
        <w:tc>
          <w:tcPr>
            <w:tcW w:w="851" w:type="dxa"/>
            <w:noWrap w:val="0"/>
            <w:vAlign w:val="center"/>
          </w:tcPr>
          <w:p>
            <w:pPr>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家</w:t>
            </w:r>
          </w:p>
        </w:tc>
        <w:tc>
          <w:tcPr>
            <w:tcW w:w="992" w:type="dxa"/>
            <w:noWrap w:val="0"/>
            <w:vAlign w:val="center"/>
          </w:tcPr>
          <w:p>
            <w:pPr>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万元</w:t>
            </w:r>
          </w:p>
        </w:tc>
        <w:tc>
          <w:tcPr>
            <w:tcW w:w="992" w:type="dxa"/>
            <w:noWrap w:val="0"/>
            <w:vAlign w:val="center"/>
          </w:tcPr>
          <w:p>
            <w:pPr>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人</w:t>
            </w:r>
          </w:p>
        </w:tc>
        <w:tc>
          <w:tcPr>
            <w:tcW w:w="993" w:type="dxa"/>
            <w:noWrap w:val="0"/>
            <w:vAlign w:val="center"/>
          </w:tcPr>
          <w:p>
            <w:pPr>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家</w:t>
            </w:r>
          </w:p>
        </w:tc>
        <w:tc>
          <w:tcPr>
            <w:tcW w:w="850" w:type="dxa"/>
            <w:noWrap w:val="0"/>
            <w:vAlign w:val="center"/>
          </w:tcPr>
          <w:p>
            <w:pPr>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家</w:t>
            </w:r>
          </w:p>
        </w:tc>
        <w:tc>
          <w:tcPr>
            <w:tcW w:w="791" w:type="dxa"/>
            <w:noWrap w:val="0"/>
            <w:vAlign w:val="center"/>
          </w:tcPr>
          <w:p>
            <w:pPr>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人</w:t>
            </w:r>
          </w:p>
        </w:tc>
        <w:tc>
          <w:tcPr>
            <w:tcW w:w="567" w:type="dxa"/>
            <w:vMerge w:val="continue"/>
            <w:noWrap w:val="0"/>
            <w:vAlign w:val="center"/>
          </w:tcPr>
          <w:p>
            <w:pPr>
              <w:jc w:val="left"/>
              <w:rPr>
                <w:rFonts w:ascii="黑体" w:hAnsi="黑体" w:eastAsia="黑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5" w:hRule="atLeast"/>
          <w:jc w:val="center"/>
        </w:trPr>
        <w:tc>
          <w:tcPr>
            <w:tcW w:w="1717" w:type="dxa"/>
            <w:gridSpan w:val="3"/>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合  计</w:t>
            </w:r>
          </w:p>
        </w:tc>
        <w:tc>
          <w:tcPr>
            <w:tcW w:w="709" w:type="dxa"/>
            <w:noWrap w:val="0"/>
            <w:vAlign w:val="center"/>
          </w:tcPr>
          <w:p>
            <w:pPr>
              <w:spacing w:line="240" w:lineRule="exact"/>
              <w:jc w:val="center"/>
              <w:rPr>
                <w:rFonts w:ascii="黑体" w:hAnsi="黑体" w:eastAsia="黑体" w:cs="宋体"/>
                <w:color w:val="000000"/>
                <w:kern w:val="0"/>
                <w:sz w:val="20"/>
                <w:szCs w:val="20"/>
              </w:rPr>
            </w:pPr>
          </w:p>
        </w:tc>
        <w:tc>
          <w:tcPr>
            <w:tcW w:w="709" w:type="dxa"/>
            <w:noWrap w:val="0"/>
            <w:vAlign w:val="center"/>
          </w:tcPr>
          <w:p>
            <w:pPr>
              <w:spacing w:line="240" w:lineRule="exact"/>
              <w:jc w:val="center"/>
              <w:rPr>
                <w:rFonts w:ascii="黑体" w:hAnsi="黑体" w:eastAsia="黑体" w:cs="宋体"/>
                <w:color w:val="000000"/>
                <w:kern w:val="0"/>
                <w:sz w:val="20"/>
                <w:szCs w:val="20"/>
              </w:rPr>
            </w:pPr>
          </w:p>
        </w:tc>
        <w:tc>
          <w:tcPr>
            <w:tcW w:w="850" w:type="dxa"/>
            <w:noWrap w:val="0"/>
            <w:vAlign w:val="center"/>
          </w:tcPr>
          <w:p>
            <w:pPr>
              <w:spacing w:line="240" w:lineRule="exact"/>
              <w:jc w:val="center"/>
              <w:rPr>
                <w:rFonts w:ascii="黑体" w:hAnsi="黑体" w:eastAsia="黑体" w:cs="宋体"/>
                <w:color w:val="000000"/>
                <w:kern w:val="0"/>
                <w:sz w:val="20"/>
                <w:szCs w:val="20"/>
              </w:rPr>
            </w:pPr>
          </w:p>
        </w:tc>
        <w:tc>
          <w:tcPr>
            <w:tcW w:w="993" w:type="dxa"/>
            <w:noWrap w:val="0"/>
            <w:vAlign w:val="center"/>
          </w:tcPr>
          <w:p>
            <w:pPr>
              <w:spacing w:line="240" w:lineRule="exact"/>
              <w:jc w:val="center"/>
              <w:rPr>
                <w:rFonts w:ascii="黑体" w:hAnsi="黑体" w:eastAsia="黑体" w:cs="宋体"/>
                <w:color w:val="000000"/>
                <w:kern w:val="0"/>
                <w:sz w:val="20"/>
                <w:szCs w:val="20"/>
              </w:rPr>
            </w:pPr>
          </w:p>
        </w:tc>
        <w:tc>
          <w:tcPr>
            <w:tcW w:w="1134" w:type="dxa"/>
            <w:noWrap w:val="0"/>
            <w:vAlign w:val="center"/>
          </w:tcPr>
          <w:p>
            <w:pPr>
              <w:spacing w:line="240" w:lineRule="exact"/>
              <w:jc w:val="center"/>
              <w:rPr>
                <w:rFonts w:ascii="黑体" w:hAnsi="黑体" w:eastAsia="黑体" w:cs="宋体"/>
                <w:color w:val="000000"/>
                <w:kern w:val="0"/>
                <w:sz w:val="20"/>
                <w:szCs w:val="20"/>
              </w:rPr>
            </w:pPr>
          </w:p>
        </w:tc>
        <w:tc>
          <w:tcPr>
            <w:tcW w:w="850" w:type="dxa"/>
            <w:noWrap w:val="0"/>
            <w:vAlign w:val="center"/>
          </w:tcPr>
          <w:p>
            <w:pPr>
              <w:spacing w:line="240" w:lineRule="exact"/>
              <w:jc w:val="center"/>
              <w:rPr>
                <w:rFonts w:ascii="黑体" w:hAnsi="黑体" w:eastAsia="黑体" w:cs="宋体"/>
                <w:color w:val="000000"/>
                <w:kern w:val="0"/>
                <w:sz w:val="20"/>
                <w:szCs w:val="20"/>
              </w:rPr>
            </w:pPr>
          </w:p>
        </w:tc>
        <w:tc>
          <w:tcPr>
            <w:tcW w:w="992" w:type="dxa"/>
            <w:noWrap w:val="0"/>
            <w:vAlign w:val="center"/>
          </w:tcPr>
          <w:p>
            <w:pPr>
              <w:spacing w:line="240" w:lineRule="exact"/>
              <w:jc w:val="center"/>
              <w:rPr>
                <w:rFonts w:ascii="黑体" w:hAnsi="黑体" w:eastAsia="黑体" w:cs="宋体"/>
                <w:color w:val="000000"/>
                <w:kern w:val="0"/>
                <w:sz w:val="20"/>
                <w:szCs w:val="20"/>
              </w:rPr>
            </w:pPr>
          </w:p>
        </w:tc>
        <w:tc>
          <w:tcPr>
            <w:tcW w:w="851" w:type="dxa"/>
            <w:noWrap w:val="0"/>
            <w:vAlign w:val="center"/>
          </w:tcPr>
          <w:p>
            <w:pPr>
              <w:spacing w:line="240" w:lineRule="exact"/>
              <w:jc w:val="center"/>
              <w:rPr>
                <w:rFonts w:ascii="黑体" w:hAnsi="黑体" w:eastAsia="黑体" w:cs="宋体"/>
                <w:color w:val="000000"/>
                <w:kern w:val="0"/>
                <w:sz w:val="20"/>
                <w:szCs w:val="20"/>
              </w:rPr>
            </w:pPr>
          </w:p>
        </w:tc>
        <w:tc>
          <w:tcPr>
            <w:tcW w:w="992" w:type="dxa"/>
            <w:noWrap w:val="0"/>
            <w:vAlign w:val="center"/>
          </w:tcPr>
          <w:p>
            <w:pPr>
              <w:spacing w:line="240" w:lineRule="exact"/>
              <w:jc w:val="center"/>
              <w:rPr>
                <w:rFonts w:ascii="黑体" w:hAnsi="黑体" w:eastAsia="黑体" w:cs="宋体"/>
                <w:color w:val="000000"/>
                <w:kern w:val="0"/>
                <w:sz w:val="20"/>
                <w:szCs w:val="20"/>
              </w:rPr>
            </w:pPr>
          </w:p>
        </w:tc>
        <w:tc>
          <w:tcPr>
            <w:tcW w:w="992" w:type="dxa"/>
            <w:noWrap w:val="0"/>
            <w:vAlign w:val="center"/>
          </w:tcPr>
          <w:p>
            <w:pPr>
              <w:spacing w:line="240" w:lineRule="exact"/>
              <w:jc w:val="center"/>
              <w:rPr>
                <w:rFonts w:ascii="黑体" w:hAnsi="黑体" w:eastAsia="黑体" w:cs="宋体"/>
                <w:color w:val="000000"/>
                <w:kern w:val="0"/>
                <w:sz w:val="20"/>
                <w:szCs w:val="20"/>
              </w:rPr>
            </w:pPr>
          </w:p>
        </w:tc>
        <w:tc>
          <w:tcPr>
            <w:tcW w:w="993" w:type="dxa"/>
            <w:noWrap w:val="0"/>
            <w:vAlign w:val="center"/>
          </w:tcPr>
          <w:p>
            <w:pPr>
              <w:spacing w:line="240" w:lineRule="exact"/>
              <w:jc w:val="center"/>
              <w:rPr>
                <w:rFonts w:ascii="黑体" w:hAnsi="黑体" w:eastAsia="黑体" w:cs="宋体"/>
                <w:color w:val="000000"/>
                <w:kern w:val="0"/>
                <w:sz w:val="20"/>
                <w:szCs w:val="20"/>
              </w:rPr>
            </w:pPr>
          </w:p>
        </w:tc>
        <w:tc>
          <w:tcPr>
            <w:tcW w:w="850" w:type="dxa"/>
            <w:noWrap w:val="0"/>
            <w:vAlign w:val="center"/>
          </w:tcPr>
          <w:p>
            <w:pPr>
              <w:spacing w:line="240" w:lineRule="exact"/>
              <w:jc w:val="center"/>
              <w:rPr>
                <w:rFonts w:ascii="黑体" w:hAnsi="黑体" w:eastAsia="黑体" w:cs="宋体"/>
                <w:color w:val="000000"/>
                <w:kern w:val="0"/>
                <w:sz w:val="20"/>
                <w:szCs w:val="20"/>
              </w:rPr>
            </w:pPr>
          </w:p>
        </w:tc>
        <w:tc>
          <w:tcPr>
            <w:tcW w:w="791" w:type="dxa"/>
            <w:noWrap w:val="0"/>
            <w:vAlign w:val="center"/>
          </w:tcPr>
          <w:p>
            <w:pPr>
              <w:spacing w:line="240" w:lineRule="exact"/>
              <w:jc w:val="center"/>
              <w:rPr>
                <w:rFonts w:ascii="黑体" w:hAnsi="黑体" w:eastAsia="黑体" w:cs="宋体"/>
                <w:color w:val="000000"/>
                <w:kern w:val="0"/>
                <w:sz w:val="20"/>
                <w:szCs w:val="20"/>
              </w:rPr>
            </w:pPr>
          </w:p>
        </w:tc>
        <w:tc>
          <w:tcPr>
            <w:tcW w:w="567" w:type="dxa"/>
            <w:noWrap w:val="0"/>
            <w:vAlign w:val="center"/>
          </w:tcPr>
          <w:p>
            <w:pPr>
              <w:spacing w:line="240" w:lineRule="exact"/>
              <w:jc w:val="center"/>
              <w:rPr>
                <w:rFonts w:ascii="黑体" w:hAnsi="黑体" w:eastAsia="黑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422" w:type="dxa"/>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1</w:t>
            </w:r>
          </w:p>
        </w:tc>
        <w:tc>
          <w:tcPr>
            <w:tcW w:w="1295" w:type="dxa"/>
            <w:gridSpan w:val="2"/>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建筑施工</w:t>
            </w:r>
          </w:p>
        </w:tc>
        <w:tc>
          <w:tcPr>
            <w:tcW w:w="709" w:type="dxa"/>
            <w:noWrap w:val="0"/>
            <w:vAlign w:val="center"/>
          </w:tcPr>
          <w:p>
            <w:pPr>
              <w:spacing w:line="240" w:lineRule="exact"/>
              <w:jc w:val="center"/>
              <w:rPr>
                <w:rFonts w:ascii="仿宋" w:hAnsi="仿宋" w:cs="宋体"/>
                <w:color w:val="000000"/>
                <w:kern w:val="0"/>
                <w:sz w:val="20"/>
                <w:szCs w:val="20"/>
              </w:rPr>
            </w:pPr>
          </w:p>
        </w:tc>
        <w:tc>
          <w:tcPr>
            <w:tcW w:w="709" w:type="dxa"/>
            <w:noWrap w:val="0"/>
            <w:vAlign w:val="center"/>
          </w:tcPr>
          <w:p>
            <w:pPr>
              <w:spacing w:line="240" w:lineRule="exact"/>
              <w:jc w:val="center"/>
              <w:rPr>
                <w:rFonts w:ascii="仿宋" w:hAnsi="仿宋" w:cs="宋体"/>
                <w:color w:val="000000"/>
                <w:kern w:val="0"/>
                <w:sz w:val="20"/>
                <w:szCs w:val="20"/>
              </w:rPr>
            </w:pPr>
          </w:p>
        </w:tc>
        <w:tc>
          <w:tcPr>
            <w:tcW w:w="850" w:type="dxa"/>
            <w:noWrap w:val="0"/>
            <w:vAlign w:val="center"/>
          </w:tcPr>
          <w:p>
            <w:pPr>
              <w:spacing w:line="240" w:lineRule="exact"/>
              <w:jc w:val="center"/>
              <w:rPr>
                <w:rFonts w:ascii="仿宋" w:hAnsi="仿宋" w:cs="宋体"/>
                <w:color w:val="000000"/>
                <w:kern w:val="0"/>
                <w:sz w:val="20"/>
                <w:szCs w:val="20"/>
              </w:rPr>
            </w:pPr>
          </w:p>
        </w:tc>
        <w:tc>
          <w:tcPr>
            <w:tcW w:w="993" w:type="dxa"/>
            <w:noWrap w:val="0"/>
            <w:vAlign w:val="center"/>
          </w:tcPr>
          <w:p>
            <w:pPr>
              <w:spacing w:line="240" w:lineRule="exact"/>
              <w:jc w:val="center"/>
              <w:rPr>
                <w:rFonts w:ascii="仿宋" w:hAnsi="仿宋" w:cs="宋体"/>
                <w:color w:val="000000"/>
                <w:kern w:val="0"/>
                <w:sz w:val="20"/>
                <w:szCs w:val="20"/>
              </w:rPr>
            </w:pPr>
          </w:p>
        </w:tc>
        <w:tc>
          <w:tcPr>
            <w:tcW w:w="1134" w:type="dxa"/>
            <w:noWrap w:val="0"/>
            <w:vAlign w:val="center"/>
          </w:tcPr>
          <w:p>
            <w:pPr>
              <w:spacing w:line="240" w:lineRule="exact"/>
              <w:jc w:val="center"/>
              <w:rPr>
                <w:rFonts w:ascii="仿宋" w:hAnsi="仿宋" w:cs="宋体"/>
                <w:color w:val="000000"/>
                <w:kern w:val="0"/>
                <w:sz w:val="20"/>
                <w:szCs w:val="20"/>
              </w:rPr>
            </w:pPr>
          </w:p>
        </w:tc>
        <w:tc>
          <w:tcPr>
            <w:tcW w:w="850" w:type="dxa"/>
            <w:noWrap w:val="0"/>
            <w:vAlign w:val="center"/>
          </w:tcPr>
          <w:p>
            <w:pPr>
              <w:spacing w:line="240" w:lineRule="exact"/>
              <w:jc w:val="center"/>
              <w:rPr>
                <w:rFonts w:hint="eastAsia" w:ascii="仿宋" w:hAnsi="仿宋" w:cs="宋体"/>
                <w:color w:val="000000"/>
                <w:kern w:val="0"/>
                <w:sz w:val="20"/>
                <w:szCs w:val="20"/>
              </w:rPr>
            </w:pPr>
          </w:p>
        </w:tc>
        <w:tc>
          <w:tcPr>
            <w:tcW w:w="992" w:type="dxa"/>
            <w:noWrap w:val="0"/>
            <w:vAlign w:val="center"/>
          </w:tcPr>
          <w:p>
            <w:pPr>
              <w:spacing w:line="240" w:lineRule="exact"/>
              <w:jc w:val="center"/>
              <w:rPr>
                <w:rFonts w:hint="eastAsia" w:ascii="仿宋" w:hAnsi="仿宋" w:cs="宋体"/>
                <w:color w:val="000000"/>
                <w:kern w:val="0"/>
                <w:sz w:val="20"/>
                <w:szCs w:val="20"/>
              </w:rPr>
            </w:pPr>
          </w:p>
        </w:tc>
        <w:tc>
          <w:tcPr>
            <w:tcW w:w="851" w:type="dxa"/>
            <w:noWrap w:val="0"/>
            <w:vAlign w:val="center"/>
          </w:tcPr>
          <w:p>
            <w:pPr>
              <w:spacing w:line="240" w:lineRule="exact"/>
              <w:jc w:val="center"/>
              <w:rPr>
                <w:rFonts w:ascii="仿宋" w:hAnsi="仿宋" w:cs="宋体"/>
                <w:color w:val="000000"/>
                <w:kern w:val="0"/>
                <w:sz w:val="20"/>
                <w:szCs w:val="20"/>
              </w:rPr>
            </w:pPr>
          </w:p>
        </w:tc>
        <w:tc>
          <w:tcPr>
            <w:tcW w:w="992" w:type="dxa"/>
            <w:noWrap w:val="0"/>
            <w:vAlign w:val="center"/>
          </w:tcPr>
          <w:p>
            <w:pPr>
              <w:spacing w:line="240" w:lineRule="exact"/>
              <w:jc w:val="center"/>
              <w:rPr>
                <w:rFonts w:ascii="仿宋" w:hAnsi="仿宋" w:cs="宋体"/>
                <w:color w:val="000000"/>
                <w:kern w:val="0"/>
                <w:sz w:val="20"/>
                <w:szCs w:val="20"/>
              </w:rPr>
            </w:pPr>
          </w:p>
        </w:tc>
        <w:tc>
          <w:tcPr>
            <w:tcW w:w="992" w:type="dxa"/>
            <w:noWrap w:val="0"/>
            <w:vAlign w:val="center"/>
          </w:tcPr>
          <w:p>
            <w:pPr>
              <w:spacing w:line="240" w:lineRule="exact"/>
              <w:jc w:val="center"/>
              <w:rPr>
                <w:rFonts w:ascii="仿宋" w:hAnsi="仿宋" w:cs="宋体"/>
                <w:color w:val="000000"/>
                <w:kern w:val="0"/>
                <w:sz w:val="20"/>
                <w:szCs w:val="20"/>
              </w:rPr>
            </w:pPr>
          </w:p>
        </w:tc>
        <w:tc>
          <w:tcPr>
            <w:tcW w:w="993" w:type="dxa"/>
            <w:noWrap w:val="0"/>
            <w:vAlign w:val="center"/>
          </w:tcPr>
          <w:p>
            <w:pPr>
              <w:spacing w:line="240" w:lineRule="exact"/>
              <w:jc w:val="center"/>
              <w:rPr>
                <w:rFonts w:ascii="仿宋" w:hAnsi="仿宋" w:cs="宋体"/>
                <w:color w:val="000000"/>
                <w:kern w:val="0"/>
                <w:sz w:val="20"/>
                <w:szCs w:val="20"/>
              </w:rPr>
            </w:pPr>
          </w:p>
        </w:tc>
        <w:tc>
          <w:tcPr>
            <w:tcW w:w="850" w:type="dxa"/>
            <w:noWrap w:val="0"/>
            <w:vAlign w:val="center"/>
          </w:tcPr>
          <w:p>
            <w:pPr>
              <w:spacing w:line="240" w:lineRule="exact"/>
              <w:jc w:val="center"/>
              <w:rPr>
                <w:rFonts w:ascii="仿宋" w:hAnsi="仿宋" w:cs="宋体"/>
                <w:color w:val="000000"/>
                <w:kern w:val="0"/>
                <w:sz w:val="20"/>
                <w:szCs w:val="20"/>
              </w:rPr>
            </w:pPr>
          </w:p>
        </w:tc>
        <w:tc>
          <w:tcPr>
            <w:tcW w:w="791" w:type="dxa"/>
            <w:noWrap w:val="0"/>
            <w:vAlign w:val="center"/>
          </w:tcPr>
          <w:p>
            <w:pPr>
              <w:spacing w:line="240" w:lineRule="exact"/>
              <w:jc w:val="center"/>
              <w:rPr>
                <w:rFonts w:ascii="仿宋" w:hAnsi="仿宋" w:cs="宋体"/>
                <w:color w:val="000000"/>
                <w:kern w:val="0"/>
                <w:sz w:val="20"/>
                <w:szCs w:val="20"/>
              </w:rPr>
            </w:pPr>
          </w:p>
        </w:tc>
        <w:tc>
          <w:tcPr>
            <w:tcW w:w="567" w:type="dxa"/>
            <w:noWrap w:val="0"/>
            <w:vAlign w:val="center"/>
          </w:tcPr>
          <w:p>
            <w:pPr>
              <w:spacing w:line="240" w:lineRule="exact"/>
              <w:jc w:val="center"/>
              <w:rPr>
                <w:rFonts w:ascii="仿宋" w:hAnsi="仿宋" w:cs="宋体"/>
                <w:b/>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422" w:type="dxa"/>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2</w:t>
            </w:r>
          </w:p>
        </w:tc>
        <w:tc>
          <w:tcPr>
            <w:tcW w:w="1295" w:type="dxa"/>
            <w:gridSpan w:val="2"/>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燃气</w:t>
            </w:r>
          </w:p>
        </w:tc>
        <w:tc>
          <w:tcPr>
            <w:tcW w:w="709" w:type="dxa"/>
            <w:noWrap w:val="0"/>
            <w:vAlign w:val="center"/>
          </w:tcPr>
          <w:p>
            <w:pPr>
              <w:spacing w:line="240" w:lineRule="exact"/>
              <w:jc w:val="center"/>
              <w:rPr>
                <w:rFonts w:ascii="黑体" w:hAnsi="黑体" w:eastAsia="黑体" w:cs="宋体"/>
                <w:color w:val="000000"/>
                <w:kern w:val="0"/>
                <w:sz w:val="20"/>
                <w:szCs w:val="20"/>
              </w:rPr>
            </w:pPr>
          </w:p>
        </w:tc>
        <w:tc>
          <w:tcPr>
            <w:tcW w:w="709" w:type="dxa"/>
            <w:noWrap w:val="0"/>
            <w:vAlign w:val="center"/>
          </w:tcPr>
          <w:p>
            <w:pPr>
              <w:spacing w:line="240" w:lineRule="exact"/>
              <w:jc w:val="center"/>
              <w:rPr>
                <w:rFonts w:ascii="黑体" w:hAnsi="黑体" w:eastAsia="黑体" w:cs="宋体"/>
                <w:color w:val="000000"/>
                <w:kern w:val="0"/>
                <w:sz w:val="20"/>
                <w:szCs w:val="20"/>
              </w:rPr>
            </w:pPr>
          </w:p>
        </w:tc>
        <w:tc>
          <w:tcPr>
            <w:tcW w:w="850" w:type="dxa"/>
            <w:noWrap w:val="0"/>
            <w:vAlign w:val="center"/>
          </w:tcPr>
          <w:p>
            <w:pPr>
              <w:spacing w:line="240" w:lineRule="exact"/>
              <w:jc w:val="center"/>
              <w:rPr>
                <w:rFonts w:ascii="黑体" w:hAnsi="黑体" w:eastAsia="黑体" w:cs="宋体"/>
                <w:color w:val="000000"/>
                <w:kern w:val="0"/>
                <w:sz w:val="20"/>
                <w:szCs w:val="20"/>
              </w:rPr>
            </w:pPr>
          </w:p>
        </w:tc>
        <w:tc>
          <w:tcPr>
            <w:tcW w:w="993" w:type="dxa"/>
            <w:noWrap w:val="0"/>
            <w:vAlign w:val="center"/>
          </w:tcPr>
          <w:p>
            <w:pPr>
              <w:spacing w:line="240" w:lineRule="exact"/>
              <w:jc w:val="center"/>
              <w:rPr>
                <w:rFonts w:ascii="黑体" w:hAnsi="黑体" w:eastAsia="黑体" w:cs="宋体"/>
                <w:color w:val="000000"/>
                <w:kern w:val="0"/>
                <w:sz w:val="20"/>
                <w:szCs w:val="20"/>
              </w:rPr>
            </w:pPr>
          </w:p>
        </w:tc>
        <w:tc>
          <w:tcPr>
            <w:tcW w:w="1134" w:type="dxa"/>
            <w:noWrap w:val="0"/>
            <w:vAlign w:val="center"/>
          </w:tcPr>
          <w:p>
            <w:pPr>
              <w:spacing w:line="240" w:lineRule="exact"/>
              <w:jc w:val="center"/>
              <w:rPr>
                <w:rFonts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ascii="黑体" w:hAnsi="黑体" w:eastAsia="黑体" w:cs="宋体"/>
                <w:color w:val="000000"/>
                <w:kern w:val="0"/>
                <w:sz w:val="20"/>
                <w:szCs w:val="20"/>
              </w:rPr>
            </w:pPr>
          </w:p>
        </w:tc>
        <w:tc>
          <w:tcPr>
            <w:tcW w:w="851"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ascii="黑体" w:hAnsi="黑体" w:eastAsia="黑体" w:cs="宋体"/>
                <w:color w:val="000000"/>
                <w:kern w:val="0"/>
                <w:sz w:val="20"/>
                <w:szCs w:val="20"/>
              </w:rPr>
            </w:pPr>
          </w:p>
        </w:tc>
        <w:tc>
          <w:tcPr>
            <w:tcW w:w="791" w:type="dxa"/>
            <w:noWrap w:val="0"/>
            <w:vAlign w:val="center"/>
          </w:tcPr>
          <w:p>
            <w:pPr>
              <w:spacing w:line="240" w:lineRule="exact"/>
              <w:jc w:val="center"/>
              <w:rPr>
                <w:rFonts w:ascii="黑体" w:hAnsi="黑体" w:eastAsia="黑体" w:cs="宋体"/>
                <w:color w:val="000000"/>
                <w:kern w:val="0"/>
                <w:sz w:val="20"/>
                <w:szCs w:val="20"/>
              </w:rPr>
            </w:pPr>
          </w:p>
        </w:tc>
        <w:tc>
          <w:tcPr>
            <w:tcW w:w="567" w:type="dxa"/>
            <w:noWrap w:val="0"/>
            <w:vAlign w:val="center"/>
          </w:tcPr>
          <w:p>
            <w:pPr>
              <w:spacing w:line="240" w:lineRule="exact"/>
              <w:jc w:val="center"/>
              <w:rPr>
                <w:rFonts w:ascii="黑体" w:hAnsi="黑体" w:eastAsia="黑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8" w:hRule="atLeast"/>
          <w:jc w:val="center"/>
        </w:trPr>
        <w:tc>
          <w:tcPr>
            <w:tcW w:w="422" w:type="dxa"/>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3</w:t>
            </w:r>
          </w:p>
        </w:tc>
        <w:tc>
          <w:tcPr>
            <w:tcW w:w="1295" w:type="dxa"/>
            <w:gridSpan w:val="2"/>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hint="eastAsia" w:ascii="黑体" w:hAnsi="黑体" w:eastAsia="黑体" w:cs="宋体"/>
                <w:color w:val="000000"/>
                <w:kern w:val="0"/>
                <w:sz w:val="20"/>
                <w:szCs w:val="20"/>
              </w:rPr>
            </w:pPr>
          </w:p>
        </w:tc>
        <w:tc>
          <w:tcPr>
            <w:tcW w:w="1134"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851"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791" w:type="dxa"/>
            <w:noWrap w:val="0"/>
            <w:vAlign w:val="center"/>
          </w:tcPr>
          <w:p>
            <w:pPr>
              <w:spacing w:line="240" w:lineRule="exact"/>
              <w:jc w:val="center"/>
              <w:rPr>
                <w:rFonts w:hint="eastAsia" w:ascii="黑体" w:hAnsi="黑体" w:eastAsia="黑体" w:cs="宋体"/>
                <w:color w:val="000000"/>
                <w:kern w:val="0"/>
                <w:sz w:val="20"/>
                <w:szCs w:val="20"/>
              </w:rPr>
            </w:pPr>
          </w:p>
        </w:tc>
        <w:tc>
          <w:tcPr>
            <w:tcW w:w="567" w:type="dxa"/>
            <w:noWrap w:val="0"/>
            <w:vAlign w:val="center"/>
          </w:tcPr>
          <w:p>
            <w:pPr>
              <w:spacing w:line="240" w:lineRule="exact"/>
              <w:jc w:val="center"/>
              <w:rPr>
                <w:rFonts w:ascii="黑体" w:hAnsi="黑体" w:eastAsia="黑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 w:hRule="atLeast"/>
          <w:jc w:val="center"/>
        </w:trPr>
        <w:tc>
          <w:tcPr>
            <w:tcW w:w="422" w:type="dxa"/>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4</w:t>
            </w:r>
          </w:p>
        </w:tc>
        <w:tc>
          <w:tcPr>
            <w:tcW w:w="1295" w:type="dxa"/>
            <w:gridSpan w:val="2"/>
            <w:noWrap w:val="0"/>
            <w:vAlign w:val="center"/>
          </w:tcPr>
          <w:p>
            <w:pPr>
              <w:spacing w:line="240" w:lineRule="exact"/>
              <w:jc w:val="center"/>
              <w:rPr>
                <w:rFonts w:ascii="黑体" w:hAnsi="黑体" w:eastAsia="黑体" w:cs="宋体"/>
                <w:color w:val="000000"/>
                <w:kern w:val="0"/>
                <w:sz w:val="20"/>
                <w:szCs w:val="20"/>
              </w:rPr>
            </w:pPr>
          </w:p>
        </w:tc>
        <w:tc>
          <w:tcPr>
            <w:tcW w:w="709" w:type="dxa"/>
            <w:noWrap w:val="0"/>
            <w:vAlign w:val="center"/>
          </w:tcPr>
          <w:p>
            <w:pPr>
              <w:spacing w:line="240" w:lineRule="exact"/>
              <w:jc w:val="center"/>
              <w:rPr>
                <w:rFonts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ascii="黑体" w:hAnsi="黑体" w:eastAsia="黑体" w:cs="宋体"/>
                <w:color w:val="000000"/>
                <w:kern w:val="0"/>
                <w:sz w:val="20"/>
                <w:szCs w:val="20"/>
              </w:rPr>
            </w:pPr>
          </w:p>
        </w:tc>
        <w:tc>
          <w:tcPr>
            <w:tcW w:w="1134"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851"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791" w:type="dxa"/>
            <w:noWrap w:val="0"/>
            <w:vAlign w:val="center"/>
          </w:tcPr>
          <w:p>
            <w:pPr>
              <w:spacing w:line="240" w:lineRule="exact"/>
              <w:jc w:val="center"/>
              <w:rPr>
                <w:rFonts w:hint="eastAsia" w:ascii="黑体" w:hAnsi="黑体" w:eastAsia="黑体" w:cs="宋体"/>
                <w:color w:val="000000"/>
                <w:kern w:val="0"/>
                <w:sz w:val="20"/>
                <w:szCs w:val="20"/>
              </w:rPr>
            </w:pPr>
          </w:p>
        </w:tc>
        <w:tc>
          <w:tcPr>
            <w:tcW w:w="567" w:type="dxa"/>
            <w:noWrap w:val="0"/>
            <w:vAlign w:val="center"/>
          </w:tcPr>
          <w:p>
            <w:pPr>
              <w:spacing w:line="240" w:lineRule="exact"/>
              <w:jc w:val="center"/>
              <w:rPr>
                <w:rFonts w:hint="eastAsia" w:ascii="黑体" w:hAnsi="黑体" w:eastAsia="黑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2" w:hRule="atLeast"/>
          <w:jc w:val="center"/>
        </w:trPr>
        <w:tc>
          <w:tcPr>
            <w:tcW w:w="422" w:type="dxa"/>
            <w:noWrap w:val="0"/>
            <w:vAlign w:val="center"/>
          </w:tcPr>
          <w:p>
            <w:pPr>
              <w:spacing w:line="24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5</w:t>
            </w:r>
          </w:p>
        </w:tc>
        <w:tc>
          <w:tcPr>
            <w:tcW w:w="1295" w:type="dxa"/>
            <w:gridSpan w:val="2"/>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ascii="黑体" w:hAnsi="黑体" w:eastAsia="黑体" w:cs="宋体"/>
                <w:color w:val="000000"/>
                <w:kern w:val="0"/>
                <w:sz w:val="20"/>
                <w:szCs w:val="20"/>
              </w:rPr>
            </w:pPr>
          </w:p>
        </w:tc>
        <w:tc>
          <w:tcPr>
            <w:tcW w:w="1134"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851"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791" w:type="dxa"/>
            <w:noWrap w:val="0"/>
            <w:vAlign w:val="center"/>
          </w:tcPr>
          <w:p>
            <w:pPr>
              <w:spacing w:line="240" w:lineRule="exact"/>
              <w:jc w:val="center"/>
              <w:rPr>
                <w:rFonts w:hint="eastAsia" w:ascii="黑体" w:hAnsi="黑体" w:eastAsia="黑体" w:cs="宋体"/>
                <w:color w:val="000000"/>
                <w:kern w:val="0"/>
                <w:sz w:val="20"/>
                <w:szCs w:val="20"/>
              </w:rPr>
            </w:pPr>
          </w:p>
        </w:tc>
        <w:tc>
          <w:tcPr>
            <w:tcW w:w="567" w:type="dxa"/>
            <w:noWrap w:val="0"/>
            <w:vAlign w:val="center"/>
          </w:tcPr>
          <w:p>
            <w:pPr>
              <w:spacing w:line="240" w:lineRule="exact"/>
              <w:jc w:val="center"/>
              <w:rPr>
                <w:rFonts w:ascii="黑体" w:hAnsi="黑体" w:eastAsia="黑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2" w:hRule="atLeast"/>
          <w:jc w:val="center"/>
        </w:trPr>
        <w:tc>
          <w:tcPr>
            <w:tcW w:w="422" w:type="dxa"/>
            <w:noWrap w:val="0"/>
            <w:vAlign w:val="center"/>
          </w:tcPr>
          <w:p>
            <w:pPr>
              <w:spacing w:line="24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6</w:t>
            </w:r>
          </w:p>
        </w:tc>
        <w:tc>
          <w:tcPr>
            <w:tcW w:w="1295" w:type="dxa"/>
            <w:gridSpan w:val="2"/>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ascii="黑体" w:hAnsi="黑体" w:eastAsia="黑体" w:cs="宋体"/>
                <w:color w:val="000000"/>
                <w:kern w:val="0"/>
                <w:sz w:val="20"/>
                <w:szCs w:val="20"/>
              </w:rPr>
            </w:pPr>
          </w:p>
        </w:tc>
        <w:tc>
          <w:tcPr>
            <w:tcW w:w="1134"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851"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791" w:type="dxa"/>
            <w:noWrap w:val="0"/>
            <w:vAlign w:val="center"/>
          </w:tcPr>
          <w:p>
            <w:pPr>
              <w:spacing w:line="240" w:lineRule="exact"/>
              <w:jc w:val="center"/>
              <w:rPr>
                <w:rFonts w:hint="eastAsia" w:ascii="黑体" w:hAnsi="黑体" w:eastAsia="黑体" w:cs="宋体"/>
                <w:color w:val="000000"/>
                <w:kern w:val="0"/>
                <w:sz w:val="20"/>
                <w:szCs w:val="20"/>
              </w:rPr>
            </w:pPr>
          </w:p>
        </w:tc>
        <w:tc>
          <w:tcPr>
            <w:tcW w:w="567" w:type="dxa"/>
            <w:noWrap w:val="0"/>
            <w:vAlign w:val="center"/>
          </w:tcPr>
          <w:p>
            <w:pPr>
              <w:spacing w:line="240" w:lineRule="exact"/>
              <w:jc w:val="center"/>
              <w:rPr>
                <w:rFonts w:ascii="黑体" w:hAnsi="黑体" w:eastAsia="黑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422" w:type="dxa"/>
            <w:noWrap w:val="0"/>
            <w:vAlign w:val="center"/>
          </w:tcPr>
          <w:p>
            <w:pPr>
              <w:spacing w:line="24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7</w:t>
            </w:r>
          </w:p>
        </w:tc>
        <w:tc>
          <w:tcPr>
            <w:tcW w:w="1295" w:type="dxa"/>
            <w:gridSpan w:val="2"/>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ascii="黑体" w:hAnsi="黑体" w:eastAsia="黑体" w:cs="宋体"/>
                <w:color w:val="000000"/>
                <w:kern w:val="0"/>
                <w:sz w:val="20"/>
                <w:szCs w:val="20"/>
              </w:rPr>
            </w:pPr>
          </w:p>
        </w:tc>
        <w:tc>
          <w:tcPr>
            <w:tcW w:w="1134"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851"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791" w:type="dxa"/>
            <w:noWrap w:val="0"/>
            <w:vAlign w:val="center"/>
          </w:tcPr>
          <w:p>
            <w:pPr>
              <w:spacing w:line="240" w:lineRule="exact"/>
              <w:jc w:val="center"/>
              <w:rPr>
                <w:rFonts w:hint="eastAsia" w:ascii="黑体" w:hAnsi="黑体" w:eastAsia="黑体" w:cs="宋体"/>
                <w:color w:val="000000"/>
                <w:kern w:val="0"/>
                <w:sz w:val="20"/>
                <w:szCs w:val="20"/>
              </w:rPr>
            </w:pPr>
          </w:p>
        </w:tc>
        <w:tc>
          <w:tcPr>
            <w:tcW w:w="567" w:type="dxa"/>
            <w:noWrap w:val="0"/>
            <w:vAlign w:val="center"/>
          </w:tcPr>
          <w:p>
            <w:pPr>
              <w:spacing w:line="240" w:lineRule="exact"/>
              <w:jc w:val="center"/>
              <w:rPr>
                <w:rFonts w:ascii="黑体" w:hAnsi="黑体" w:eastAsia="黑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4" w:hRule="atLeast"/>
          <w:jc w:val="center"/>
        </w:trPr>
        <w:tc>
          <w:tcPr>
            <w:tcW w:w="422" w:type="dxa"/>
            <w:noWrap w:val="0"/>
            <w:vAlign w:val="center"/>
          </w:tcPr>
          <w:p>
            <w:pPr>
              <w:spacing w:line="24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8</w:t>
            </w:r>
          </w:p>
        </w:tc>
        <w:tc>
          <w:tcPr>
            <w:tcW w:w="1295" w:type="dxa"/>
            <w:gridSpan w:val="2"/>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ascii="黑体" w:hAnsi="黑体" w:eastAsia="黑体" w:cs="宋体"/>
                <w:color w:val="000000"/>
                <w:kern w:val="0"/>
                <w:sz w:val="20"/>
                <w:szCs w:val="20"/>
              </w:rPr>
            </w:pPr>
          </w:p>
        </w:tc>
        <w:tc>
          <w:tcPr>
            <w:tcW w:w="1134"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851"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791" w:type="dxa"/>
            <w:noWrap w:val="0"/>
            <w:vAlign w:val="center"/>
          </w:tcPr>
          <w:p>
            <w:pPr>
              <w:spacing w:line="240" w:lineRule="exact"/>
              <w:jc w:val="center"/>
              <w:rPr>
                <w:rFonts w:hint="eastAsia" w:ascii="黑体" w:hAnsi="黑体" w:eastAsia="黑体" w:cs="宋体"/>
                <w:color w:val="000000"/>
                <w:kern w:val="0"/>
                <w:sz w:val="20"/>
                <w:szCs w:val="20"/>
              </w:rPr>
            </w:pPr>
          </w:p>
        </w:tc>
        <w:tc>
          <w:tcPr>
            <w:tcW w:w="567" w:type="dxa"/>
            <w:noWrap w:val="0"/>
            <w:vAlign w:val="center"/>
          </w:tcPr>
          <w:p>
            <w:pPr>
              <w:spacing w:line="240" w:lineRule="exact"/>
              <w:jc w:val="center"/>
              <w:rPr>
                <w:rFonts w:ascii="黑体" w:hAnsi="黑体" w:eastAsia="黑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3" w:hRule="atLeast"/>
          <w:jc w:val="center"/>
        </w:trPr>
        <w:tc>
          <w:tcPr>
            <w:tcW w:w="422" w:type="dxa"/>
            <w:noWrap w:val="0"/>
            <w:vAlign w:val="center"/>
          </w:tcPr>
          <w:p>
            <w:pPr>
              <w:spacing w:line="24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9</w:t>
            </w:r>
          </w:p>
        </w:tc>
        <w:tc>
          <w:tcPr>
            <w:tcW w:w="1295" w:type="dxa"/>
            <w:gridSpan w:val="2"/>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ascii="黑体" w:hAnsi="黑体" w:eastAsia="黑体" w:cs="宋体"/>
                <w:color w:val="000000"/>
                <w:kern w:val="0"/>
                <w:sz w:val="20"/>
                <w:szCs w:val="20"/>
              </w:rPr>
            </w:pPr>
          </w:p>
        </w:tc>
        <w:tc>
          <w:tcPr>
            <w:tcW w:w="1134"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851"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791" w:type="dxa"/>
            <w:noWrap w:val="0"/>
            <w:vAlign w:val="center"/>
          </w:tcPr>
          <w:p>
            <w:pPr>
              <w:spacing w:line="240" w:lineRule="exact"/>
              <w:jc w:val="center"/>
              <w:rPr>
                <w:rFonts w:hint="eastAsia" w:ascii="黑体" w:hAnsi="黑体" w:eastAsia="黑体" w:cs="宋体"/>
                <w:color w:val="000000"/>
                <w:kern w:val="0"/>
                <w:sz w:val="20"/>
                <w:szCs w:val="20"/>
              </w:rPr>
            </w:pPr>
          </w:p>
        </w:tc>
        <w:tc>
          <w:tcPr>
            <w:tcW w:w="567" w:type="dxa"/>
            <w:noWrap w:val="0"/>
            <w:vAlign w:val="center"/>
          </w:tcPr>
          <w:p>
            <w:pPr>
              <w:spacing w:line="240" w:lineRule="exact"/>
              <w:jc w:val="center"/>
              <w:rPr>
                <w:rFonts w:ascii="黑体" w:hAnsi="黑体" w:eastAsia="黑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0" w:hRule="atLeast"/>
          <w:jc w:val="center"/>
        </w:trPr>
        <w:tc>
          <w:tcPr>
            <w:tcW w:w="422" w:type="dxa"/>
            <w:noWrap w:val="0"/>
            <w:vAlign w:val="center"/>
          </w:tcPr>
          <w:p>
            <w:pPr>
              <w:spacing w:line="24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10</w:t>
            </w:r>
          </w:p>
        </w:tc>
        <w:tc>
          <w:tcPr>
            <w:tcW w:w="1295" w:type="dxa"/>
            <w:gridSpan w:val="2"/>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ascii="黑体" w:hAnsi="黑体" w:eastAsia="黑体" w:cs="宋体"/>
                <w:color w:val="000000"/>
                <w:kern w:val="0"/>
                <w:sz w:val="20"/>
                <w:szCs w:val="20"/>
              </w:rPr>
            </w:pPr>
          </w:p>
        </w:tc>
        <w:tc>
          <w:tcPr>
            <w:tcW w:w="1134"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851"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791" w:type="dxa"/>
            <w:noWrap w:val="0"/>
            <w:vAlign w:val="center"/>
          </w:tcPr>
          <w:p>
            <w:pPr>
              <w:spacing w:line="240" w:lineRule="exact"/>
              <w:jc w:val="center"/>
              <w:rPr>
                <w:rFonts w:hint="eastAsia" w:ascii="黑体" w:hAnsi="黑体" w:eastAsia="黑体" w:cs="宋体"/>
                <w:color w:val="000000"/>
                <w:kern w:val="0"/>
                <w:sz w:val="20"/>
                <w:szCs w:val="20"/>
              </w:rPr>
            </w:pPr>
          </w:p>
        </w:tc>
        <w:tc>
          <w:tcPr>
            <w:tcW w:w="567" w:type="dxa"/>
            <w:noWrap w:val="0"/>
            <w:vAlign w:val="center"/>
          </w:tcPr>
          <w:p>
            <w:pPr>
              <w:spacing w:line="240" w:lineRule="exact"/>
              <w:jc w:val="center"/>
              <w:rPr>
                <w:rFonts w:ascii="黑体" w:hAnsi="黑体" w:eastAsia="黑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4" w:hRule="atLeast"/>
          <w:jc w:val="center"/>
        </w:trPr>
        <w:tc>
          <w:tcPr>
            <w:tcW w:w="422" w:type="dxa"/>
            <w:noWrap w:val="0"/>
            <w:vAlign w:val="center"/>
          </w:tcPr>
          <w:p>
            <w:pPr>
              <w:spacing w:line="24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11</w:t>
            </w:r>
          </w:p>
        </w:tc>
        <w:tc>
          <w:tcPr>
            <w:tcW w:w="1295" w:type="dxa"/>
            <w:gridSpan w:val="2"/>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ascii="黑体" w:hAnsi="黑体" w:eastAsia="黑体" w:cs="宋体"/>
                <w:color w:val="000000"/>
                <w:kern w:val="0"/>
                <w:sz w:val="20"/>
                <w:szCs w:val="20"/>
              </w:rPr>
            </w:pPr>
          </w:p>
        </w:tc>
        <w:tc>
          <w:tcPr>
            <w:tcW w:w="1134"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851"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791" w:type="dxa"/>
            <w:noWrap w:val="0"/>
            <w:vAlign w:val="center"/>
          </w:tcPr>
          <w:p>
            <w:pPr>
              <w:spacing w:line="240" w:lineRule="exact"/>
              <w:jc w:val="center"/>
              <w:rPr>
                <w:rFonts w:hint="eastAsia" w:ascii="黑体" w:hAnsi="黑体" w:eastAsia="黑体" w:cs="宋体"/>
                <w:color w:val="000000"/>
                <w:kern w:val="0"/>
                <w:sz w:val="20"/>
                <w:szCs w:val="20"/>
              </w:rPr>
            </w:pPr>
          </w:p>
        </w:tc>
        <w:tc>
          <w:tcPr>
            <w:tcW w:w="567" w:type="dxa"/>
            <w:noWrap w:val="0"/>
            <w:vAlign w:val="center"/>
          </w:tcPr>
          <w:p>
            <w:pPr>
              <w:spacing w:line="240" w:lineRule="exact"/>
              <w:jc w:val="center"/>
              <w:rPr>
                <w:rFonts w:ascii="黑体" w:hAnsi="黑体" w:eastAsia="黑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0" w:hRule="atLeast"/>
          <w:jc w:val="center"/>
        </w:trPr>
        <w:tc>
          <w:tcPr>
            <w:tcW w:w="422" w:type="dxa"/>
            <w:noWrap w:val="0"/>
            <w:vAlign w:val="center"/>
          </w:tcPr>
          <w:p>
            <w:pPr>
              <w:spacing w:line="24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12</w:t>
            </w:r>
          </w:p>
        </w:tc>
        <w:tc>
          <w:tcPr>
            <w:tcW w:w="1295" w:type="dxa"/>
            <w:gridSpan w:val="2"/>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ascii="黑体" w:hAnsi="黑体" w:eastAsia="黑体" w:cs="宋体"/>
                <w:color w:val="000000"/>
                <w:kern w:val="0"/>
                <w:sz w:val="20"/>
                <w:szCs w:val="20"/>
              </w:rPr>
            </w:pPr>
          </w:p>
        </w:tc>
        <w:tc>
          <w:tcPr>
            <w:tcW w:w="1134"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851"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791" w:type="dxa"/>
            <w:noWrap w:val="0"/>
            <w:vAlign w:val="center"/>
          </w:tcPr>
          <w:p>
            <w:pPr>
              <w:spacing w:line="240" w:lineRule="exact"/>
              <w:jc w:val="center"/>
              <w:rPr>
                <w:rFonts w:hint="eastAsia" w:ascii="黑体" w:hAnsi="黑体" w:eastAsia="黑体" w:cs="宋体"/>
                <w:color w:val="000000"/>
                <w:kern w:val="0"/>
                <w:sz w:val="20"/>
                <w:szCs w:val="20"/>
              </w:rPr>
            </w:pPr>
          </w:p>
        </w:tc>
        <w:tc>
          <w:tcPr>
            <w:tcW w:w="567" w:type="dxa"/>
            <w:noWrap w:val="0"/>
            <w:vAlign w:val="center"/>
          </w:tcPr>
          <w:p>
            <w:pPr>
              <w:spacing w:line="240" w:lineRule="exact"/>
              <w:jc w:val="center"/>
              <w:rPr>
                <w:rFonts w:ascii="黑体" w:hAnsi="黑体" w:eastAsia="黑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9" w:hRule="atLeast"/>
          <w:jc w:val="center"/>
        </w:trPr>
        <w:tc>
          <w:tcPr>
            <w:tcW w:w="422" w:type="dxa"/>
            <w:noWrap w:val="0"/>
            <w:vAlign w:val="center"/>
          </w:tcPr>
          <w:p>
            <w:pPr>
              <w:spacing w:line="24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13</w:t>
            </w:r>
          </w:p>
        </w:tc>
        <w:tc>
          <w:tcPr>
            <w:tcW w:w="1295" w:type="dxa"/>
            <w:gridSpan w:val="2"/>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709"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ascii="黑体" w:hAnsi="黑体" w:eastAsia="黑体" w:cs="宋体"/>
                <w:color w:val="000000"/>
                <w:kern w:val="0"/>
                <w:sz w:val="20"/>
                <w:szCs w:val="20"/>
              </w:rPr>
            </w:pPr>
          </w:p>
        </w:tc>
        <w:tc>
          <w:tcPr>
            <w:tcW w:w="1134"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851"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2" w:type="dxa"/>
            <w:noWrap w:val="0"/>
            <w:vAlign w:val="center"/>
          </w:tcPr>
          <w:p>
            <w:pPr>
              <w:spacing w:line="240" w:lineRule="exact"/>
              <w:jc w:val="center"/>
              <w:rPr>
                <w:rFonts w:hint="eastAsia" w:ascii="黑体" w:hAnsi="黑体" w:eastAsia="黑体" w:cs="宋体"/>
                <w:color w:val="000000"/>
                <w:kern w:val="0"/>
                <w:sz w:val="20"/>
                <w:szCs w:val="20"/>
              </w:rPr>
            </w:pPr>
          </w:p>
        </w:tc>
        <w:tc>
          <w:tcPr>
            <w:tcW w:w="993" w:type="dxa"/>
            <w:noWrap w:val="0"/>
            <w:vAlign w:val="center"/>
          </w:tcPr>
          <w:p>
            <w:pPr>
              <w:spacing w:line="240" w:lineRule="exact"/>
              <w:jc w:val="center"/>
              <w:rPr>
                <w:rFonts w:hint="eastAsia" w:ascii="黑体" w:hAnsi="黑体" w:eastAsia="黑体" w:cs="宋体"/>
                <w:color w:val="000000"/>
                <w:kern w:val="0"/>
                <w:sz w:val="20"/>
                <w:szCs w:val="20"/>
              </w:rPr>
            </w:pPr>
          </w:p>
        </w:tc>
        <w:tc>
          <w:tcPr>
            <w:tcW w:w="850" w:type="dxa"/>
            <w:noWrap w:val="0"/>
            <w:vAlign w:val="center"/>
          </w:tcPr>
          <w:p>
            <w:pPr>
              <w:spacing w:line="240" w:lineRule="exact"/>
              <w:jc w:val="center"/>
              <w:rPr>
                <w:rFonts w:hint="eastAsia" w:ascii="黑体" w:hAnsi="黑体" w:eastAsia="黑体" w:cs="宋体"/>
                <w:color w:val="000000"/>
                <w:kern w:val="0"/>
                <w:sz w:val="20"/>
                <w:szCs w:val="20"/>
              </w:rPr>
            </w:pPr>
          </w:p>
        </w:tc>
        <w:tc>
          <w:tcPr>
            <w:tcW w:w="791" w:type="dxa"/>
            <w:noWrap w:val="0"/>
            <w:vAlign w:val="center"/>
          </w:tcPr>
          <w:p>
            <w:pPr>
              <w:spacing w:line="240" w:lineRule="exact"/>
              <w:jc w:val="center"/>
              <w:rPr>
                <w:rFonts w:hint="eastAsia" w:ascii="黑体" w:hAnsi="黑体" w:eastAsia="黑体" w:cs="宋体"/>
                <w:color w:val="000000"/>
                <w:kern w:val="0"/>
                <w:sz w:val="20"/>
                <w:szCs w:val="20"/>
              </w:rPr>
            </w:pPr>
          </w:p>
        </w:tc>
        <w:tc>
          <w:tcPr>
            <w:tcW w:w="567" w:type="dxa"/>
            <w:noWrap w:val="0"/>
            <w:vAlign w:val="center"/>
          </w:tcPr>
          <w:p>
            <w:pPr>
              <w:spacing w:line="240" w:lineRule="exact"/>
              <w:jc w:val="center"/>
              <w:rPr>
                <w:rFonts w:ascii="黑体" w:hAnsi="黑体" w:eastAsia="黑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5" w:hRule="atLeast"/>
          <w:jc w:val="center"/>
        </w:trPr>
        <w:tc>
          <w:tcPr>
            <w:tcW w:w="1710" w:type="dxa"/>
            <w:gridSpan w:val="2"/>
            <w:noWrap w:val="0"/>
            <w:vAlign w:val="center"/>
          </w:tcPr>
          <w:p>
            <w:pPr>
              <w:spacing w:line="24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说明</w:t>
            </w:r>
          </w:p>
        </w:tc>
        <w:tc>
          <w:tcPr>
            <w:tcW w:w="12280" w:type="dxa"/>
            <w:gridSpan w:val="15"/>
            <w:noWrap w:val="0"/>
            <w:vAlign w:val="center"/>
          </w:tcPr>
          <w:p>
            <w:pPr>
              <w:spacing w:line="240" w:lineRule="exact"/>
              <w:ind w:firstLine="200" w:firstLineChars="100"/>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1.此表由各市（区）</w:t>
            </w:r>
            <w:r>
              <w:rPr>
                <w:rFonts w:hint="eastAsia" w:ascii="黑体" w:hAnsi="黑体" w:eastAsia="黑体" w:cs="宋体"/>
                <w:color w:val="000000"/>
                <w:kern w:val="0"/>
                <w:sz w:val="20"/>
                <w:szCs w:val="20"/>
                <w:lang w:eastAsia="zh-CN"/>
              </w:rPr>
              <w:t>住房城乡建设主管部门</w:t>
            </w:r>
            <w:r>
              <w:rPr>
                <w:rFonts w:hint="eastAsia" w:ascii="黑体" w:hAnsi="黑体" w:eastAsia="黑体" w:cs="宋体"/>
                <w:color w:val="000000"/>
                <w:kern w:val="0"/>
                <w:sz w:val="20"/>
                <w:szCs w:val="20"/>
              </w:rPr>
              <w:t>严格按照内容格式填报；</w:t>
            </w:r>
          </w:p>
          <w:p>
            <w:pPr>
              <w:spacing w:line="240" w:lineRule="exact"/>
              <w:ind w:firstLine="200" w:firstLineChars="100"/>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2.每月</w:t>
            </w:r>
            <w:r>
              <w:rPr>
                <w:rFonts w:hint="eastAsia" w:ascii="黑体" w:hAnsi="黑体" w:eastAsia="黑体" w:cs="宋体"/>
                <w:color w:val="000000"/>
                <w:kern w:val="0"/>
                <w:sz w:val="20"/>
                <w:szCs w:val="20"/>
                <w:lang w:val="en-US" w:eastAsia="zh-CN"/>
              </w:rPr>
              <w:t>23</w:t>
            </w:r>
            <w:r>
              <w:rPr>
                <w:rFonts w:hint="eastAsia" w:ascii="黑体" w:hAnsi="黑体" w:eastAsia="黑体" w:cs="宋体"/>
                <w:color w:val="000000"/>
                <w:kern w:val="0"/>
                <w:sz w:val="20"/>
                <w:szCs w:val="20"/>
              </w:rPr>
              <w:t>日前填报进度统计表，数据为百日安全生产整治行动开展以来的累计数据；</w:t>
            </w:r>
          </w:p>
          <w:p>
            <w:pPr>
              <w:spacing w:line="240" w:lineRule="exact"/>
              <w:ind w:firstLine="200" w:firstLineChars="100"/>
              <w:jc w:val="left"/>
              <w:rPr>
                <w:rFonts w:ascii="仿宋" w:hAnsi="仿宋" w:cs="宋体"/>
                <w:color w:val="000000"/>
                <w:kern w:val="0"/>
                <w:sz w:val="20"/>
                <w:szCs w:val="20"/>
              </w:rPr>
            </w:pPr>
            <w:r>
              <w:rPr>
                <w:rFonts w:hint="eastAsia" w:ascii="黑体" w:hAnsi="黑体" w:eastAsia="黑体" w:cs="宋体"/>
                <w:color w:val="000000"/>
                <w:kern w:val="0"/>
                <w:sz w:val="20"/>
                <w:szCs w:val="20"/>
              </w:rPr>
              <w:t>3.联系人及电话：</w:t>
            </w:r>
            <w:r>
              <w:rPr>
                <w:rFonts w:hint="eastAsia" w:ascii="黑体" w:hAnsi="黑体" w:eastAsia="黑体" w:cs="宋体"/>
                <w:color w:val="000000"/>
                <w:kern w:val="0"/>
                <w:sz w:val="20"/>
                <w:szCs w:val="20"/>
                <w:lang w:eastAsia="zh-CN"/>
              </w:rPr>
              <w:t>安全处孙海亭</w:t>
            </w:r>
            <w:r>
              <w:rPr>
                <w:rFonts w:hint="eastAsia" w:ascii="黑体" w:hAnsi="黑体" w:eastAsia="黑体" w:cs="宋体"/>
                <w:color w:val="000000"/>
                <w:kern w:val="0"/>
                <w:sz w:val="20"/>
                <w:szCs w:val="20"/>
              </w:rPr>
              <w:t xml:space="preserve">  029-</w:t>
            </w:r>
            <w:r>
              <w:rPr>
                <w:rFonts w:hint="eastAsia" w:ascii="黑体" w:hAnsi="黑体" w:eastAsia="黑体" w:cs="宋体"/>
                <w:color w:val="000000"/>
                <w:kern w:val="0"/>
                <w:sz w:val="20"/>
                <w:szCs w:val="20"/>
                <w:lang w:val="en-US" w:eastAsia="zh-CN"/>
              </w:rPr>
              <w:t>63915830</w:t>
            </w:r>
            <w:r>
              <w:rPr>
                <w:rFonts w:hint="eastAsia" w:ascii="黑体" w:hAnsi="黑体" w:eastAsia="黑体" w:cs="宋体"/>
                <w:color w:val="000000"/>
                <w:kern w:val="0"/>
                <w:sz w:val="20"/>
                <w:szCs w:val="20"/>
              </w:rPr>
              <w:t xml:space="preserve"> </w:t>
            </w:r>
            <w:r>
              <w:rPr>
                <w:rFonts w:hint="eastAsia" w:ascii="黑体" w:hAnsi="黑体" w:eastAsia="黑体" w:cs="宋体"/>
                <w:color w:val="000000"/>
                <w:kern w:val="0"/>
                <w:sz w:val="20"/>
                <w:szCs w:val="20"/>
                <w:lang w:val="en-US" w:eastAsia="zh-CN"/>
              </w:rPr>
              <w:t xml:space="preserve">    管理处朱林    029-63915816    </w:t>
            </w:r>
          </w:p>
        </w:tc>
      </w:tr>
    </w:tbl>
    <w:p>
      <w:pPr>
        <w:widowControl w:val="0"/>
        <w:spacing w:after="120"/>
        <w:jc w:val="both"/>
        <w:rPr>
          <w:rFonts w:hint="eastAsia" w:ascii="Calibri" w:hAnsi="Calibri" w:eastAsia="宋体" w:cs="Times New Roman"/>
          <w:kern w:val="2"/>
          <w:sz w:val="21"/>
          <w:szCs w:val="24"/>
          <w:lang w:val="en-US" w:eastAsia="zh-CN" w:bidi="ar-SA"/>
        </w:rPr>
      </w:pPr>
    </w:p>
    <w:p/>
    <w:sectPr>
      <w:type w:val="continuous"/>
      <w:pgSz w:w="16838" w:h="11906" w:orient="landscape"/>
      <w:pgMar w:top="1797" w:right="1588" w:bottom="1797" w:left="144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017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Char"/>
    <w:basedOn w:val="1"/>
    <w:next w:val="1"/>
    <w:qFormat/>
    <w:uiPriority w:val="0"/>
    <w:rPr>
      <w:rFonts w:ascii="Tahoma" w:hAnsi="Tahoma" w:eastAsia="仿宋_GB2312"/>
      <w:sz w:val="32"/>
      <w:szCs w:val="20"/>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2019-12-10T09:25:06Z</dcterms:created>
  <dc:creator>Administrator</dc:creator>
  <cp:lastModifiedBy>〰</cp:lastModifiedBy>
  <dcterms:modified xsi:type="dcterms:W3CDTF">2019-12-10T09:25:24Z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