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2019年全省节水型城市创建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工作实施方案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为全面贯彻党的十九大精神，落实国家节水行动要求，根据《国务院关于印发水污染防治行动计划的通知》（国发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〔2015〕17号）和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原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环保部等11部委《水污染防治行动计划实施情况考核规定（试行）》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环水体〔2016〕179号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全省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节水型城市创建及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评价达标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认定工作，现制定以下工作方案：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一、指导思想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城市节水是解决水资源供需矛盾、提升水环境承载能力、应对城市水安全问题的重要举措，使节约用水成为每个单位、每个家庭、每个人的自觉行动。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努力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推动节水洁水人人有责，践行节水优先、空间均衡、系统治理、两手发力的治水思路，充分利用城市规划、建设和市政公用管理及其服务平台，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加快推进城镇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节水工作，控制用水总量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提高用水效率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抓好工业节水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发展农业节水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科学保护水资源。对支撑新型城镇化战略实施和社会主义生态文明建设具有重要意义。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Cs/>
          <w:sz w:val="32"/>
          <w:szCs w:val="32"/>
        </w:rPr>
        <w:t>、工作目标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1" w:firstLineChars="200"/>
        <w:jc w:val="both"/>
        <w:textAlignment w:val="auto"/>
        <w:outlineLvl w:val="9"/>
        <w:rPr>
          <w:rFonts w:hint="eastAsia" w:ascii="华文楷体" w:hAnsi="华文楷体" w:eastAsia="华文楷体" w:cs="楷体"/>
          <w:b/>
          <w:bCs/>
          <w:sz w:val="32"/>
          <w:szCs w:val="32"/>
          <w:lang w:eastAsia="zh-CN"/>
        </w:rPr>
      </w:pPr>
      <w:r>
        <w:rPr>
          <w:rFonts w:hint="eastAsia" w:ascii="华文楷体" w:hAnsi="华文楷体" w:eastAsia="华文楷体" w:cs="楷体"/>
          <w:b/>
          <w:bCs/>
          <w:sz w:val="32"/>
          <w:szCs w:val="32"/>
        </w:rPr>
        <w:t>（一）节水型城市创建</w:t>
      </w:r>
      <w:r>
        <w:rPr>
          <w:rFonts w:hint="eastAsia" w:ascii="华文楷体" w:hAnsi="华文楷体" w:eastAsia="华文楷体" w:cs="楷体"/>
          <w:b/>
          <w:bCs/>
          <w:sz w:val="32"/>
          <w:szCs w:val="32"/>
          <w:lang w:eastAsia="zh-CN"/>
        </w:rPr>
        <w:t>及城市节水</w:t>
      </w:r>
      <w:r>
        <w:rPr>
          <w:rFonts w:hint="eastAsia" w:ascii="华文楷体" w:hAnsi="华文楷体" w:eastAsia="华文楷体" w:cs="楷体"/>
          <w:b/>
          <w:bCs/>
          <w:sz w:val="32"/>
          <w:szCs w:val="32"/>
        </w:rPr>
        <w:t>评价认定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根据《国务院关于印发水污染防治行动计划的通知》（国发〔2015〕17号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环保部等11部委《水污染防治行动计划实施情况考核规定（试行）》要求，到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2020年地级及以上缺水城市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《国家节水型城市考核标准》或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达到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《城市节水评价标准》Ⅰ级要求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其他地级及以上城市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达到《城市节水评价标准》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Ⅱ级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西安市、咸阳市、铜川市、渭南市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属于缺水城市，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在2019年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底前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必须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《陕西省节水型城市考核标准》或达到《城市节水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评价标准》Ⅱ级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，2020年必须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《国家节水型城市考核标准》或达到《城市节水评价标准》Ⅰ级要求。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榆林市、汉中市、安康市、商洛市、杨凌示范区等市（区），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2019年要基本达到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《城市节水评价标准》Ⅱ级要求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2020年必须要达到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《城市节水评价标准》Ⅱ级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1" w:firstLineChars="200"/>
        <w:jc w:val="both"/>
        <w:textAlignment w:val="auto"/>
        <w:outlineLvl w:val="9"/>
        <w:rPr>
          <w:rFonts w:hint="eastAsia" w:ascii="华文楷体" w:hAnsi="华文楷体" w:eastAsia="华文楷体" w:cs="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楷体"/>
          <w:b/>
          <w:bCs/>
          <w:sz w:val="32"/>
          <w:szCs w:val="32"/>
        </w:rPr>
        <w:t>（</w:t>
      </w:r>
      <w:r>
        <w:rPr>
          <w:rFonts w:hint="eastAsia" w:ascii="华文楷体" w:hAnsi="华文楷体" w:eastAsia="华文楷体" w:cs="楷体"/>
          <w:b/>
          <w:bCs/>
          <w:sz w:val="32"/>
          <w:szCs w:val="32"/>
          <w:lang w:eastAsia="zh-CN"/>
        </w:rPr>
        <w:t>二</w:t>
      </w:r>
      <w:r>
        <w:rPr>
          <w:rFonts w:hint="eastAsia" w:ascii="华文楷体" w:hAnsi="华文楷体" w:eastAsia="华文楷体" w:cs="楷体"/>
          <w:b/>
          <w:bCs/>
          <w:sz w:val="32"/>
          <w:szCs w:val="32"/>
        </w:rPr>
        <w:t>）</w:t>
      </w:r>
      <w:r>
        <w:rPr>
          <w:rFonts w:hint="eastAsia" w:ascii="华文楷体" w:hAnsi="华文楷体" w:eastAsia="华文楷体" w:cs="楷体"/>
          <w:b/>
          <w:bCs/>
          <w:sz w:val="32"/>
          <w:szCs w:val="32"/>
          <w:lang w:val="en-US" w:eastAsia="zh-CN"/>
        </w:rPr>
        <w:t>城市节水中长期</w:t>
      </w:r>
      <w:r>
        <w:rPr>
          <w:rFonts w:hint="eastAsia" w:ascii="华文楷体" w:hAnsi="华文楷体" w:eastAsia="华文楷体" w:cs="楷体"/>
          <w:b/>
          <w:bCs/>
          <w:sz w:val="32"/>
          <w:szCs w:val="32"/>
        </w:rPr>
        <w:t>规划</w:t>
      </w:r>
      <w:r>
        <w:rPr>
          <w:rFonts w:hint="eastAsia" w:ascii="华文楷体" w:hAnsi="华文楷体" w:eastAsia="华文楷体" w:cs="楷体"/>
          <w:b/>
          <w:bCs/>
          <w:sz w:val="32"/>
          <w:szCs w:val="32"/>
          <w:lang w:val="en-US" w:eastAsia="zh-CN"/>
        </w:rPr>
        <w:t>和海绵城市建设规划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按照《国家节水型城市考核标准》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《陕西省节水型城市考核标准》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选择节水型城市创建的市（区）要完成《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城市节水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》和《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海绵城市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》。按照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《城市节水评价标准》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Ⅰ级Ⅱ级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要求，选择城市节水评价的市（区）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要完成《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城市节水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》。以上两个专项规划编制完成后，应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经本级政府或上级政府主管部门批准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并开始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1" w:firstLineChars="200"/>
        <w:jc w:val="both"/>
        <w:textAlignment w:val="auto"/>
        <w:outlineLvl w:val="9"/>
        <w:rPr>
          <w:rFonts w:ascii="华文楷体" w:hAnsi="华文楷体" w:eastAsia="华文楷体" w:cs="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楷体"/>
          <w:b/>
          <w:bCs/>
          <w:sz w:val="32"/>
          <w:szCs w:val="32"/>
        </w:rPr>
        <w:t>（</w:t>
      </w:r>
      <w:r>
        <w:rPr>
          <w:rFonts w:hint="eastAsia" w:ascii="华文楷体" w:hAnsi="华文楷体" w:eastAsia="华文楷体" w:cs="楷体"/>
          <w:b/>
          <w:bCs/>
          <w:sz w:val="32"/>
          <w:szCs w:val="32"/>
          <w:lang w:eastAsia="zh-CN"/>
        </w:rPr>
        <w:t>三</w:t>
      </w:r>
      <w:r>
        <w:rPr>
          <w:rFonts w:hint="eastAsia" w:ascii="华文楷体" w:hAnsi="华文楷体" w:eastAsia="华文楷体" w:cs="楷体"/>
          <w:b/>
          <w:bCs/>
          <w:sz w:val="32"/>
          <w:szCs w:val="32"/>
        </w:rPr>
        <w:t>）节水型</w:t>
      </w:r>
      <w:r>
        <w:rPr>
          <w:rFonts w:hint="eastAsia" w:ascii="华文楷体" w:hAnsi="华文楷体" w:eastAsia="华文楷体" w:cs="楷体"/>
          <w:b/>
          <w:bCs/>
          <w:sz w:val="32"/>
          <w:szCs w:val="32"/>
          <w:lang w:eastAsia="zh-CN"/>
        </w:rPr>
        <w:t>城市创建重点工作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居民小区、单位、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工业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企业创建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省级节水型城市，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节水型居民小区覆盖率达到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%以上、节水型单位覆盖率达到10%以上、节水型工业企业覆盖率达到15%以上。《城市节水评价标准》Ⅱ级，节水型居民小区覆盖率达到10%以上、节水型单位覆盖率达到15%以上、节水型工业企业覆盖率达到20%以上。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主要</w:t>
      </w:r>
      <w:r>
        <w:rPr>
          <w:rFonts w:hint="eastAsia" w:ascii="黑体" w:hAnsi="黑体" w:eastAsia="黑体" w:cs="黑体"/>
          <w:bCs/>
          <w:sz w:val="32"/>
          <w:szCs w:val="32"/>
        </w:rPr>
        <w:t>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1" w:firstLineChars="200"/>
        <w:jc w:val="both"/>
        <w:textAlignment w:val="auto"/>
        <w:outlineLvl w:val="9"/>
        <w:rPr>
          <w:rFonts w:hint="eastAsia" w:ascii="华文楷体" w:hAnsi="华文楷体" w:eastAsia="华文楷体" w:cs="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楷体"/>
          <w:b/>
          <w:bCs/>
          <w:sz w:val="32"/>
          <w:szCs w:val="32"/>
        </w:rPr>
        <w:t>（一）</w:t>
      </w:r>
      <w:r>
        <w:rPr>
          <w:rFonts w:hint="eastAsia" w:ascii="华文楷体" w:hAnsi="华文楷体" w:eastAsia="华文楷体" w:cs="楷体"/>
          <w:b/>
          <w:bCs/>
          <w:sz w:val="32"/>
          <w:szCs w:val="32"/>
          <w:lang w:val="en-US" w:eastAsia="zh-CN"/>
        </w:rPr>
        <w:t>加快推进</w:t>
      </w:r>
      <w:r>
        <w:rPr>
          <w:rFonts w:hint="eastAsia" w:ascii="华文楷体" w:hAnsi="华文楷体" w:eastAsia="华文楷体" w:cs="楷体"/>
          <w:b/>
          <w:bCs/>
          <w:sz w:val="32"/>
          <w:szCs w:val="32"/>
        </w:rPr>
        <w:t>节水型城市创建</w:t>
      </w:r>
      <w:r>
        <w:rPr>
          <w:rFonts w:hint="eastAsia" w:ascii="华文楷体" w:hAnsi="华文楷体" w:eastAsia="华文楷体" w:cs="楷体"/>
          <w:b/>
          <w:bCs/>
          <w:sz w:val="32"/>
          <w:szCs w:val="32"/>
          <w:lang w:eastAsia="zh-CN"/>
        </w:rPr>
        <w:t>及城市节水</w:t>
      </w:r>
      <w:r>
        <w:rPr>
          <w:rFonts w:hint="eastAsia" w:ascii="华文楷体" w:hAnsi="华文楷体" w:eastAsia="华文楷体" w:cs="楷体"/>
          <w:b/>
          <w:bCs/>
          <w:sz w:val="32"/>
          <w:szCs w:val="32"/>
        </w:rPr>
        <w:t>评价认定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请全省各设区城市（宝鸡市、延安市除外），杨凌示范区，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按照《陕西省节水型城市考核标准》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《城市节水评价标准》Ⅱ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级要求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健全城市节水工作机制，及时制定创建工作方案和任务分工，大力实施节水改造，深挖城市节水潜力，强力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推进节水型城市创建及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城市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节水Ⅱ级评价达标工作。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请各创建与评价城市（区）于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月底前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文件报送省住建厅、省发展改革委、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省水利厅、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省生态环境厅，5月底前将申报相关资料报送省住建厅。5至7月四部门将组织专家对各申报创建城市进行技术指导和调研帮扶。9至10月将对各创建城市进行初步技术评估。本着成熟一个验收一个的原则，年底前进行节水型城市技术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1" w:firstLineChars="200"/>
        <w:jc w:val="both"/>
        <w:textAlignment w:val="auto"/>
        <w:outlineLvl w:val="9"/>
        <w:rPr>
          <w:rFonts w:hint="eastAsia" w:ascii="华文楷体" w:hAnsi="华文楷体" w:eastAsia="华文楷体" w:cs="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楷体"/>
          <w:b/>
          <w:bCs/>
          <w:sz w:val="32"/>
          <w:szCs w:val="32"/>
        </w:rPr>
        <w:t>（</w:t>
      </w:r>
      <w:r>
        <w:rPr>
          <w:rFonts w:hint="eastAsia" w:ascii="华文楷体" w:hAnsi="华文楷体" w:eastAsia="华文楷体" w:cs="楷体"/>
          <w:b/>
          <w:bCs/>
          <w:sz w:val="32"/>
          <w:szCs w:val="32"/>
          <w:lang w:eastAsia="zh-CN"/>
        </w:rPr>
        <w:t>二</w:t>
      </w:r>
      <w:r>
        <w:rPr>
          <w:rFonts w:hint="eastAsia" w:ascii="华文楷体" w:hAnsi="华文楷体" w:eastAsia="华文楷体" w:cs="楷体"/>
          <w:b/>
          <w:bCs/>
          <w:sz w:val="32"/>
          <w:szCs w:val="32"/>
        </w:rPr>
        <w:t>）强化规划对节水的引领作用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各市（区）要依据总体规划和控制性详细规划编制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城市节水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》和《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海绵城市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，提出切实可行的目标，从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水的供需平衡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挖掘潜力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，从提高工艺流程、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机制等方面提出工作对策、措施和详细实施计划，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城市整体水系、城市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供排水、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城市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污水处理、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城市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绿地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等规划相衔接。按照对城市生态环境影响最低的开发建设理念，控制开发强度，最大限度地减少对城市原有水生态环境的破坏，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通过编制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自然积存、自然渗透、自然净化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城市节水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》和《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海绵城市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提高水资源利用效率和效益，实现水资源的可持续利用和城市的可持续发展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。请各市（区）于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2019年10月底前将规划编制成果报省住建厅，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省住建厅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将会同省发展改革委、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省水利厅、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省生态环境厅对各市（区）规划编制成果进行技术审查。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1" w:firstLineChars="200"/>
        <w:jc w:val="both"/>
        <w:textAlignment w:val="auto"/>
        <w:outlineLvl w:val="9"/>
        <w:rPr>
          <w:rFonts w:hint="eastAsia" w:ascii="华文楷体" w:hAnsi="华文楷体" w:eastAsia="华文楷体" w:cs="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华文楷体" w:hAnsi="华文楷体" w:eastAsia="华文楷体" w:cs="楷体"/>
          <w:b/>
          <w:bCs/>
          <w:sz w:val="32"/>
          <w:szCs w:val="32"/>
          <w:lang w:val="en-US" w:eastAsia="zh-CN"/>
        </w:rPr>
        <w:t>积极推进</w:t>
      </w:r>
      <w:r>
        <w:rPr>
          <w:rFonts w:hint="eastAsia" w:ascii="华文楷体" w:hAnsi="华文楷体" w:eastAsia="华文楷体" w:cs="楷体"/>
          <w:b/>
          <w:bCs/>
          <w:sz w:val="32"/>
          <w:szCs w:val="32"/>
        </w:rPr>
        <w:t>节水型</w:t>
      </w:r>
      <w:r>
        <w:rPr>
          <w:rFonts w:hint="eastAsia" w:ascii="华文楷体" w:hAnsi="华文楷体" w:eastAsia="华文楷体" w:cs="楷体"/>
          <w:b/>
          <w:bCs/>
          <w:sz w:val="32"/>
          <w:szCs w:val="32"/>
          <w:lang w:eastAsia="zh-CN"/>
        </w:rPr>
        <w:t>城市建设重点工作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各市（区）要进一步加强节水型企业、单位、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居住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小区创建工作力度，严格按照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创建标准和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相关要求，严把审批、监管和验收关，搞好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工业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企业、单位、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居住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小区节水工作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。尤其是</w:t>
      </w:r>
      <w:r>
        <w:rPr>
          <w:rFonts w:hint="eastAsia" w:ascii="仿宋_GB2312" w:hAnsi="仿宋_GB2312" w:eastAsia="仿宋_GB2312" w:cs="仿宋_GB2312"/>
          <w:sz w:val="32"/>
        </w:rPr>
        <w:t>国有企业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移交到地方的老旧小区供水管网老化，跑冒滴漏现象严重，改造工作任务十分艰巨；城市老旧独立建筑节水工作也亟待加强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，要加大这些节水薄弱环节改造整治力度，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覆盖率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达到20%以上。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同时，按照申报批准命名等相关程序，本着建成一批，申报一批的原则，按批次进行申报，经考核合格后，省住建厅会同省发展改革委进行批复命名。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华文楷体" w:hAnsi="华文楷体" w:eastAsia="黑体" w:cs="楷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加强组织领导，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夯实主体责任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（区）人民政府要高度重视节水型城市创建工作，全面贯彻落实习近平生态文明思想，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增强责任感和使命感，提高政治站位，主动担当，积极作为，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尽快成立以政府主要领导为组长的节水型城市创建工作领导小组，根据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创建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和评价标准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明确牵头单位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和成员单位，夯实主体责任，研究制定创建实施方案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分级细化目标任务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确保完成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2019年省级节水型城市创建任务，2020年完成国家节水型城市创建任务。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国家每年根据各省水环境质量及达标情况等因素，公布最差、最好的城市名单和各省（区、市）水环境状况，对水环境状况差的城市，经整改后仍达不到要求的，取消其环境保护模范城市、生态文明建设示范区、节水型城市、园林城市、卫生城市等荣誉称号，并向社会公告。2020年住建部将对全国节水型城市创建情况进行考核，对不达标的省份，将按照原环保部等11部委关于印发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《水污染防治行动计划实施情况考核规定（试行）》要求，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扣除5分，并予以通报批评。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CN"/>
        </w:rPr>
        <w:t>）细化工作方案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，明确任务时限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各市（区）节水型城市创建牵头单位，要根据创建标准或评价标准，制定节水型城市创建工作方案和推进计划，明确指导思想和创建定位，划定创建范围，确定创建目标，根据各成员单位职责，分解创建成员单位工作任务，细化创建标准，划分创建实施步骤，强化推动保障措施，细化标准任务完成时限，责任落实到人到位，完成标准定位准确，确保工作顺利推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加强督导检查，全力推动创建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各市（区）要成立节水型城市创建工作督查小组，制定督查奖惩制度，定期对创建情况进行督导检查，定期召开创建工作推进会，及时跟踪问效，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每季度末向省住建厅报送创建工作进度，省住建厅会同省发展改革委、省水利厅、省生态环境厅定期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对市（区）创建工作进度进行督导，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对工作不力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进展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缓慢的城市，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在全省范围内通报批评，并将通报抄送省委省政府，严重工作滞后的城市，将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约谈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主要负责人。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强化业务培训，提升创建能力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各市（区）要针对创建评价工作中存在的问题，查找原因，采取相关措施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专业技术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业务培训，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全面提升创建工作能力，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尤其是针对底数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清，资料收集整理不完整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人员专业技术能力不足等实际问题，采取“请进来”适时邀请专家进行现场指导授课，“走出去”现场观摩学习优秀创建城市的先进经验，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扎实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节水型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城市创建业务能力和技术水平。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省住建厅会同省发展改革委、省水利厅、省生态环境厅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也将适时组织全省城市进行业务培训，提升创建业务水平。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（五）广泛深入宣传，调动全民参与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各市（区）要大力开展节水型城市创建宣传工作力度，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要利用各种传播媒体，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采取多种形式，大力宣传，普及节水理念和节水方法，积极鼓励引导公众和机构参与到节约用水活动中来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充分利用“世界水日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全国城市节水宣传周、节能宣传周”等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重大宣教活动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开展城市节水宣传，增强全民节水意识，让节水理念深入人心，成为每个人的自觉行动。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完善融资机制，加大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资金保障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各市（区）要健全长效资金保障机制，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政府投入与企业投入相结合的原则，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加大财政投入力度。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发挥当地财政的杠杆作用，努力探索多元化投资机制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完善社会资本投融资制度。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采取以奖代补、直接补贴等形式，撬动企业单位节水资金投入，促进企业用水转型升级。鼓励和引导社会资本参与节水诊断、水平衡测试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设施改造等专业服务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，切实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保障稳定可持续的投入制度和资金来源。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附表：陕西省节水型城市创建“季度考核”工作表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2"/>
          <w:cols w:space="720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附表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 xml:space="preserve"> 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53" w:firstLineChars="900"/>
        <w:jc w:val="both"/>
        <w:textAlignment w:val="auto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陕西省节水型城市创建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“</w:t>
      </w:r>
      <w:r>
        <w:rPr>
          <w:rFonts w:hint="eastAsia" w:eastAsia="宋体" w:cs="宋体"/>
          <w:b/>
          <w:sz w:val="36"/>
          <w:szCs w:val="36"/>
          <w:lang w:eastAsia="zh-CN"/>
        </w:rPr>
        <w:t>季度</w:t>
      </w:r>
      <w:r>
        <w:rPr>
          <w:rFonts w:hint="eastAsia" w:ascii="宋体" w:hAnsi="宋体" w:eastAsia="宋体" w:cs="宋体"/>
          <w:b/>
          <w:sz w:val="36"/>
          <w:szCs w:val="36"/>
        </w:rPr>
        <w:t>考核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”工作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tbl>
      <w:tblPr>
        <w:tblStyle w:val="4"/>
        <w:tblW w:w="14312" w:type="dxa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95"/>
        <w:gridCol w:w="3075"/>
        <w:gridCol w:w="1950"/>
        <w:gridCol w:w="2910"/>
        <w:gridCol w:w="2190"/>
        <w:gridCol w:w="2492"/>
      </w:tblGrid>
      <w:tr>
        <w:tblPrEx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城 市 名 称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填 表 日 期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总</w:t>
            </w:r>
            <w:r>
              <w:rPr>
                <w:rFonts w:hint="eastAsia" w:ascii="Times New Roman" w:hAnsi="Times New Roman" w:eastAsia="仿宋" w:cs="Times New Roman"/>
                <w:b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</w:rPr>
              <w:t>分  值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基本条件分值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基础</w:t>
            </w:r>
            <w:r>
              <w:rPr>
                <w:rFonts w:ascii="Times New Roman" w:hAnsi="Times New Roman" w:eastAsia="仿宋" w:cs="Times New Roman"/>
                <w:b/>
              </w:rPr>
              <w:t>管理</w:t>
            </w:r>
            <w:r>
              <w:rPr>
                <w:rFonts w:hint="eastAsia" w:ascii="Times New Roman" w:hAnsi="Times New Roman" w:eastAsia="仿宋" w:cs="Times New Roman"/>
                <w:b/>
              </w:rPr>
              <w:t>分值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技术指标</w:t>
            </w:r>
            <w:r>
              <w:rPr>
                <w:rFonts w:ascii="Times New Roman" w:hAnsi="Times New Roman" w:eastAsia="仿宋" w:cs="Times New Roman"/>
                <w:b/>
              </w:rPr>
              <w:t>分值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</w:p>
        </w:tc>
      </w:tr>
    </w:tbl>
    <w:p>
      <w:pPr>
        <w:pStyle w:val="6"/>
        <w:adjustRightInd w:val="0"/>
        <w:snapToGrid w:val="0"/>
        <w:jc w:val="center"/>
        <w:rPr>
          <w:rFonts w:ascii="Times New Roman" w:hAnsi="Times New Roman" w:eastAsia="仿宋" w:cs="Times New Roman"/>
          <w:b/>
        </w:rPr>
      </w:pPr>
      <w:r>
        <w:rPr>
          <w:rFonts w:hint="eastAsia" w:ascii="Times New Roman" w:hAnsi="Times New Roman" w:eastAsia="仿宋" w:cs="Times New Roman"/>
          <w:b/>
        </w:rPr>
        <w:t>自评</w:t>
      </w:r>
      <w:r>
        <w:rPr>
          <w:rFonts w:ascii="Times New Roman" w:hAnsi="Times New Roman" w:eastAsia="仿宋" w:cs="Times New Roman"/>
          <w:b/>
        </w:rPr>
        <w:t>表</w:t>
      </w:r>
    </w:p>
    <w:tbl>
      <w:tblPr>
        <w:tblStyle w:val="4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4"/>
        <w:gridCol w:w="645"/>
        <w:gridCol w:w="1125"/>
        <w:gridCol w:w="3101"/>
        <w:gridCol w:w="6041"/>
        <w:gridCol w:w="668"/>
        <w:gridCol w:w="950"/>
        <w:gridCol w:w="567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tblHeader/>
        </w:trPr>
        <w:tc>
          <w:tcPr>
            <w:tcW w:w="644" w:type="dxa"/>
            <w:shd w:val="clear" w:color="auto" w:fill="EAF1D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分类</w:t>
            </w:r>
          </w:p>
        </w:tc>
        <w:tc>
          <w:tcPr>
            <w:tcW w:w="645" w:type="dxa"/>
            <w:shd w:val="clear" w:color="auto" w:fill="EAF1D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1125" w:type="dxa"/>
            <w:shd w:val="clear" w:color="auto" w:fill="EAF1D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指标</w:t>
            </w:r>
          </w:p>
        </w:tc>
        <w:tc>
          <w:tcPr>
            <w:tcW w:w="3101" w:type="dxa"/>
            <w:shd w:val="clear" w:color="auto" w:fill="EAF1D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考核内容（指标标准）</w:t>
            </w:r>
          </w:p>
        </w:tc>
        <w:tc>
          <w:tcPr>
            <w:tcW w:w="6041" w:type="dxa"/>
            <w:shd w:val="clear" w:color="auto" w:fill="EAF1D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考核标准</w:t>
            </w:r>
          </w:p>
        </w:tc>
        <w:tc>
          <w:tcPr>
            <w:tcW w:w="668" w:type="dxa"/>
            <w:shd w:val="clear" w:color="auto" w:fill="EAF1D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分数</w:t>
            </w:r>
          </w:p>
        </w:tc>
        <w:tc>
          <w:tcPr>
            <w:tcW w:w="950" w:type="dxa"/>
            <w:shd w:val="clear" w:color="auto" w:fill="EAF1D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完成</w:t>
            </w:r>
            <w:r>
              <w:rPr>
                <w:rFonts w:ascii="仿宋" w:hAnsi="仿宋" w:eastAsia="仿宋"/>
                <w:b/>
                <w:szCs w:val="21"/>
              </w:rPr>
              <w:t>情况</w:t>
            </w:r>
          </w:p>
        </w:tc>
        <w:tc>
          <w:tcPr>
            <w:tcW w:w="1138" w:type="dxa"/>
            <w:gridSpan w:val="2"/>
            <w:shd w:val="clear" w:color="auto" w:fill="EAF1D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应得分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1" w:hRule="atLeast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件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法规制度健全</w:t>
            </w:r>
          </w:p>
        </w:tc>
        <w:tc>
          <w:tcPr>
            <w:tcW w:w="3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具有本级人大或政府颁发的有关城市节水管理方面的法规、规范性文件；具有健全的城市节水管理制度和长效机制，有污水排入排水管网许可制度实施办法。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有城市节约用水管理</w:t>
            </w:r>
            <w:r>
              <w:rPr>
                <w:rFonts w:hint="eastAsia" w:ascii="仿宋" w:hAnsi="仿宋" w:eastAsia="仿宋"/>
                <w:szCs w:val="21"/>
              </w:rPr>
              <w:t>办法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共7项，每缺少一项-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分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有水资源管理</w:t>
            </w:r>
            <w:r>
              <w:rPr>
                <w:rFonts w:hint="eastAsia" w:ascii="仿宋" w:hAnsi="仿宋" w:eastAsia="仿宋"/>
                <w:szCs w:val="21"/>
              </w:rPr>
              <w:t>办法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有供水、排水、用水管理</w:t>
            </w:r>
            <w:r>
              <w:rPr>
                <w:rFonts w:hint="eastAsia" w:ascii="仿宋" w:hAnsi="仿宋" w:eastAsia="仿宋"/>
                <w:szCs w:val="21"/>
              </w:rPr>
              <w:t>办法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有地下水保护管理</w:t>
            </w:r>
            <w:r>
              <w:rPr>
                <w:rFonts w:hint="eastAsia" w:ascii="仿宋" w:hAnsi="仿宋" w:eastAsia="仿宋"/>
                <w:szCs w:val="21"/>
              </w:rPr>
              <w:t>办法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有非常规水利用管理</w:t>
            </w:r>
            <w:r>
              <w:rPr>
                <w:rFonts w:hint="eastAsia" w:ascii="仿宋" w:hAnsi="仿宋" w:eastAsia="仿宋"/>
                <w:szCs w:val="21"/>
              </w:rPr>
              <w:t>办法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有污水排入排水管网许可制度实施办法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有城市节水管理规定等文件；有城市节水奖惩办法、近两年奖惩台帐及通告等材料。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城市节水机构</w:t>
            </w:r>
            <w:r>
              <w:rPr>
                <w:rFonts w:hint="eastAsia" w:ascii="仿宋" w:hAnsi="仿宋" w:eastAsia="仿宋"/>
                <w:szCs w:val="21"/>
              </w:rPr>
              <w:t>依法履责</w:t>
            </w:r>
          </w:p>
        </w:tc>
        <w:tc>
          <w:tcPr>
            <w:tcW w:w="3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城市节水管理机构职责明确，能够依法对供水、用水单位进行全面的节水监督检查、指导管理；组织城市节水技术与产品推广等职责。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城市节水管理主管部门</w:t>
            </w:r>
            <w:r>
              <w:rPr>
                <w:rFonts w:hint="eastAsia" w:ascii="仿宋" w:hAnsi="仿宋" w:eastAsia="仿宋"/>
                <w:szCs w:val="21"/>
              </w:rPr>
              <w:t>明确</w:t>
            </w:r>
            <w:r>
              <w:rPr>
                <w:rFonts w:ascii="仿宋" w:hAnsi="仿宋" w:eastAsia="仿宋"/>
                <w:szCs w:val="21"/>
              </w:rPr>
              <w:t>。</w:t>
            </w:r>
            <w:r>
              <w:rPr>
                <w:rFonts w:hint="eastAsia" w:ascii="仿宋" w:hAnsi="仿宋" w:eastAsia="仿宋"/>
                <w:szCs w:val="21"/>
              </w:rPr>
              <w:t>有城市</w:t>
            </w:r>
            <w:r>
              <w:rPr>
                <w:rFonts w:ascii="仿宋" w:hAnsi="仿宋" w:eastAsia="仿宋"/>
                <w:szCs w:val="21"/>
              </w:rPr>
              <w:t>节水管理机构职责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ascii="仿宋" w:hAnsi="仿宋" w:eastAsia="仿宋"/>
                <w:szCs w:val="21"/>
              </w:rPr>
              <w:t>工作机制和制度等材料。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共3项，每缺少一项-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分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考核年限内，有城市节水的日常培训和管理记录。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考核年限内，有城市节水技术与产品推广台帐及证明材料。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建立城市节水统计制度</w:t>
            </w:r>
          </w:p>
        </w:tc>
        <w:tc>
          <w:tcPr>
            <w:tcW w:w="3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实行规范的城市节水统计制度，按照国家节水统计的要求，建立科学合理的城市节水统计指标体系，定期上报本市节水统计报表。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有用水计量与统计管理办法或者关于城市节水统计制度批准文件，城市节水统计年限至少2年以上。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共</w:t>
            </w:r>
            <w:r>
              <w:rPr>
                <w:rFonts w:ascii="仿宋" w:hAnsi="仿宋" w:eastAsia="仿宋"/>
                <w:szCs w:val="21"/>
              </w:rPr>
              <w:t>3</w:t>
            </w:r>
            <w:r>
              <w:rPr>
                <w:rFonts w:hint="eastAsia" w:ascii="仿宋" w:hAnsi="仿宋" w:eastAsia="仿宋"/>
                <w:szCs w:val="21"/>
              </w:rPr>
              <w:t>项，每缺少一项-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分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城市节水统计内容符合地方文件要求，全面、详尽。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考核年限内，有齐全的城市节水管理统计报表和全市基本情况汇总统计报表。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建立节水财政投入制度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有稳定的年度政府节水财政投入，能够确保节水基础管理、节水技术推广、节水设施改造与建设、节水型器具普及、节水宣传教育等活动的开展。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有财政部门用于节水基础管理、节水技术推广、节水设施建设与改造、节水型器具</w:t>
            </w:r>
            <w:r>
              <w:rPr>
                <w:rFonts w:hint="eastAsia" w:ascii="仿宋" w:hAnsi="仿宋" w:eastAsia="仿宋"/>
                <w:szCs w:val="21"/>
              </w:rPr>
              <w:t>普及</w:t>
            </w:r>
            <w:r>
              <w:rPr>
                <w:rFonts w:ascii="仿宋" w:hAnsi="仿宋" w:eastAsia="仿宋"/>
                <w:szCs w:val="21"/>
              </w:rPr>
              <w:t>、节水宣传教育等活动的年度预算和批复文件。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缺少-</w:t>
            </w: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分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全面开展创建活动</w:t>
            </w:r>
          </w:p>
        </w:tc>
        <w:tc>
          <w:tcPr>
            <w:tcW w:w="3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成立创建工作领导小组，制定和实施创建工作计划；全面开展节水型企业、单位及居民小区等创建活动；广泛开展节水宣传日（周）及日常城市节水宣传活动。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成立创建工作领导小组，制定创建目标和创建计划。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共</w:t>
            </w:r>
            <w:r>
              <w:rPr>
                <w:rFonts w:ascii="仿宋" w:hAnsi="仿宋" w:eastAsia="仿宋"/>
                <w:szCs w:val="21"/>
              </w:rPr>
              <w:t>3</w:t>
            </w:r>
            <w:r>
              <w:rPr>
                <w:rFonts w:hint="eastAsia" w:ascii="仿宋" w:hAnsi="仿宋" w:eastAsia="仿宋"/>
                <w:szCs w:val="21"/>
              </w:rPr>
              <w:t>项，每缺少一项-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分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开展节水型企业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ascii="仿宋" w:hAnsi="仿宋" w:eastAsia="仿宋"/>
                <w:szCs w:val="21"/>
              </w:rPr>
              <w:t>单位、居民小区创建活动。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有全国城市节水宣传周、世界水日等节水宣传活动资料；经常开展日常宣传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0" w:hRule="atLeast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理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城市节水规划</w:t>
            </w:r>
          </w:p>
        </w:tc>
        <w:tc>
          <w:tcPr>
            <w:tcW w:w="3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有经本级政府或上级政府主管部门批准的城市节水中长期规划，节水规划需由具有相应资质的专业机构编制</w:t>
            </w:r>
            <w:r>
              <w:rPr>
                <w:rFonts w:ascii="仿宋" w:hAnsi="仿宋" w:eastAsia="仿宋"/>
                <w:szCs w:val="21"/>
              </w:rPr>
              <w:t>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有具有相应资质的规划机构编制、并经</w:t>
            </w:r>
            <w:r>
              <w:rPr>
                <w:rFonts w:hint="eastAsia" w:ascii="仿宋" w:hAnsi="仿宋" w:eastAsia="仿宋"/>
                <w:szCs w:val="21"/>
              </w:rPr>
              <w:t>本级</w:t>
            </w:r>
            <w:r>
              <w:rPr>
                <w:rFonts w:ascii="仿宋" w:hAnsi="仿宋" w:eastAsia="仿宋"/>
                <w:szCs w:val="21"/>
              </w:rPr>
              <w:t>政府</w:t>
            </w:r>
            <w:r>
              <w:rPr>
                <w:rFonts w:hint="eastAsia" w:ascii="仿宋" w:hAnsi="仿宋" w:eastAsia="仿宋"/>
                <w:szCs w:val="21"/>
              </w:rPr>
              <w:t>或</w:t>
            </w:r>
            <w:r>
              <w:rPr>
                <w:rFonts w:ascii="仿宋" w:hAnsi="仿宋" w:eastAsia="仿宋"/>
                <w:szCs w:val="21"/>
              </w:rPr>
              <w:t>上级政府主管部门批准的城市节水中长期总体规划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得3分。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8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城市节水规划的规划期限为5—10年，内容应包含现状及节水潜力分析、规划目标、任务分解及保障措施等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得3分。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8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城市节水规划执行并落实到位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得2分。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海绵城市建设</w:t>
            </w:r>
          </w:p>
        </w:tc>
        <w:tc>
          <w:tcPr>
            <w:tcW w:w="3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编制完成海绵城市建设规划，在城市规划建设及管理各个环节落实海绵城市理念，已建成海绵城市的区域内无易涝点。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编制完成海绵城市建设规划，得2分</w:t>
            </w:r>
            <w:r>
              <w:rPr>
                <w:rFonts w:ascii="仿宋" w:hAnsi="仿宋" w:eastAsia="仿宋"/>
                <w:szCs w:val="21"/>
              </w:rPr>
              <w:t>。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8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出台</w:t>
            </w:r>
            <w:r>
              <w:rPr>
                <w:rFonts w:ascii="仿宋" w:hAnsi="仿宋" w:eastAsia="仿宋"/>
                <w:szCs w:val="21"/>
              </w:rPr>
              <w:t>海绵城市规划建设管控相关制度，</w:t>
            </w:r>
            <w:r>
              <w:rPr>
                <w:rFonts w:hint="eastAsia" w:ascii="仿宋" w:hAnsi="仿宋" w:eastAsia="仿宋"/>
                <w:szCs w:val="21"/>
              </w:rPr>
              <w:t>考核年限</w:t>
            </w:r>
            <w:r>
              <w:rPr>
                <w:rFonts w:ascii="仿宋" w:hAnsi="仿宋" w:eastAsia="仿宋"/>
                <w:szCs w:val="21"/>
              </w:rPr>
              <w:t>内，</w:t>
            </w:r>
            <w:r>
              <w:rPr>
                <w:rFonts w:hint="eastAsia" w:ascii="仿宋" w:hAnsi="仿宋" w:eastAsia="仿宋"/>
                <w:szCs w:val="21"/>
              </w:rPr>
              <w:t>全市范围的新、改、扩建项目在“一书两证”、施工图审查和竣工验收等</w:t>
            </w:r>
            <w:r>
              <w:rPr>
                <w:rFonts w:ascii="仿宋" w:hAnsi="仿宋" w:eastAsia="仿宋"/>
                <w:szCs w:val="21"/>
              </w:rPr>
              <w:t>环节</w:t>
            </w:r>
            <w:r>
              <w:rPr>
                <w:rFonts w:hint="eastAsia" w:ascii="仿宋" w:hAnsi="仿宋" w:eastAsia="仿宋"/>
                <w:szCs w:val="21"/>
              </w:rPr>
              <w:t>均</w:t>
            </w:r>
            <w:r>
              <w:rPr>
                <w:rFonts w:ascii="仿宋" w:hAnsi="仿宋" w:eastAsia="仿宋"/>
                <w:szCs w:val="21"/>
              </w:rPr>
              <w:t>有海绵城市专项审核</w:t>
            </w:r>
            <w:r>
              <w:rPr>
                <w:rFonts w:hint="eastAsia" w:ascii="仿宋" w:hAnsi="仿宋" w:eastAsia="仿宋"/>
                <w:szCs w:val="21"/>
              </w:rPr>
              <w:t>，得</w:t>
            </w: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8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已建成海绵城市的区域内无易涝点得</w:t>
            </w: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分，每</w:t>
            </w:r>
            <w:r>
              <w:rPr>
                <w:rFonts w:ascii="仿宋" w:hAnsi="仿宋" w:eastAsia="仿宋"/>
                <w:szCs w:val="21"/>
              </w:rPr>
              <w:t>出现1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  <w:r>
              <w:rPr>
                <w:rFonts w:ascii="仿宋" w:hAnsi="仿宋" w:eastAsia="仿宋"/>
                <w:szCs w:val="21"/>
              </w:rPr>
              <w:t>易涝点</w:t>
            </w:r>
            <w:r>
              <w:rPr>
                <w:rFonts w:hint="eastAsia" w:ascii="仿宋" w:hAnsi="仿宋" w:eastAsia="仿宋"/>
                <w:szCs w:val="21"/>
              </w:rPr>
              <w:t>扣1分</w:t>
            </w:r>
            <w:r>
              <w:rPr>
                <w:rFonts w:ascii="仿宋" w:hAnsi="仿宋" w:eastAsia="仿宋"/>
                <w:szCs w:val="21"/>
              </w:rPr>
              <w:t>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7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城市节水资金投入</w:t>
            </w:r>
          </w:p>
        </w:tc>
        <w:tc>
          <w:tcPr>
            <w:tcW w:w="3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城市节水财政投入占本级财政支出的比例≥0.5‰，城市节水资金投入占本级财政支出的比例≥1‰</w:t>
            </w:r>
            <w:r>
              <w:rPr>
                <w:rFonts w:ascii="仿宋" w:hAnsi="仿宋" w:eastAsia="仿宋"/>
                <w:szCs w:val="21"/>
              </w:rPr>
              <w:t>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城市节水财政投入占本级财政支出的比例</w:t>
            </w:r>
            <w:r>
              <w:rPr>
                <w:rFonts w:hint="eastAsia" w:ascii="仿宋" w:hAnsi="仿宋" w:eastAsia="仿宋"/>
                <w:szCs w:val="21"/>
              </w:rPr>
              <w:t>≥</w:t>
            </w:r>
            <w:r>
              <w:rPr>
                <w:rFonts w:ascii="仿宋" w:hAnsi="仿宋" w:eastAsia="仿宋"/>
                <w:szCs w:val="21"/>
              </w:rPr>
              <w:t>0.5‰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得4分。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城市节水资金投入占本级财政支出的比例</w:t>
            </w:r>
            <w:r>
              <w:rPr>
                <w:rFonts w:hint="eastAsia" w:ascii="仿宋" w:hAnsi="仿宋" w:eastAsia="仿宋"/>
                <w:szCs w:val="21"/>
              </w:rPr>
              <w:t>≥</w:t>
            </w:r>
            <w:r>
              <w:rPr>
                <w:rFonts w:ascii="仿宋" w:hAnsi="仿宋" w:eastAsia="仿宋"/>
                <w:szCs w:val="21"/>
              </w:rPr>
              <w:t>1‰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得4分。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4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9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计划用水与定额管理</w:t>
            </w:r>
          </w:p>
        </w:tc>
        <w:tc>
          <w:tcPr>
            <w:tcW w:w="3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在建立科学合理用水定额的基础上，对公共供水的非居民用水单位实行计划用水与定额管理，超定额累进加价。公共供水的非居民用水计划用水率不低于90％。建立用水单位重点监控名录，强化用水监控管理。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全市用水量排名前10位（地级市）或前5位（县级市）的主要行业有</w:t>
            </w:r>
            <w:r>
              <w:rPr>
                <w:rFonts w:hint="eastAsia" w:ascii="仿宋" w:hAnsi="仿宋" w:eastAsia="仿宋"/>
                <w:szCs w:val="21"/>
              </w:rPr>
              <w:t>省级相关</w:t>
            </w:r>
            <w:r>
              <w:rPr>
                <w:rFonts w:ascii="仿宋" w:hAnsi="仿宋" w:eastAsia="仿宋"/>
                <w:szCs w:val="21"/>
              </w:rPr>
              <w:t>部门制定的用水定额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得2分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每缺少一项行业用水定额扣0.25分。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7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公共供水的非居民用水实行计划用水与定额管理，核定用水计划科学合理，计划用水率达90%以上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得3分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每低5%扣0.5分。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1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有超定额累进加价具体实施办法或细则并实施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得2分。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7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建立用水单位重点监控名录，有用水监控措施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得1分。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3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自备水管理</w:t>
            </w:r>
          </w:p>
        </w:tc>
        <w:tc>
          <w:tcPr>
            <w:tcW w:w="3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实行取水许可制度；严格自备水管理，自备水计划用水率不低于90％；城市公共供水管网覆盖范围内的自备井关停率达100%。在地下水超采区，禁止各类建设项目和服务业新增取用地下水。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取水许可</w:t>
            </w:r>
            <w:r>
              <w:rPr>
                <w:rFonts w:hint="eastAsia" w:ascii="仿宋" w:hAnsi="仿宋" w:eastAsia="仿宋"/>
                <w:szCs w:val="21"/>
              </w:rPr>
              <w:t>手续完备，</w:t>
            </w:r>
            <w:r>
              <w:rPr>
                <w:rFonts w:ascii="仿宋" w:hAnsi="仿宋" w:eastAsia="仿宋"/>
                <w:szCs w:val="21"/>
              </w:rPr>
              <w:t>自备水实行计划开采和取用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得1分。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3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自备水计划用水率达90%以上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得1分。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3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城市公共供水管网覆盖范围内的自备井关停率达100%</w:t>
            </w:r>
            <w:r>
              <w:rPr>
                <w:rFonts w:ascii="仿宋" w:hAnsi="仿宋" w:eastAsia="仿宋"/>
                <w:szCs w:val="21"/>
              </w:rPr>
              <w:t>得2分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每低5%扣0.5分。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4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在地下水超采区，连续两年无各类建设项目和服务业新增取用地下水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得1分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有新增取水的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不得分。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8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节水</w:t>
            </w:r>
            <w:r>
              <w:rPr>
                <w:rFonts w:hint="eastAsia" w:ascii="仿宋" w:hAnsi="仿宋" w:eastAsia="仿宋"/>
                <w:szCs w:val="21"/>
              </w:rPr>
              <w:t>“</w:t>
            </w:r>
            <w:r>
              <w:rPr>
                <w:rFonts w:ascii="仿宋" w:hAnsi="仿宋" w:eastAsia="仿宋"/>
                <w:szCs w:val="21"/>
              </w:rPr>
              <w:t>三同时</w:t>
            </w:r>
            <w:r>
              <w:rPr>
                <w:rFonts w:hint="eastAsia" w:ascii="仿宋" w:hAnsi="仿宋" w:eastAsia="仿宋"/>
                <w:szCs w:val="21"/>
              </w:rPr>
              <w:t>”</w:t>
            </w:r>
            <w:r>
              <w:rPr>
                <w:rFonts w:ascii="仿宋" w:hAnsi="仿宋" w:eastAsia="仿宋"/>
                <w:szCs w:val="21"/>
              </w:rPr>
              <w:t>管理</w:t>
            </w:r>
          </w:p>
        </w:tc>
        <w:tc>
          <w:tcPr>
            <w:tcW w:w="3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使用公共供水和自备水的新建、改建、扩建工程项目，均必须配套建设节水设施和使用节水型器具，并与主体工程同时设计、同时施工，同时投入使用</w:t>
            </w:r>
            <w:r>
              <w:rPr>
                <w:rFonts w:ascii="仿宋" w:hAnsi="仿宋" w:eastAsia="仿宋"/>
                <w:szCs w:val="21"/>
              </w:rPr>
              <w:t>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有市有关部门联合下发的对新建、改建、扩建工程项目节水设施</w:t>
            </w:r>
            <w:r>
              <w:rPr>
                <w:rFonts w:hint="eastAsia" w:ascii="仿宋" w:hAnsi="仿宋" w:eastAsia="仿宋"/>
                <w:szCs w:val="21"/>
              </w:rPr>
              <w:t>“</w:t>
            </w:r>
            <w:r>
              <w:rPr>
                <w:rFonts w:ascii="仿宋" w:hAnsi="仿宋" w:eastAsia="仿宋"/>
                <w:szCs w:val="21"/>
              </w:rPr>
              <w:t>三同时</w:t>
            </w:r>
            <w:r>
              <w:rPr>
                <w:rFonts w:hint="eastAsia" w:ascii="仿宋" w:hAnsi="仿宋" w:eastAsia="仿宋"/>
                <w:szCs w:val="21"/>
              </w:rPr>
              <w:t>”</w:t>
            </w:r>
            <w:r>
              <w:rPr>
                <w:rFonts w:ascii="仿宋" w:hAnsi="仿宋" w:eastAsia="仿宋"/>
                <w:szCs w:val="21"/>
              </w:rPr>
              <w:t>管理的文件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得1分。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3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有</w:t>
            </w:r>
            <w:r>
              <w:rPr>
                <w:rFonts w:hint="eastAsia" w:ascii="仿宋" w:hAnsi="仿宋" w:eastAsia="仿宋"/>
                <w:szCs w:val="21"/>
              </w:rPr>
              <w:t>“</w:t>
            </w:r>
            <w:r>
              <w:rPr>
                <w:rFonts w:ascii="仿宋" w:hAnsi="仿宋" w:eastAsia="仿宋"/>
                <w:szCs w:val="21"/>
              </w:rPr>
              <w:t>三同时</w:t>
            </w:r>
            <w:r>
              <w:rPr>
                <w:rFonts w:hint="eastAsia" w:ascii="仿宋" w:hAnsi="仿宋" w:eastAsia="仿宋"/>
                <w:szCs w:val="21"/>
              </w:rPr>
              <w:t>”</w:t>
            </w:r>
            <w:r>
              <w:rPr>
                <w:rFonts w:ascii="仿宋" w:hAnsi="仿宋" w:eastAsia="仿宋"/>
                <w:szCs w:val="21"/>
              </w:rPr>
              <w:t>制度的实施程序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得1分。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考核年限内，有市有关部门对节水设施项目审核、竣工验收资料，</w:t>
            </w:r>
            <w:r>
              <w:rPr>
                <w:rFonts w:hint="eastAsia" w:ascii="仿宋" w:hAnsi="仿宋" w:eastAsia="仿宋"/>
                <w:szCs w:val="21"/>
              </w:rPr>
              <w:t>或者</w:t>
            </w:r>
            <w:r>
              <w:rPr>
                <w:rFonts w:ascii="仿宋" w:hAnsi="仿宋" w:eastAsia="仿宋"/>
                <w:szCs w:val="21"/>
              </w:rPr>
              <w:t>有关工程</w:t>
            </w:r>
            <w:r>
              <w:rPr>
                <w:rFonts w:hint="eastAsia" w:ascii="仿宋" w:hAnsi="仿宋" w:eastAsia="仿宋"/>
                <w:szCs w:val="21"/>
              </w:rPr>
              <w:t>建设</w:t>
            </w:r>
            <w:r>
              <w:rPr>
                <w:rFonts w:ascii="仿宋" w:hAnsi="仿宋" w:eastAsia="仿宋"/>
                <w:szCs w:val="21"/>
              </w:rPr>
              <w:t>审批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ascii="仿宋" w:hAnsi="仿宋" w:eastAsia="仿宋"/>
                <w:szCs w:val="21"/>
              </w:rPr>
              <w:t>管理环节</w:t>
            </w:r>
            <w:r>
              <w:rPr>
                <w:rFonts w:hint="eastAsia" w:ascii="仿宋" w:hAnsi="仿宋" w:eastAsia="仿宋"/>
                <w:szCs w:val="21"/>
              </w:rPr>
              <w:t>有城市</w:t>
            </w:r>
            <w:r>
              <w:rPr>
                <w:rFonts w:ascii="仿宋" w:hAnsi="仿宋" w:eastAsia="仿宋"/>
                <w:szCs w:val="21"/>
              </w:rPr>
              <w:t>节水部门出具</w:t>
            </w:r>
            <w:r>
              <w:rPr>
                <w:rFonts w:hint="eastAsia" w:ascii="仿宋" w:hAnsi="仿宋" w:eastAsia="仿宋"/>
                <w:szCs w:val="21"/>
              </w:rPr>
              <w:t>的“三同时”审核</w:t>
            </w:r>
            <w:r>
              <w:rPr>
                <w:rFonts w:ascii="仿宋" w:hAnsi="仿宋" w:eastAsia="仿宋"/>
                <w:szCs w:val="21"/>
              </w:rPr>
              <w:t>意见，得3分。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6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价格管理</w:t>
            </w:r>
          </w:p>
        </w:tc>
        <w:tc>
          <w:tcPr>
            <w:tcW w:w="3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取用地表水和地下水，均应征收水资源费（税）、污水处理费；水资源费（税）征收率不低于90%，污水处理费（含自备水）收缴率不低于85%，收费标准不低于国家或地方标准。有限制特种行业用水、鼓励使用再生水的价格指导意见或标准。建立供水企业水价调整成本公开和定价成本监审公开制度。居民用水实行阶梯水价</w:t>
            </w:r>
            <w:r>
              <w:rPr>
                <w:rFonts w:ascii="仿宋" w:hAnsi="仿宋" w:eastAsia="仿宋"/>
                <w:szCs w:val="21"/>
              </w:rPr>
              <w:t>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考核年限内，水资源费</w:t>
            </w:r>
            <w:r>
              <w:rPr>
                <w:rFonts w:hint="eastAsia" w:ascii="仿宋" w:hAnsi="仿宋" w:eastAsia="仿宋"/>
                <w:szCs w:val="21"/>
              </w:rPr>
              <w:t>（税）</w:t>
            </w:r>
            <w:r>
              <w:rPr>
                <w:rFonts w:ascii="仿宋" w:hAnsi="仿宋" w:eastAsia="仿宋"/>
                <w:szCs w:val="21"/>
              </w:rPr>
              <w:t>征收率不低于</w:t>
            </w:r>
            <w:r>
              <w:rPr>
                <w:rFonts w:hint="eastAsia" w:ascii="仿宋" w:hAnsi="仿宋" w:eastAsia="仿宋"/>
                <w:szCs w:val="21"/>
              </w:rPr>
              <w:t>90</w:t>
            </w:r>
            <w:r>
              <w:rPr>
                <w:rFonts w:ascii="仿宋" w:hAnsi="仿宋" w:eastAsia="仿宋"/>
                <w:szCs w:val="21"/>
              </w:rPr>
              <w:t>%得2分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每低2%扣1分。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3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全面征收污水处理费，污水处理费（含自备水）收缴率不低于</w:t>
            </w:r>
            <w:r>
              <w:rPr>
                <w:rFonts w:hint="eastAsia" w:ascii="仿宋" w:hAnsi="仿宋" w:eastAsia="仿宋"/>
                <w:szCs w:val="21"/>
              </w:rPr>
              <w:t>85</w:t>
            </w:r>
            <w:r>
              <w:rPr>
                <w:rFonts w:ascii="仿宋" w:hAnsi="仿宋" w:eastAsia="仿宋"/>
                <w:szCs w:val="21"/>
              </w:rPr>
              <w:t>%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得3分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每低5%扣1分。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6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污水处理费</w:t>
            </w:r>
            <w:r>
              <w:rPr>
                <w:rFonts w:ascii="仿宋" w:hAnsi="仿宋" w:eastAsia="仿宋"/>
                <w:szCs w:val="21"/>
              </w:rPr>
              <w:t>收费标准不低于国家或地方标准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得1分。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加强特种行业用水管理，有特种行业价格指导意见或价格标准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得1分。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2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鼓励使用再生水，有再生水价格指导意见或价格标准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得1分。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实施水价调整成本公开和定价成本监审公开制度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得1分。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2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居民用水实行阶梯水价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得1分。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" w:hRule="atLeast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</w:t>
            </w:r>
            <w:r>
              <w:rPr>
                <w:rFonts w:ascii="仿宋" w:hAnsi="仿宋" w:eastAsia="仿宋"/>
                <w:szCs w:val="21"/>
              </w:rPr>
              <w:t>考核指标之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综合节水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万元地区生产总值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ascii="仿宋" w:hAnsi="仿宋" w:eastAsia="仿宋"/>
                <w:szCs w:val="21"/>
              </w:rPr>
              <w:t>GDP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  <w:r>
              <w:rPr>
                <w:rFonts w:ascii="仿宋" w:hAnsi="仿宋" w:eastAsia="仿宋"/>
                <w:szCs w:val="21"/>
              </w:rPr>
              <w:t>用水量（立方米/万元）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低于全国平均值的</w:t>
            </w:r>
            <w:r>
              <w:rPr>
                <w:rFonts w:hint="eastAsia" w:ascii="仿宋" w:hAnsi="仿宋" w:eastAsia="仿宋"/>
                <w:szCs w:val="21"/>
              </w:rPr>
              <w:t>5</w:t>
            </w:r>
            <w:r>
              <w:rPr>
                <w:rFonts w:ascii="仿宋" w:hAnsi="仿宋" w:eastAsia="仿宋"/>
                <w:szCs w:val="21"/>
              </w:rPr>
              <w:t>0%或年降低率≥</w:t>
            </w:r>
            <w:r>
              <w:rPr>
                <w:rFonts w:hint="eastAsia" w:ascii="仿宋" w:hAnsi="仿宋" w:eastAsia="仿宋"/>
                <w:szCs w:val="21"/>
              </w:rPr>
              <w:t>4</w:t>
            </w:r>
            <w:r>
              <w:rPr>
                <w:rFonts w:ascii="仿宋" w:hAnsi="仿宋" w:eastAsia="仿宋"/>
                <w:szCs w:val="21"/>
              </w:rPr>
              <w:t>%。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考核年限内，未达标准不得分。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城市非常规水资源利用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缺水城市，再生水利用率≥2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%；其他地区，城市非常规水资源替代率≥20%或年增长率≥5%。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考核年限内，达到标准得6分。每低5%或增长率每低1%，扣 1 分。高出标准的，每增5%加0.5分，最高加1分。</w:t>
            </w:r>
            <w:r>
              <w:rPr>
                <w:rFonts w:hint="eastAsia" w:ascii="仿宋" w:hAnsi="仿宋" w:eastAsia="仿宋"/>
                <w:szCs w:val="21"/>
              </w:rPr>
              <w:t>有景观补水为再生水的，每一处加0.5分，最高加2分。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5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15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城市供水管网漏损率</w:t>
            </w:r>
          </w:p>
        </w:tc>
        <w:tc>
          <w:tcPr>
            <w:tcW w:w="3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制定供水管网漏损控制计划，通过实施供水管网分区计量管理、老旧管网改造等措施控制管网漏损。城市公共供水管网漏损率≤12%。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制定供水管网漏损控制计划，实施供水管网分区计量管理，推进老旧管网改造，得2分。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考核年限内，城市公共供水管网漏损率达到标准得4分；每超标准1%扣0.5分，每低0.5%加0.5分，最高加1分。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" w:hRule="atLeast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</w:t>
            </w:r>
            <w:r>
              <w:rPr>
                <w:rFonts w:ascii="仿宋" w:hAnsi="仿宋" w:eastAsia="仿宋"/>
                <w:szCs w:val="21"/>
              </w:rPr>
              <w:t>考核指标之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生活节水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</w:t>
            </w:r>
            <w:r>
              <w:rPr>
                <w:rFonts w:ascii="仿宋" w:hAnsi="仿宋" w:eastAsia="仿宋"/>
                <w:szCs w:val="21"/>
              </w:rPr>
              <w:t>考核指标之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生活节水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16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节水型居民小区覆盖率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≥5%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考核年限内，达到标准得3分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每低1%扣0.5分。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17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节水型单位覆盖率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≥</w:t>
            </w:r>
            <w:r>
              <w:rPr>
                <w:rFonts w:ascii="仿宋" w:hAnsi="仿宋" w:eastAsia="仿宋"/>
                <w:szCs w:val="21"/>
              </w:rPr>
              <w:t>10%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考核年限内，达到标准得3分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每低1%扣0.5分。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18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城市居民生活用水量（升/（人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•</w:t>
            </w:r>
            <w:r>
              <w:rPr>
                <w:rFonts w:ascii="仿宋" w:hAnsi="仿宋" w:eastAsia="仿宋"/>
                <w:szCs w:val="21"/>
              </w:rPr>
              <w:t>日））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不高于陕西省行业用水定额指标。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超过陕西省行业用水定额指标的不得分。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5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19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节水</w:t>
            </w:r>
            <w:r>
              <w:rPr>
                <w:rFonts w:hint="eastAsia" w:ascii="仿宋" w:hAnsi="仿宋" w:eastAsia="仿宋"/>
                <w:szCs w:val="21"/>
              </w:rPr>
              <w:t>型</w:t>
            </w:r>
            <w:r>
              <w:rPr>
                <w:rFonts w:ascii="仿宋" w:hAnsi="仿宋" w:eastAsia="仿宋"/>
                <w:szCs w:val="21"/>
              </w:rPr>
              <w:t>器具普及</w:t>
            </w:r>
          </w:p>
        </w:tc>
        <w:tc>
          <w:tcPr>
            <w:tcW w:w="3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禁止生产、销售不符合节水标准的用水器具；定期开展用水器具检查，生活用水器具市场抽检覆盖率达80%以上，市场抽检在售用水器具中节水型器具占比100%；公共建筑节水型器具普及率达100%。鼓励居民家庭淘汰和更换非节水型器具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考核年限内，地方节水部门联合工商、质检等部门对生活用水器具市场进行抽检，生活用水器具市场进行抽检覆盖率达80%以上，得1分，每低10%扣0.25分。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生活用水器具市场在售用水器具中，节水型器具占比达100%（按抽检计）得1分；有销售淘汰用水器具和非节水型器具的本项指标5分全部扣除；随机抽检1家建材商店，发现销售淘汰用水器具和非节水型器具的，本项指标5分全部扣除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考核年限内，对用水量排名前10的公共建筑用水单位进行抽检得1分。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80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考核年限内，用水量排名前10的公共建筑节水型器具普及率达100%（按抽检计），得1分；有使用淘汰用水器具和非节水型器具的本分项指标不得分。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2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有鼓励居民家庭淘汰和更换非节水型器具的政策和措施，得1分。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99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特种行业用水计量收费率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达到100%。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考核年限内，达到标准得2分，每低5%扣 0.5 分。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26" w:hRule="atLeast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</w:t>
            </w:r>
            <w:r>
              <w:rPr>
                <w:rFonts w:ascii="仿宋" w:hAnsi="仿宋" w:eastAsia="仿宋"/>
                <w:szCs w:val="21"/>
              </w:rPr>
              <w:t>考核指标之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工业</w:t>
            </w:r>
            <w:r>
              <w:rPr>
                <w:rFonts w:ascii="仿宋" w:hAnsi="仿宋" w:eastAsia="仿宋"/>
                <w:szCs w:val="21"/>
              </w:rPr>
              <w:t>节水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万元工业增加值用水量（（立方米/万元）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低于全国平均值的 </w:t>
            </w:r>
            <w:r>
              <w:rPr>
                <w:rFonts w:hint="eastAsia" w:ascii="仿宋" w:hAnsi="仿宋" w:eastAsia="仿宋"/>
                <w:szCs w:val="21"/>
              </w:rPr>
              <w:t>6</w:t>
            </w:r>
            <w:r>
              <w:rPr>
                <w:rFonts w:ascii="仿宋" w:hAnsi="仿宋" w:eastAsia="仿宋"/>
                <w:szCs w:val="21"/>
              </w:rPr>
              <w:t>0%或年降低率≥</w:t>
            </w:r>
            <w:r>
              <w:rPr>
                <w:rFonts w:hint="eastAsia" w:ascii="仿宋" w:hAnsi="仿宋" w:eastAsia="仿宋"/>
                <w:szCs w:val="21"/>
              </w:rPr>
              <w:t>4</w:t>
            </w:r>
            <w:r>
              <w:rPr>
                <w:rFonts w:ascii="仿宋" w:hAnsi="仿宋" w:eastAsia="仿宋"/>
                <w:szCs w:val="21"/>
              </w:rPr>
              <w:t>%。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考核年限内，达到标准得4分，未达到标准的不得分。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3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工业用水重复利用率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≥80%（不含电厂）。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考核年限内，达到标准得4分，每低5%扣1分。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3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工业企业单位产品用水量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不大于国家发布的GB/T18916 定额系列标准或陕西省行业用水定额。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考核年限内，达到标准得3分，每有一个行业取水指标超过定额扣 1 分。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95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节水型企业覆盖率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≥15%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考核年限内，达到标准的得 2分，每低2%扣0.5分。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0" w:hRule="atLeast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</w:t>
            </w:r>
            <w:r>
              <w:rPr>
                <w:rFonts w:ascii="仿宋" w:hAnsi="仿宋" w:eastAsia="仿宋"/>
                <w:szCs w:val="21"/>
              </w:rPr>
              <w:t>考核指标之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环境生态节水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25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城市水环境质量</w:t>
            </w:r>
          </w:p>
        </w:tc>
        <w:tc>
          <w:tcPr>
            <w:tcW w:w="3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城市水环境质量达标率为100%，建成区范围内无黑臭水体，城市集中式饮用水水源水质达标。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考核年限内，城市水环境质量达标率为100%得2分，每低5%扣0.5分.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5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建成区范围内无黑臭水体得2分，有黑臭水体的分项指标不得分。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城市集中式饮用水水源水质达标得2分，未达标准不得分。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</w:tbl>
    <w:p>
      <w:r>
        <w:rPr>
          <w:rFonts w:ascii="Times New Roman" w:hAnsi="Times New Roman" w:eastAsia="仿宋" w:cs="Times New Roman"/>
          <w:szCs w:val="28"/>
        </w:rPr>
        <w:t>注：a、考核总分为 100 分。其中，基础管理指标50分；技术考核指标50分。b、技术考核指标包括：综合节水考核指标16分，生活节水考核指标15分，工业节水考核指标13分，环境生态节水6分。c、综合节水考核指标中有</w:t>
      </w:r>
      <w:r>
        <w:rPr>
          <w:rFonts w:hint="eastAsia" w:ascii="Times New Roman" w:hAnsi="Times New Roman" w:eastAsia="仿宋" w:cs="Times New Roman"/>
          <w:szCs w:val="28"/>
        </w:rPr>
        <w:t>3</w:t>
      </w:r>
      <w:r>
        <w:rPr>
          <w:rFonts w:ascii="Times New Roman" w:hAnsi="Times New Roman" w:eastAsia="仿宋" w:cs="Times New Roman"/>
          <w:szCs w:val="28"/>
        </w:rPr>
        <w:t>个加分项，最高加</w:t>
      </w:r>
      <w:r>
        <w:rPr>
          <w:rFonts w:hint="eastAsia" w:ascii="Times New Roman" w:hAnsi="Times New Roman" w:eastAsia="仿宋" w:cs="Times New Roman"/>
          <w:szCs w:val="28"/>
        </w:rPr>
        <w:t>4</w:t>
      </w:r>
      <w:r>
        <w:rPr>
          <w:rFonts w:ascii="Times New Roman" w:hAnsi="Times New Roman" w:eastAsia="仿宋" w:cs="Times New Roman"/>
          <w:szCs w:val="28"/>
        </w:rPr>
        <w:t>分。d、评分表中涉及扣分的，除特殊说明外，均为对应分项指标的分值扣完为</w:t>
      </w:r>
      <w:r>
        <w:rPr>
          <w:rFonts w:hint="eastAsia" w:ascii="Times New Roman" w:hAnsi="Times New Roman" w:eastAsia="仿宋" w:cs="Times New Roman"/>
          <w:szCs w:val="28"/>
        </w:rPr>
        <w:t>止</w:t>
      </w:r>
      <w:r>
        <w:rPr>
          <w:rFonts w:ascii="Times New Roman" w:hAnsi="Times New Roman" w:eastAsia="仿宋" w:cs="Times New Roman"/>
          <w:szCs w:val="28"/>
        </w:rPr>
        <w:t>。e</w:t>
      </w:r>
      <w:r>
        <w:rPr>
          <w:rFonts w:hint="eastAsia" w:ascii="Times New Roman" w:hAnsi="Times New Roman" w:eastAsia="仿宋" w:cs="Times New Roman"/>
          <w:szCs w:val="28"/>
        </w:rPr>
        <w:t>、基本</w:t>
      </w:r>
      <w:r>
        <w:rPr>
          <w:rFonts w:ascii="Times New Roman" w:hAnsi="Times New Roman" w:eastAsia="仿宋" w:cs="Times New Roman"/>
          <w:szCs w:val="28"/>
        </w:rPr>
        <w:t>条件考核指标中有</w:t>
      </w:r>
      <w:r>
        <w:rPr>
          <w:rFonts w:hint="eastAsia" w:ascii="Times New Roman" w:hAnsi="Times New Roman" w:eastAsia="仿宋" w:cs="Times New Roman"/>
          <w:szCs w:val="28"/>
        </w:rPr>
        <w:t>17个</w:t>
      </w:r>
      <w:r>
        <w:rPr>
          <w:rFonts w:ascii="Times New Roman" w:hAnsi="Times New Roman" w:eastAsia="仿宋" w:cs="Times New Roman"/>
          <w:szCs w:val="28"/>
        </w:rPr>
        <w:t>减分项，最高减17</w:t>
      </w:r>
      <w:r>
        <w:rPr>
          <w:rFonts w:hint="eastAsia" w:ascii="Times New Roman" w:hAnsi="Times New Roman" w:eastAsia="仿宋" w:cs="Times New Roman"/>
          <w:szCs w:val="28"/>
        </w:rPr>
        <w:t>分，</w:t>
      </w:r>
      <w:r>
        <w:rPr>
          <w:rFonts w:ascii="Times New Roman" w:hAnsi="Times New Roman" w:eastAsia="仿宋" w:cs="Times New Roman"/>
          <w:szCs w:val="28"/>
        </w:rPr>
        <w:t>申报节水型城市</w:t>
      </w:r>
      <w:r>
        <w:rPr>
          <w:rFonts w:hint="eastAsia" w:ascii="Times New Roman" w:hAnsi="Times New Roman" w:eastAsia="仿宋" w:cs="Times New Roman"/>
          <w:szCs w:val="28"/>
        </w:rPr>
        <w:t>时</w:t>
      </w:r>
      <w:r>
        <w:rPr>
          <w:rFonts w:ascii="Times New Roman" w:hAnsi="Times New Roman" w:eastAsia="仿宋" w:cs="Times New Roman"/>
          <w:szCs w:val="28"/>
        </w:rPr>
        <w:t>，</w:t>
      </w:r>
      <w:r>
        <w:rPr>
          <w:rFonts w:hint="eastAsia" w:ascii="Times New Roman" w:hAnsi="Times New Roman" w:eastAsia="仿宋" w:cs="Times New Roman"/>
          <w:szCs w:val="28"/>
        </w:rPr>
        <w:t>所有减分</w:t>
      </w:r>
      <w:r>
        <w:rPr>
          <w:rFonts w:ascii="Times New Roman" w:hAnsi="Times New Roman" w:eastAsia="仿宋" w:cs="Times New Roman"/>
          <w:szCs w:val="28"/>
        </w:rPr>
        <w:t>项均应满足指标</w:t>
      </w:r>
      <w:r>
        <w:rPr>
          <w:rFonts w:hint="eastAsia" w:ascii="Times New Roman" w:hAnsi="Times New Roman" w:eastAsia="仿宋" w:cs="Times New Roman"/>
          <w:szCs w:val="28"/>
        </w:rPr>
        <w:t>标准。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1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szCs w:val="24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 w:val="0"/>
      <w:spacing w:beforeAutospacing="1" w:afterAutospacing="1"/>
    </w:pPr>
    <w:rPr>
      <w:rFonts w:ascii="Calibri" w:hAnsi="Calibri"/>
      <w:sz w:val="24"/>
      <w:szCs w:val="22"/>
      <w:lang w:eastAsia="zh-CN" w:bidi="ar-SA"/>
    </w:rPr>
  </w:style>
  <w:style w:type="paragraph" w:customStyle="1" w:styleId="6">
    <w:name w:val="unname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2019-04-11T02:14:25Z</dcterms:created>
  <dc:creator>Administrator</dc:creator>
  <cp:lastModifiedBy>〰</cp:lastModifiedBy>
  <dcterms:modified xsi:type="dcterms:W3CDTF">2019-04-11T02:14:59Z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