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ourier New" w:eastAsia="仿宋_GB2312" w:cs="Courier New"/>
          <w:sz w:val="32"/>
          <w:szCs w:val="32"/>
        </w:rPr>
      </w:pPr>
      <w:r>
        <w:rPr>
          <w:rFonts w:hint="eastAsia" w:ascii="仿宋_GB2312" w:hAnsi="Courier New" w:eastAsia="仿宋_GB2312" w:cs="Courier New"/>
          <w:sz w:val="32"/>
          <w:szCs w:val="32"/>
        </w:rPr>
        <w:t>附件：</w:t>
      </w:r>
    </w:p>
    <w:p>
      <w:pPr>
        <w:jc w:val="center"/>
        <w:rPr>
          <w:rFonts w:hint="eastAsia" w:ascii="仿宋_GB2312" w:hAnsi="Courier New" w:eastAsia="仿宋_GB2312" w:cs="Courier New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绿色生态居住小区项目列表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20"/>
        <w:gridCol w:w="1800"/>
        <w:gridCol w:w="1800"/>
        <w:gridCol w:w="1260"/>
        <w:gridCol w:w="1260"/>
        <w:gridCol w:w="1800"/>
        <w:gridCol w:w="158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组织申报单位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申报单位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评审阶段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建筑面积（万</w:t>
            </w: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）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取得绿色建筑评价标识情况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形象进度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取得楼号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占项目比例</w:t>
            </w: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陕西省西安市住房和城乡建设局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万科</w:t>
            </w:r>
            <w:r>
              <w:rPr>
                <w:rFonts w:hint="eastAsia" w:ascii="仿宋" w:hAnsi="仿宋" w:eastAsia="仿宋" w:cs="仿宋"/>
                <w:sz w:val="24"/>
              </w:rPr>
              <w:t>金域蓝湾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西安航辉房地产开发有限公司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终评审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18.4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1~12#及地下车库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竣工验收已满一年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陕西省西安市住房和城乡建设局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西安万科金域东郡一二期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西安唐安房地产开发有限公司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终评审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65.83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1~23#及地下车库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竣工验收已满一年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陕西省渭南市住房和城乡建设局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碧桂园·翡翠公馆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渭南市碧桂园房地产开发有限公司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终评审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21.24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1~8#、9#a、9#b、10#a、10#b、11#、12#、14#及地下车库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100%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竣工验收已满一年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297</Characters>
  <Lines>0</Lines>
  <Paragraphs>0</Paragraphs>
  <TotalTime>0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2022-05-25T01:46:23Z</dcterms:created>
  <dc:creator>Administrator</dc:creator>
  <cp:lastModifiedBy>〰</cp:lastModifiedBy>
  <dcterms:modified xsi:type="dcterms:W3CDTF">2022-05-25T01:47:00Z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D719C6529762471BAE826F5DAF82E644</vt:lpwstr>
  </property>
</Properties>
</file>