
<file path=[Content_Types].xml><?xml version="1.0" encoding="utf-8"?>
<Types xmlns="http://schemas.openxmlformats.org/package/2006/content-types">
  <Default Extension="bin" ContentType="application/vnd.openxmlformats-officedocument.oleObject"/>
  <Default Extension="wmf" ContentType="image/x-wmf"/>
  <Default Extension="png" ContentType="image/png"/>
  <Default Extension="jpeg" ContentType="image/jpeg"/>
  <Default Extension="JPG" ContentType="image/.jp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77BE52">
      <w:pPr>
        <w:adjustRightInd w:val="0"/>
        <w:snapToGrid w:val="0"/>
        <w:spacing w:line="420" w:lineRule="exact"/>
        <w:jc w:val="center"/>
        <w:rPr>
          <w:rFonts w:hint="default" w:ascii="Times New Roman" w:hAnsi="Times New Roman" w:eastAsia="黑体" w:cs="Times New Roman"/>
          <w:bCs/>
          <w:color w:val="auto"/>
          <w:sz w:val="32"/>
          <w:szCs w:val="32"/>
        </w:rPr>
      </w:pPr>
    </w:p>
    <w:p w14:paraId="1DE0BDEF">
      <w:pPr>
        <w:adjustRightInd w:val="0"/>
        <w:snapToGrid w:val="0"/>
        <w:spacing w:line="420" w:lineRule="exact"/>
        <w:jc w:val="center"/>
        <w:rPr>
          <w:rFonts w:hint="default" w:ascii="Times New Roman" w:hAnsi="Times New Roman" w:eastAsia="黑体" w:cs="Times New Roman"/>
          <w:bCs/>
          <w:color w:val="auto"/>
          <w:sz w:val="32"/>
          <w:szCs w:val="32"/>
        </w:rPr>
      </w:pPr>
    </w:p>
    <w:p w14:paraId="356301C1">
      <w:pPr>
        <w:adjustRightInd w:val="0"/>
        <w:snapToGrid w:val="0"/>
        <w:spacing w:line="420" w:lineRule="exact"/>
        <w:jc w:val="center"/>
        <w:rPr>
          <w:rFonts w:hint="default" w:ascii="Times New Roman" w:hAnsi="Times New Roman" w:eastAsia="黑体" w:cs="Times New Roman"/>
          <w:bCs/>
          <w:color w:val="auto"/>
          <w:sz w:val="32"/>
          <w:szCs w:val="32"/>
        </w:rPr>
      </w:pPr>
    </w:p>
    <w:p w14:paraId="2DC8F53B">
      <w:pPr>
        <w:adjustRightInd w:val="0"/>
        <w:snapToGrid w:val="0"/>
        <w:spacing w:line="420" w:lineRule="exact"/>
        <w:jc w:val="center"/>
        <w:rPr>
          <w:rFonts w:hint="default" w:ascii="Times New Roman" w:hAnsi="Times New Roman" w:eastAsia="黑体" w:cs="Times New Roman"/>
          <w:bCs/>
          <w:color w:val="auto"/>
          <w:sz w:val="32"/>
          <w:szCs w:val="32"/>
        </w:rPr>
      </w:pPr>
    </w:p>
    <w:p w14:paraId="2EF269D2">
      <w:pPr>
        <w:adjustRightInd w:val="0"/>
        <w:snapToGrid w:val="0"/>
        <w:spacing w:line="420" w:lineRule="exact"/>
        <w:jc w:val="center"/>
        <w:rPr>
          <w:rFonts w:hint="default" w:ascii="Times New Roman" w:hAnsi="Times New Roman" w:eastAsia="黑体" w:cs="Times New Roman"/>
          <w:bCs/>
          <w:color w:val="auto"/>
          <w:sz w:val="32"/>
          <w:szCs w:val="32"/>
        </w:rPr>
      </w:pPr>
      <w:r>
        <w:rPr>
          <w:rFonts w:hint="default" w:ascii="Times New Roman" w:hAnsi="Times New Roman" w:eastAsia="黑体" w:cs="Times New Roman"/>
          <w:bCs/>
          <w:color w:val="auto"/>
          <w:sz w:val="32"/>
          <w:szCs w:val="32"/>
        </w:rPr>
        <w:t>陕西省工程建设标准</w:t>
      </w:r>
    </w:p>
    <w:p w14:paraId="3F118EDB">
      <w:pPr>
        <w:adjustRightInd w:val="0"/>
        <w:snapToGrid w:val="0"/>
        <w:spacing w:line="300" w:lineRule="auto"/>
        <w:rPr>
          <w:rFonts w:hint="default" w:ascii="Times New Roman" w:hAnsi="Times New Roman" w:cs="Times New Roman" w:eastAsiaTheme="minorEastAsia"/>
          <w:b/>
          <w:bCs/>
          <w:color w:val="auto"/>
          <w:sz w:val="32"/>
          <w:szCs w:val="32"/>
        </w:rPr>
      </w:pPr>
    </w:p>
    <w:p w14:paraId="25F8DA93">
      <w:pPr>
        <w:adjustRightInd w:val="0"/>
        <w:snapToGrid w:val="0"/>
        <w:spacing w:line="300" w:lineRule="auto"/>
        <w:rPr>
          <w:rFonts w:hint="default" w:ascii="Times New Roman" w:hAnsi="Times New Roman" w:cs="Times New Roman" w:eastAsiaTheme="minorEastAsia"/>
          <w:b/>
          <w:bCs/>
          <w:color w:val="auto"/>
          <w:sz w:val="32"/>
          <w:szCs w:val="32"/>
        </w:rPr>
      </w:pPr>
    </w:p>
    <w:p w14:paraId="237FE647">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eastAsia" w:asciiTheme="majorEastAsia" w:hAnsiTheme="majorEastAsia" w:eastAsiaTheme="majorEastAsia" w:cstheme="majorEastAsia"/>
          <w:b/>
          <w:bCs/>
          <w:color w:val="auto"/>
          <w:sz w:val="44"/>
          <w:szCs w:val="44"/>
        </w:rPr>
      </w:pPr>
      <w:r>
        <w:rPr>
          <w:rFonts w:hint="eastAsia" w:asciiTheme="majorEastAsia" w:hAnsiTheme="majorEastAsia" w:eastAsiaTheme="majorEastAsia" w:cstheme="majorEastAsia"/>
          <w:b/>
          <w:bCs/>
          <w:color w:val="auto"/>
          <w:sz w:val="44"/>
          <w:szCs w:val="44"/>
        </w:rPr>
        <w:t>既有建筑抗震鉴定与加固技术规程</w:t>
      </w:r>
    </w:p>
    <w:p w14:paraId="1B337ECB">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default" w:asciiTheme="majorEastAsia" w:hAnsiTheme="majorEastAsia" w:eastAsiaTheme="majorEastAsia" w:cstheme="majorEastAsia"/>
          <w:color w:val="auto"/>
          <w:sz w:val="44"/>
          <w:szCs w:val="44"/>
        </w:rPr>
      </w:pPr>
    </w:p>
    <w:p w14:paraId="465E66BE">
      <w:pPr>
        <w:jc w:val="center"/>
        <w:rPr>
          <w:rStyle w:val="78"/>
          <w:rFonts w:hint="default" w:ascii="Times New Roman" w:hAnsi="Times New Roman" w:cs="Times New Roman"/>
          <w:color w:val="auto"/>
          <w:sz w:val="32"/>
          <w:szCs w:val="36"/>
        </w:rPr>
      </w:pPr>
      <w:r>
        <w:rPr>
          <w:rStyle w:val="78"/>
          <w:rFonts w:hint="default" w:ascii="Times New Roman" w:hAnsi="Times New Roman" w:cs="Times New Roman"/>
          <w:color w:val="auto"/>
          <w:sz w:val="32"/>
          <w:szCs w:val="36"/>
          <w:lang w:val="en"/>
        </w:rPr>
        <w:t>Technical</w:t>
      </w:r>
      <w:r>
        <w:rPr>
          <w:rStyle w:val="78"/>
          <w:rFonts w:hint="default" w:ascii="Times New Roman" w:hAnsi="Times New Roman" w:cs="Times New Roman"/>
          <w:color w:val="auto"/>
          <w:sz w:val="32"/>
          <w:szCs w:val="36"/>
        </w:rPr>
        <w:t xml:space="preserve"> s</w:t>
      </w:r>
      <w:r>
        <w:rPr>
          <w:rStyle w:val="78"/>
          <w:rFonts w:hint="default" w:ascii="Times New Roman" w:hAnsi="Times New Roman" w:cs="Times New Roman"/>
          <w:color w:val="auto"/>
          <w:sz w:val="32"/>
          <w:szCs w:val="36"/>
          <w:lang w:val="en"/>
        </w:rPr>
        <w:t xml:space="preserve">pecification for </w:t>
      </w:r>
      <w:r>
        <w:rPr>
          <w:rStyle w:val="78"/>
          <w:rFonts w:hint="default" w:ascii="Times New Roman" w:hAnsi="Times New Roman" w:cs="Times New Roman"/>
          <w:color w:val="auto"/>
          <w:sz w:val="32"/>
          <w:szCs w:val="36"/>
        </w:rPr>
        <w:t>s</w:t>
      </w:r>
      <w:r>
        <w:rPr>
          <w:rStyle w:val="78"/>
          <w:rFonts w:hint="default" w:ascii="Times New Roman" w:hAnsi="Times New Roman" w:cs="Times New Roman"/>
          <w:color w:val="auto"/>
          <w:sz w:val="32"/>
          <w:szCs w:val="36"/>
          <w:lang w:val="en"/>
        </w:rPr>
        <w:t xml:space="preserve">eismic </w:t>
      </w:r>
      <w:r>
        <w:rPr>
          <w:rStyle w:val="78"/>
          <w:rFonts w:hint="default" w:ascii="Times New Roman" w:hAnsi="Times New Roman" w:cs="Times New Roman"/>
          <w:color w:val="auto"/>
          <w:sz w:val="32"/>
          <w:szCs w:val="36"/>
        </w:rPr>
        <w:t>appraisal and</w:t>
      </w:r>
    </w:p>
    <w:p w14:paraId="05E5173A">
      <w:pPr>
        <w:jc w:val="center"/>
        <w:rPr>
          <w:rStyle w:val="78"/>
          <w:rFonts w:hint="default" w:ascii="Times New Roman" w:hAnsi="Times New Roman" w:cs="Times New Roman"/>
          <w:color w:val="auto"/>
          <w:sz w:val="32"/>
          <w:szCs w:val="36"/>
          <w:lang w:val="en"/>
        </w:rPr>
      </w:pPr>
      <w:r>
        <w:rPr>
          <w:rStyle w:val="78"/>
          <w:rFonts w:hint="default" w:ascii="Times New Roman" w:hAnsi="Times New Roman" w:cs="Times New Roman"/>
          <w:color w:val="auto"/>
          <w:sz w:val="32"/>
          <w:szCs w:val="36"/>
        </w:rPr>
        <w:t xml:space="preserve">strengthening </w:t>
      </w:r>
      <w:r>
        <w:rPr>
          <w:rStyle w:val="78"/>
          <w:rFonts w:hint="default" w:ascii="Times New Roman" w:hAnsi="Times New Roman" w:cs="Times New Roman"/>
          <w:color w:val="auto"/>
          <w:sz w:val="32"/>
          <w:szCs w:val="36"/>
          <w:lang w:val="en"/>
        </w:rPr>
        <w:t xml:space="preserve">of </w:t>
      </w:r>
      <w:r>
        <w:rPr>
          <w:rStyle w:val="78"/>
          <w:rFonts w:hint="default" w:ascii="Times New Roman" w:hAnsi="Times New Roman" w:cs="Times New Roman"/>
          <w:color w:val="auto"/>
          <w:sz w:val="32"/>
          <w:szCs w:val="36"/>
        </w:rPr>
        <w:t>b</w:t>
      </w:r>
      <w:r>
        <w:rPr>
          <w:rStyle w:val="78"/>
          <w:rFonts w:hint="default" w:ascii="Times New Roman" w:hAnsi="Times New Roman" w:cs="Times New Roman"/>
          <w:color w:val="auto"/>
          <w:sz w:val="32"/>
          <w:szCs w:val="36"/>
          <w:lang w:val="en"/>
        </w:rPr>
        <w:t>uildings</w:t>
      </w:r>
    </w:p>
    <w:p w14:paraId="467EE838">
      <w:pPr>
        <w:jc w:val="center"/>
        <w:rPr>
          <w:rStyle w:val="78"/>
          <w:rFonts w:hint="default" w:ascii="Times New Roman" w:hAnsi="Times New Roman" w:cs="Times New Roman"/>
          <w:color w:val="auto"/>
          <w:sz w:val="32"/>
          <w:szCs w:val="36"/>
          <w:lang w:val="en"/>
        </w:rPr>
      </w:pPr>
    </w:p>
    <w:p w14:paraId="182F24F8">
      <w:pPr>
        <w:adjustRightInd w:val="0"/>
        <w:snapToGrid w:val="0"/>
        <w:spacing w:line="420" w:lineRule="exact"/>
        <w:jc w:val="center"/>
        <w:rPr>
          <w:rFonts w:hint="eastAsia" w:ascii="宋体" w:hAnsi="宋体" w:eastAsia="宋体" w:cs="宋体"/>
          <w:b/>
          <w:bCs/>
          <w:sz w:val="32"/>
          <w:szCs w:val="32"/>
        </w:rPr>
      </w:pPr>
      <w:r>
        <w:rPr>
          <w:rFonts w:hint="eastAsia" w:ascii="宋体" w:hAnsi="宋体" w:eastAsia="宋体" w:cs="宋体"/>
          <w:b/>
          <w:bCs/>
          <w:sz w:val="32"/>
          <w:szCs w:val="32"/>
        </w:rPr>
        <w:t>（</w:t>
      </w:r>
      <w:r>
        <w:rPr>
          <w:rFonts w:hint="eastAsia" w:ascii="宋体" w:hAnsi="宋体" w:eastAsia="宋体" w:cs="宋体"/>
          <w:b/>
          <w:bCs/>
          <w:sz w:val="32"/>
          <w:szCs w:val="32"/>
          <w:lang w:val="en-US" w:eastAsia="zh-CN"/>
        </w:rPr>
        <w:t>征求意见</w:t>
      </w:r>
      <w:r>
        <w:rPr>
          <w:rFonts w:hint="eastAsia" w:ascii="宋体" w:hAnsi="宋体" w:eastAsia="宋体" w:cs="宋体"/>
          <w:b/>
          <w:bCs/>
          <w:sz w:val="32"/>
          <w:szCs w:val="32"/>
        </w:rPr>
        <w:t>稿）</w:t>
      </w:r>
    </w:p>
    <w:p w14:paraId="1C95998E">
      <w:pPr>
        <w:adjustRightInd w:val="0"/>
        <w:snapToGrid w:val="0"/>
        <w:spacing w:line="420" w:lineRule="exact"/>
        <w:jc w:val="center"/>
        <w:rPr>
          <w:rFonts w:hint="default" w:ascii="Times New Roman" w:hAnsi="Times New Roman" w:cs="Times New Roman" w:eastAsiaTheme="minorEastAsia"/>
          <w:b/>
          <w:bCs/>
          <w:color w:val="auto"/>
          <w:sz w:val="36"/>
          <w:szCs w:val="36"/>
        </w:rPr>
      </w:pPr>
    </w:p>
    <w:p w14:paraId="1D061F51">
      <w:pPr>
        <w:adjustRightInd w:val="0"/>
        <w:snapToGrid w:val="0"/>
        <w:spacing w:line="420" w:lineRule="exact"/>
        <w:jc w:val="center"/>
        <w:rPr>
          <w:rFonts w:hint="default" w:ascii="Times New Roman" w:hAnsi="Times New Roman" w:cs="Times New Roman" w:eastAsiaTheme="minorEastAsia"/>
          <w:b/>
          <w:bCs/>
          <w:color w:val="auto"/>
          <w:sz w:val="36"/>
          <w:szCs w:val="36"/>
        </w:rPr>
      </w:pPr>
    </w:p>
    <w:p w14:paraId="2D4B136C">
      <w:pPr>
        <w:adjustRightInd w:val="0"/>
        <w:snapToGrid w:val="0"/>
        <w:spacing w:line="420" w:lineRule="exact"/>
        <w:jc w:val="center"/>
        <w:rPr>
          <w:rFonts w:hint="default" w:ascii="Times New Roman" w:hAnsi="Times New Roman" w:cs="Times New Roman" w:eastAsiaTheme="minorEastAsia"/>
          <w:b/>
          <w:bCs/>
          <w:color w:val="auto"/>
          <w:sz w:val="36"/>
          <w:szCs w:val="36"/>
        </w:rPr>
      </w:pPr>
    </w:p>
    <w:p w14:paraId="27EF0566">
      <w:pPr>
        <w:adjustRightInd w:val="0"/>
        <w:snapToGrid w:val="0"/>
        <w:spacing w:line="420" w:lineRule="exact"/>
        <w:jc w:val="center"/>
        <w:rPr>
          <w:rFonts w:hint="default" w:ascii="Times New Roman" w:hAnsi="Times New Roman" w:cs="Times New Roman" w:eastAsiaTheme="minorEastAsia"/>
          <w:b/>
          <w:bCs/>
          <w:color w:val="auto"/>
          <w:sz w:val="36"/>
          <w:szCs w:val="36"/>
        </w:rPr>
      </w:pPr>
    </w:p>
    <w:p w14:paraId="36596D1B">
      <w:pPr>
        <w:adjustRightInd w:val="0"/>
        <w:snapToGrid w:val="0"/>
        <w:spacing w:line="420" w:lineRule="exact"/>
        <w:jc w:val="center"/>
        <w:rPr>
          <w:rFonts w:hint="default" w:ascii="Times New Roman" w:hAnsi="Times New Roman" w:cs="Times New Roman" w:eastAsiaTheme="minorEastAsia"/>
          <w:b/>
          <w:bCs/>
          <w:color w:val="auto"/>
          <w:sz w:val="36"/>
          <w:szCs w:val="36"/>
        </w:rPr>
      </w:pPr>
    </w:p>
    <w:p w14:paraId="3CE4DDD2">
      <w:pPr>
        <w:adjustRightInd w:val="0"/>
        <w:snapToGrid w:val="0"/>
        <w:spacing w:line="420" w:lineRule="exact"/>
        <w:jc w:val="center"/>
        <w:rPr>
          <w:rFonts w:hint="default" w:ascii="Times New Roman" w:hAnsi="Times New Roman" w:cs="Times New Roman" w:eastAsiaTheme="minorEastAsia"/>
          <w:b/>
          <w:bCs/>
          <w:color w:val="auto"/>
          <w:sz w:val="36"/>
          <w:szCs w:val="36"/>
        </w:rPr>
      </w:pPr>
    </w:p>
    <w:p w14:paraId="1A7AF715">
      <w:pPr>
        <w:adjustRightInd w:val="0"/>
        <w:snapToGrid w:val="0"/>
        <w:spacing w:line="420" w:lineRule="exact"/>
        <w:jc w:val="center"/>
        <w:rPr>
          <w:rFonts w:hint="default" w:ascii="Times New Roman" w:hAnsi="Times New Roman" w:cs="Times New Roman" w:eastAsiaTheme="minorEastAsia"/>
          <w:b/>
          <w:bCs/>
          <w:color w:val="auto"/>
          <w:sz w:val="36"/>
          <w:szCs w:val="36"/>
        </w:rPr>
      </w:pPr>
    </w:p>
    <w:p w14:paraId="3BB2AC0F">
      <w:pPr>
        <w:adjustRightInd w:val="0"/>
        <w:snapToGrid w:val="0"/>
        <w:spacing w:line="420" w:lineRule="exact"/>
        <w:jc w:val="center"/>
        <w:rPr>
          <w:rFonts w:hint="default" w:ascii="Times New Roman" w:hAnsi="Times New Roman" w:cs="Times New Roman" w:eastAsiaTheme="minorEastAsia"/>
          <w:b/>
          <w:bCs/>
          <w:color w:val="auto"/>
          <w:sz w:val="36"/>
          <w:szCs w:val="36"/>
        </w:rPr>
      </w:pPr>
    </w:p>
    <w:p w14:paraId="48A0CC80">
      <w:pPr>
        <w:adjustRightInd w:val="0"/>
        <w:snapToGrid w:val="0"/>
        <w:spacing w:line="420" w:lineRule="exact"/>
        <w:jc w:val="center"/>
        <w:rPr>
          <w:rFonts w:hint="default" w:ascii="Times New Roman" w:hAnsi="Times New Roman" w:cs="Times New Roman" w:eastAsiaTheme="minorEastAsia"/>
          <w:b/>
          <w:bCs/>
          <w:color w:val="auto"/>
          <w:sz w:val="36"/>
          <w:szCs w:val="36"/>
        </w:rPr>
      </w:pPr>
    </w:p>
    <w:p w14:paraId="549C46FE">
      <w:pPr>
        <w:adjustRightInd w:val="0"/>
        <w:snapToGrid w:val="0"/>
        <w:spacing w:line="420" w:lineRule="exact"/>
        <w:jc w:val="center"/>
        <w:rPr>
          <w:rFonts w:hint="default" w:ascii="Times New Roman" w:hAnsi="Times New Roman" w:cs="Times New Roman" w:eastAsiaTheme="minorEastAsia"/>
          <w:b/>
          <w:bCs/>
          <w:color w:val="auto"/>
          <w:sz w:val="36"/>
          <w:szCs w:val="36"/>
        </w:rPr>
      </w:pPr>
    </w:p>
    <w:p w14:paraId="3E4FEC5C">
      <w:pPr>
        <w:adjustRightInd w:val="0"/>
        <w:snapToGrid w:val="0"/>
        <w:spacing w:line="420" w:lineRule="exact"/>
        <w:jc w:val="center"/>
        <w:rPr>
          <w:rFonts w:hint="default" w:ascii="Times New Roman" w:hAnsi="Times New Roman" w:cs="Times New Roman" w:eastAsiaTheme="minorEastAsia"/>
          <w:b/>
          <w:bCs/>
          <w:color w:val="auto"/>
          <w:sz w:val="36"/>
          <w:szCs w:val="36"/>
        </w:rPr>
      </w:pPr>
    </w:p>
    <w:p w14:paraId="7F7A0FBC">
      <w:pPr>
        <w:adjustRightInd w:val="0"/>
        <w:snapToGrid w:val="0"/>
        <w:spacing w:line="420" w:lineRule="exact"/>
        <w:jc w:val="center"/>
        <w:rPr>
          <w:rFonts w:hint="eastAsia" w:ascii="黑体" w:hAnsi="黑体" w:eastAsia="黑体" w:cs="黑体"/>
          <w:kern w:val="0"/>
          <w:sz w:val="32"/>
          <w:szCs w:val="32"/>
        </w:rPr>
      </w:pPr>
      <w:r>
        <w:rPr>
          <w:rFonts w:hint="eastAsia" w:ascii="黑体" w:hAnsi="黑体" w:eastAsia="黑体" w:cs="黑体"/>
          <w:sz w:val="32"/>
          <w:szCs w:val="32"/>
          <w:lang w:val="en-US" w:eastAsia="zh-CN"/>
        </w:rPr>
        <w:t>《既有建筑抗震鉴定与加固技术规程》编制组</w:t>
      </w:r>
    </w:p>
    <w:p w14:paraId="3CBB5B24">
      <w:pPr>
        <w:adjustRightInd w:val="0"/>
        <w:snapToGrid w:val="0"/>
        <w:spacing w:line="420" w:lineRule="exact"/>
        <w:jc w:val="center"/>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2025年07月</w:t>
      </w:r>
    </w:p>
    <w:p w14:paraId="3EC2DAD6">
      <w:pPr>
        <w:adjustRightInd w:val="0"/>
        <w:snapToGrid w:val="0"/>
        <w:spacing w:line="420" w:lineRule="exact"/>
        <w:jc w:val="center"/>
        <w:rPr>
          <w:rFonts w:hint="default" w:ascii="Times New Roman" w:hAnsi="Times New Roman" w:eastAsia="黑体" w:cs="Times New Roman"/>
          <w:sz w:val="32"/>
          <w:szCs w:val="32"/>
          <w:lang w:val="en-US" w:eastAsia="zh-CN"/>
        </w:rPr>
      </w:pPr>
    </w:p>
    <w:p w14:paraId="6DB75B79">
      <w:pPr>
        <w:adjustRightInd w:val="0"/>
        <w:snapToGrid w:val="0"/>
        <w:spacing w:line="420" w:lineRule="exact"/>
        <w:jc w:val="center"/>
        <w:rPr>
          <w:rFonts w:hint="default" w:ascii="Times New Roman" w:hAnsi="Times New Roman" w:eastAsia="黑体" w:cs="Times New Roman"/>
          <w:sz w:val="32"/>
          <w:szCs w:val="32"/>
          <w:lang w:val="en-US" w:eastAsia="zh-CN"/>
        </w:rPr>
      </w:pPr>
    </w:p>
    <w:p w14:paraId="3B42BC61">
      <w:pPr>
        <w:adjustRightInd w:val="0"/>
        <w:snapToGrid w:val="0"/>
        <w:spacing w:line="420" w:lineRule="exact"/>
        <w:jc w:val="center"/>
        <w:rPr>
          <w:rFonts w:hint="default" w:ascii="Times New Roman" w:hAnsi="Times New Roman" w:eastAsia="黑体" w:cs="Times New Roman"/>
          <w:sz w:val="32"/>
          <w:szCs w:val="32"/>
          <w:lang w:val="en-US" w:eastAsia="zh-CN"/>
        </w:rPr>
      </w:pPr>
    </w:p>
    <w:p w14:paraId="2D2AA49D">
      <w:pPr>
        <w:adjustRightInd w:val="0"/>
        <w:snapToGrid w:val="0"/>
        <w:spacing w:line="420" w:lineRule="exact"/>
        <w:jc w:val="center"/>
        <w:rPr>
          <w:rFonts w:hint="default" w:ascii="Times New Roman" w:hAnsi="Times New Roman" w:eastAsia="黑体" w:cs="Times New Roman"/>
          <w:sz w:val="32"/>
          <w:szCs w:val="32"/>
          <w:lang w:val="en-US" w:eastAsia="zh-CN"/>
        </w:rPr>
      </w:pPr>
    </w:p>
    <w:p w14:paraId="7B0B2F22">
      <w:pPr>
        <w:adjustRightInd w:val="0"/>
        <w:snapToGrid w:val="0"/>
        <w:spacing w:line="420" w:lineRule="exact"/>
        <w:jc w:val="center"/>
        <w:rPr>
          <w:rFonts w:hint="default" w:ascii="Times New Roman" w:hAnsi="Times New Roman" w:eastAsia="黑体" w:cs="Times New Roman"/>
          <w:sz w:val="32"/>
          <w:szCs w:val="32"/>
          <w:lang w:val="en-US" w:eastAsia="zh-CN"/>
        </w:rPr>
      </w:pPr>
    </w:p>
    <w:p w14:paraId="23C12325">
      <w:pPr>
        <w:adjustRightInd w:val="0"/>
        <w:snapToGrid w:val="0"/>
        <w:spacing w:line="420" w:lineRule="exact"/>
        <w:jc w:val="center"/>
        <w:rPr>
          <w:rFonts w:hint="default" w:ascii="Times New Roman" w:hAnsi="Times New Roman" w:eastAsia="黑体" w:cs="Times New Roman"/>
          <w:sz w:val="32"/>
          <w:szCs w:val="32"/>
          <w:lang w:val="en-US" w:eastAsia="zh-CN"/>
        </w:rPr>
      </w:pPr>
    </w:p>
    <w:p w14:paraId="60ACC9BC">
      <w:pPr>
        <w:jc w:val="center"/>
        <w:rPr>
          <w:rFonts w:hint="eastAsia" w:ascii="黑体" w:hAnsi="黑体" w:eastAsia="黑体" w:cs="方正小标宋简体"/>
          <w:b/>
          <w:sz w:val="28"/>
          <w:szCs w:val="28"/>
        </w:rPr>
      </w:pPr>
    </w:p>
    <w:p w14:paraId="12FECF92">
      <w:pPr>
        <w:jc w:val="center"/>
        <w:rPr>
          <w:rFonts w:hint="eastAsia" w:ascii="黑体" w:hAnsi="黑体" w:eastAsia="黑体" w:cs="方正小标宋简体"/>
          <w:b/>
          <w:sz w:val="28"/>
          <w:szCs w:val="28"/>
        </w:rPr>
      </w:pPr>
      <w:r>
        <w:rPr>
          <w:rFonts w:hint="eastAsia" w:ascii="黑体" w:hAnsi="黑体" w:eastAsia="黑体" w:cs="方正小标宋简体"/>
          <w:b/>
          <w:sz w:val="28"/>
          <w:szCs w:val="28"/>
        </w:rPr>
        <w:t>前  言</w:t>
      </w:r>
    </w:p>
    <w:p w14:paraId="7244BF27">
      <w:pPr>
        <w:jc w:val="center"/>
        <w:rPr>
          <w:rFonts w:hint="eastAsia" w:ascii="黑体" w:hAnsi="黑体" w:eastAsia="黑体" w:cs="方正小标宋简体"/>
          <w:b/>
          <w:color w:val="FF0000"/>
          <w:szCs w:val="21"/>
        </w:rPr>
      </w:pPr>
    </w:p>
    <w:p w14:paraId="75FA0020">
      <w:pPr>
        <w:adjustRightInd w:val="0"/>
        <w:snapToGrid w:val="0"/>
        <w:spacing w:line="360" w:lineRule="auto"/>
        <w:ind w:firstLine="480" w:firstLineChars="200"/>
        <w:rPr>
          <w:rFonts w:hint="eastAsia" w:ascii="宋体" w:hAnsi="宋体" w:eastAsia="宋体" w:cs="宋体"/>
          <w:szCs w:val="21"/>
        </w:rPr>
      </w:pPr>
      <w:r>
        <w:rPr>
          <w:rFonts w:hint="eastAsia" w:ascii="宋体" w:hAnsi="宋体" w:eastAsia="宋体" w:cs="宋体"/>
          <w:color w:val="auto"/>
          <w:szCs w:val="21"/>
        </w:rPr>
        <w:t>根据陕西省住房和城乡建设厅、陕西省市场监督管理局《关于下达202</w:t>
      </w:r>
      <w:r>
        <w:rPr>
          <w:rFonts w:hint="eastAsia" w:eastAsia="宋体" w:cs="宋体"/>
          <w:color w:val="auto"/>
          <w:szCs w:val="21"/>
          <w:lang w:val="en-US" w:eastAsia="zh-CN"/>
        </w:rPr>
        <w:t>4</w:t>
      </w:r>
      <w:r>
        <w:rPr>
          <w:rFonts w:hint="eastAsia" w:ascii="宋体" w:hAnsi="宋体" w:eastAsia="宋体" w:cs="宋体"/>
          <w:color w:val="auto"/>
          <w:szCs w:val="21"/>
        </w:rPr>
        <w:t>年度工程建设标准制定计划的通知》（陕建发〔202</w:t>
      </w:r>
      <w:r>
        <w:rPr>
          <w:rFonts w:hint="eastAsia" w:ascii="宋体" w:hAnsi="宋体" w:eastAsia="宋体" w:cs="宋体"/>
          <w:color w:val="auto"/>
          <w:szCs w:val="21"/>
          <w:lang w:val="en-US" w:eastAsia="zh-CN"/>
        </w:rPr>
        <w:t>4</w:t>
      </w:r>
      <w:r>
        <w:rPr>
          <w:rFonts w:hint="eastAsia" w:ascii="宋体" w:hAnsi="宋体" w:eastAsia="宋体" w:cs="宋体"/>
          <w:color w:val="auto"/>
          <w:szCs w:val="21"/>
        </w:rPr>
        <w:t>〕</w:t>
      </w:r>
      <w:r>
        <w:rPr>
          <w:rFonts w:hint="eastAsia" w:ascii="宋体" w:hAnsi="宋体" w:eastAsia="宋体" w:cs="宋体"/>
          <w:color w:val="auto"/>
          <w:szCs w:val="21"/>
          <w:lang w:val="en-US" w:eastAsia="zh-CN"/>
        </w:rPr>
        <w:t>1007</w:t>
      </w:r>
      <w:r>
        <w:rPr>
          <w:rFonts w:hint="eastAsia" w:ascii="宋体" w:hAnsi="宋体" w:eastAsia="宋体" w:cs="宋体"/>
          <w:color w:val="auto"/>
          <w:szCs w:val="21"/>
        </w:rPr>
        <w:t>号）的要求，标</w:t>
      </w:r>
      <w:r>
        <w:rPr>
          <w:rFonts w:hint="eastAsia" w:ascii="宋体" w:hAnsi="宋体" w:eastAsia="宋体" w:cs="宋体"/>
          <w:szCs w:val="21"/>
        </w:rPr>
        <w:t>准编制组经广泛调查研究，认真总结实践经验，参考国内外标准，结合陕西省实际，在广泛征求意见的基础上，制定本标准。</w:t>
      </w:r>
    </w:p>
    <w:p w14:paraId="33B4D4C2">
      <w:pPr>
        <w:adjustRightInd w:val="0"/>
        <w:snapToGrid w:val="0"/>
        <w:spacing w:line="360" w:lineRule="auto"/>
        <w:ind w:firstLine="480" w:firstLineChars="200"/>
        <w:rPr>
          <w:rFonts w:hint="eastAsia" w:ascii="宋体" w:hAnsi="宋体" w:eastAsia="宋体" w:cs="宋体"/>
          <w:szCs w:val="21"/>
        </w:rPr>
      </w:pPr>
      <w:r>
        <w:rPr>
          <w:rFonts w:hint="eastAsia" w:ascii="宋体" w:hAnsi="宋体" w:eastAsia="宋体" w:cs="宋体"/>
          <w:szCs w:val="21"/>
        </w:rPr>
        <w:t>本标准主要技术内容</w:t>
      </w:r>
      <w:r>
        <w:rPr>
          <w:rFonts w:hint="eastAsia" w:ascii="宋体" w:hAnsi="宋体" w:eastAsia="宋体" w:cs="宋体"/>
          <w:szCs w:val="21"/>
          <w:lang w:eastAsia="zh-CN"/>
        </w:rPr>
        <w:t>是</w:t>
      </w:r>
      <w:r>
        <w:rPr>
          <w:rFonts w:hint="eastAsia" w:ascii="宋体" w:hAnsi="宋体" w:eastAsia="宋体" w:cs="宋体"/>
          <w:szCs w:val="21"/>
        </w:rPr>
        <w:t>：1.总则；2.术语和符号；3.基本规定；4.</w:t>
      </w:r>
      <w:r>
        <w:rPr>
          <w:rFonts w:hint="default" w:ascii="宋体" w:hAnsi="宋体" w:eastAsia="宋体" w:cs="宋体"/>
          <w:szCs w:val="21"/>
          <w:lang w:val="en-US" w:eastAsia="zh-CN"/>
        </w:rPr>
        <w:t>既有建筑的检测鉴定与加固</w:t>
      </w:r>
      <w:r>
        <w:rPr>
          <w:rFonts w:hint="eastAsia" w:ascii="宋体" w:hAnsi="宋体" w:eastAsia="宋体" w:cs="宋体"/>
          <w:szCs w:val="21"/>
        </w:rPr>
        <w:t>；5.</w:t>
      </w:r>
      <w:r>
        <w:rPr>
          <w:rFonts w:hint="eastAsia" w:ascii="宋体" w:hAnsi="宋体" w:eastAsia="宋体" w:cs="宋体"/>
          <w:szCs w:val="21"/>
          <w:lang w:val="en-US" w:eastAsia="zh-CN"/>
        </w:rPr>
        <w:t>地基基础</w:t>
      </w:r>
      <w:r>
        <w:rPr>
          <w:rFonts w:hint="eastAsia" w:ascii="宋体" w:hAnsi="宋体" w:eastAsia="宋体" w:cs="宋体"/>
          <w:szCs w:val="21"/>
        </w:rPr>
        <w:t>；6.</w:t>
      </w:r>
      <w:r>
        <w:rPr>
          <w:rFonts w:hint="default" w:ascii="宋体" w:hAnsi="宋体" w:eastAsia="宋体" w:cs="宋体"/>
          <w:szCs w:val="21"/>
        </w:rPr>
        <w:t>多层砌体、内框架和底层框架</w:t>
      </w:r>
      <w:r>
        <w:rPr>
          <w:rFonts w:hint="default" w:ascii="宋体" w:hAnsi="宋体" w:eastAsia="宋体" w:cs="宋体"/>
          <w:szCs w:val="21"/>
          <w:lang w:val="en-US" w:eastAsia="zh-CN"/>
        </w:rPr>
        <w:t>结构</w:t>
      </w:r>
      <w:r>
        <w:rPr>
          <w:rFonts w:hint="eastAsia" w:ascii="宋体" w:hAnsi="宋体" w:eastAsia="宋体" w:cs="宋体"/>
          <w:szCs w:val="21"/>
        </w:rPr>
        <w:t>；7.钢筋混凝土结构；8.钢结构；9.</w:t>
      </w:r>
      <w:r>
        <w:rPr>
          <w:rFonts w:hint="default" w:ascii="宋体" w:hAnsi="宋体" w:eastAsia="宋体" w:cs="宋体"/>
          <w:szCs w:val="21"/>
        </w:rPr>
        <w:t>抗震性能化加固设计</w:t>
      </w:r>
      <w:r>
        <w:rPr>
          <w:rFonts w:hint="eastAsia" w:ascii="宋体" w:hAnsi="宋体" w:eastAsia="宋体" w:cs="宋体"/>
          <w:szCs w:val="21"/>
        </w:rPr>
        <w:t>。</w:t>
      </w:r>
    </w:p>
    <w:p w14:paraId="09747B9B">
      <w:pPr>
        <w:adjustRightInd w:val="0"/>
        <w:snapToGrid w:val="0"/>
        <w:spacing w:line="360" w:lineRule="auto"/>
        <w:ind w:firstLine="480" w:firstLineChars="200"/>
        <w:rPr>
          <w:rFonts w:hint="eastAsia" w:ascii="宋体" w:hAnsi="宋体" w:eastAsia="宋体" w:cs="宋体"/>
          <w:szCs w:val="21"/>
        </w:rPr>
      </w:pPr>
      <w:r>
        <w:rPr>
          <w:rFonts w:hint="eastAsia" w:ascii="宋体" w:hAnsi="宋体" w:eastAsia="宋体" w:cs="宋体"/>
          <w:szCs w:val="21"/>
        </w:rPr>
        <w:t>本标准由陕西省住房和城乡建设厅负责归口管理，陕西省建设标准设计站负责日常管理，中国建筑西北设计研究院有限公司负责具体技术内容的解释。执行过程中如有意见和建议，请反馈给中国建筑西北设计研究院有限公司（地址：西安市未央路中段98号中国建筑西北设计研究院，邮编：710016，电话：029-68515728，邮箱：</w:t>
      </w:r>
      <w:r>
        <w:rPr>
          <w:rFonts w:hint="eastAsia" w:ascii="宋体" w:hAnsi="宋体" w:eastAsia="宋体" w:cs="宋体"/>
          <w:szCs w:val="18"/>
        </w:rPr>
        <w:t>170435820@qq.com</w:t>
      </w:r>
      <w:r>
        <w:rPr>
          <w:rFonts w:hint="eastAsia" w:ascii="宋体" w:hAnsi="宋体" w:eastAsia="宋体" w:cs="宋体"/>
          <w:szCs w:val="21"/>
        </w:rPr>
        <w:t>）。</w:t>
      </w:r>
    </w:p>
    <w:p w14:paraId="394B7D34">
      <w:pPr>
        <w:adjustRightInd w:val="0"/>
        <w:snapToGrid w:val="0"/>
        <w:spacing w:line="360" w:lineRule="auto"/>
        <w:ind w:firstLine="392" w:firstLineChars="200"/>
        <w:jc w:val="left"/>
        <w:rPr>
          <w:rFonts w:hint="eastAsia" w:ascii="宋体" w:hAnsi="宋体" w:eastAsia="宋体" w:cs="宋体"/>
          <w:szCs w:val="21"/>
        </w:rPr>
      </w:pPr>
      <w:r>
        <w:rPr>
          <w:rFonts w:hint="eastAsia" w:ascii="宋体" w:hAnsi="宋体" w:eastAsia="宋体" w:cs="宋体"/>
          <w:spacing w:val="-22"/>
          <w:szCs w:val="21"/>
        </w:rPr>
        <w:t>本  标  准  主  编  单  位：</w:t>
      </w:r>
      <w:r>
        <w:rPr>
          <w:rFonts w:hint="eastAsia" w:ascii="宋体" w:hAnsi="宋体" w:eastAsia="宋体" w:cs="宋体"/>
          <w:szCs w:val="21"/>
        </w:rPr>
        <w:t>中国建筑西北设计研究院有限公司</w:t>
      </w:r>
    </w:p>
    <w:p w14:paraId="29D13705">
      <w:pPr>
        <w:adjustRightInd w:val="0"/>
        <w:snapToGrid w:val="0"/>
        <w:spacing w:line="360" w:lineRule="auto"/>
        <w:ind w:firstLine="392" w:firstLineChars="200"/>
        <w:rPr>
          <w:rFonts w:hint="eastAsia" w:ascii="宋体" w:hAnsi="宋体" w:eastAsia="宋体" w:cs="宋体"/>
          <w:szCs w:val="21"/>
        </w:rPr>
      </w:pPr>
      <w:r>
        <w:rPr>
          <w:rFonts w:hint="eastAsia" w:ascii="宋体" w:hAnsi="宋体" w:eastAsia="宋体" w:cs="宋体"/>
          <w:spacing w:val="-22"/>
          <w:szCs w:val="21"/>
        </w:rPr>
        <w:t>本  标  准  参  编  单  位</w:t>
      </w:r>
      <w:r>
        <w:rPr>
          <w:rFonts w:hint="eastAsia" w:ascii="宋体" w:hAnsi="宋体" w:eastAsia="宋体" w:cs="宋体"/>
          <w:szCs w:val="21"/>
        </w:rPr>
        <w:t>：西安建筑科技大学</w:t>
      </w:r>
    </w:p>
    <w:p w14:paraId="5780D364">
      <w:pPr>
        <w:adjustRightInd w:val="0"/>
        <w:snapToGrid w:val="0"/>
        <w:spacing w:line="360" w:lineRule="auto"/>
        <w:ind w:firstLine="2952" w:firstLineChars="1230"/>
        <w:jc w:val="left"/>
        <w:rPr>
          <w:rFonts w:hint="eastAsia" w:ascii="宋体" w:hAnsi="宋体" w:eastAsia="宋体" w:cs="宋体"/>
          <w:szCs w:val="21"/>
        </w:rPr>
      </w:pPr>
      <w:r>
        <w:rPr>
          <w:rFonts w:hint="eastAsia" w:ascii="宋体" w:hAnsi="宋体" w:eastAsia="宋体" w:cs="宋体"/>
          <w:szCs w:val="21"/>
        </w:rPr>
        <w:t>中建三局集团有限公司</w:t>
      </w:r>
    </w:p>
    <w:p w14:paraId="72DC0FB5">
      <w:pPr>
        <w:adjustRightInd w:val="0"/>
        <w:snapToGrid w:val="0"/>
        <w:spacing w:line="360" w:lineRule="auto"/>
        <w:ind w:firstLine="2952" w:firstLineChars="1230"/>
        <w:jc w:val="left"/>
        <w:rPr>
          <w:rFonts w:hint="eastAsia" w:ascii="宋体" w:hAnsi="宋体" w:eastAsia="宋体" w:cs="宋体"/>
          <w:szCs w:val="21"/>
        </w:rPr>
      </w:pPr>
      <w:r>
        <w:rPr>
          <w:rFonts w:hint="eastAsia" w:ascii="宋体" w:hAnsi="宋体" w:eastAsia="宋体" w:cs="宋体"/>
          <w:szCs w:val="21"/>
        </w:rPr>
        <w:t>卡本科技集团股份有限公司</w:t>
      </w:r>
    </w:p>
    <w:p w14:paraId="3464C5C3">
      <w:pPr>
        <w:adjustRightInd w:val="0"/>
        <w:snapToGrid w:val="0"/>
        <w:spacing w:line="360" w:lineRule="auto"/>
        <w:ind w:firstLine="2952" w:firstLineChars="1230"/>
        <w:jc w:val="left"/>
        <w:rPr>
          <w:rFonts w:hint="eastAsia" w:ascii="宋体" w:hAnsi="宋体" w:eastAsia="宋体" w:cs="宋体"/>
          <w:szCs w:val="21"/>
        </w:rPr>
      </w:pPr>
      <w:r>
        <w:rPr>
          <w:rFonts w:hint="eastAsia" w:ascii="宋体" w:hAnsi="宋体" w:eastAsia="宋体" w:cs="宋体"/>
          <w:szCs w:val="21"/>
        </w:rPr>
        <w:t>长安大学</w:t>
      </w:r>
    </w:p>
    <w:p w14:paraId="6DCB819E">
      <w:pPr>
        <w:adjustRightInd w:val="0"/>
        <w:snapToGrid w:val="0"/>
        <w:spacing w:line="360" w:lineRule="auto"/>
        <w:ind w:firstLine="2952" w:firstLineChars="1230"/>
        <w:jc w:val="left"/>
        <w:rPr>
          <w:rFonts w:hint="eastAsia" w:ascii="宋体" w:hAnsi="宋体" w:eastAsia="宋体" w:cs="宋体"/>
          <w:szCs w:val="21"/>
        </w:rPr>
      </w:pPr>
      <w:r>
        <w:rPr>
          <w:rFonts w:hint="eastAsia" w:ascii="宋体" w:hAnsi="宋体" w:eastAsia="宋体" w:cs="宋体"/>
          <w:szCs w:val="21"/>
        </w:rPr>
        <w:t>中建震安科技工程有限公司</w:t>
      </w:r>
    </w:p>
    <w:p w14:paraId="24523134">
      <w:pPr>
        <w:adjustRightInd w:val="0"/>
        <w:snapToGrid w:val="0"/>
        <w:spacing w:line="360" w:lineRule="auto"/>
        <w:ind w:firstLine="2952" w:firstLineChars="1230"/>
        <w:jc w:val="left"/>
        <w:rPr>
          <w:rFonts w:hint="eastAsia" w:ascii="宋体" w:hAnsi="宋体" w:eastAsia="宋体" w:cs="宋体"/>
          <w:szCs w:val="21"/>
        </w:rPr>
      </w:pPr>
      <w:r>
        <w:rPr>
          <w:rFonts w:hint="eastAsia" w:ascii="宋体" w:hAnsi="宋体" w:eastAsia="宋体" w:cs="宋体"/>
          <w:szCs w:val="21"/>
        </w:rPr>
        <w:t>陕西省建筑科学研究院设计院有限公司</w:t>
      </w:r>
    </w:p>
    <w:p w14:paraId="77E34326">
      <w:pPr>
        <w:adjustRightInd w:val="0"/>
        <w:snapToGrid w:val="0"/>
        <w:spacing w:line="360" w:lineRule="auto"/>
        <w:ind w:firstLine="2952" w:firstLineChars="1230"/>
        <w:jc w:val="left"/>
        <w:rPr>
          <w:rFonts w:hint="eastAsia" w:ascii="宋体" w:hAnsi="宋体" w:eastAsia="宋体" w:cs="宋体"/>
          <w:szCs w:val="21"/>
        </w:rPr>
      </w:pPr>
      <w:r>
        <w:rPr>
          <w:rFonts w:hint="eastAsia" w:eastAsia="宋体" w:cs="宋体"/>
          <w:szCs w:val="21"/>
          <w:lang w:val="en-US" w:eastAsia="zh-CN"/>
        </w:rPr>
        <w:t>中测筑安（陕西）工程科技</w:t>
      </w:r>
      <w:r>
        <w:rPr>
          <w:rFonts w:hint="eastAsia" w:ascii="宋体" w:hAnsi="宋体" w:eastAsia="宋体" w:cs="宋体"/>
          <w:szCs w:val="21"/>
        </w:rPr>
        <w:t>有限公司</w:t>
      </w:r>
    </w:p>
    <w:p w14:paraId="2F4B059E">
      <w:pPr>
        <w:adjustRightInd w:val="0"/>
        <w:snapToGrid w:val="0"/>
        <w:spacing w:line="360" w:lineRule="auto"/>
        <w:ind w:firstLine="2952" w:firstLineChars="1230"/>
        <w:jc w:val="left"/>
        <w:rPr>
          <w:rFonts w:hint="eastAsia" w:ascii="宋体" w:hAnsi="宋体" w:eastAsia="宋体" w:cs="宋体"/>
          <w:szCs w:val="21"/>
        </w:rPr>
      </w:pPr>
      <w:r>
        <w:rPr>
          <w:rFonts w:hint="eastAsia" w:ascii="宋体" w:hAnsi="宋体" w:eastAsia="宋体" w:cs="宋体"/>
        </w:rPr>
        <w:fldChar w:fldCharType="begin"/>
      </w:r>
      <w:r>
        <w:rPr>
          <w:rFonts w:hint="eastAsia" w:ascii="宋体" w:hAnsi="宋体" w:eastAsia="宋体" w:cs="宋体"/>
        </w:rPr>
        <w:instrText xml:space="preserve"> HYPERLINK "https://aiqicha.baidu.com/company_detail_64952863395252" \t "_blank" </w:instrText>
      </w:r>
      <w:r>
        <w:rPr>
          <w:rFonts w:hint="eastAsia" w:ascii="宋体" w:hAnsi="宋体" w:eastAsia="宋体" w:cs="宋体"/>
        </w:rPr>
        <w:fldChar w:fldCharType="separate"/>
      </w:r>
      <w:r>
        <w:rPr>
          <w:rFonts w:hint="eastAsia" w:ascii="宋体" w:hAnsi="宋体" w:eastAsia="宋体" w:cs="宋体"/>
          <w:szCs w:val="21"/>
        </w:rPr>
        <w:t>陕西省建筑设计研究院（集团）有限公司</w:t>
      </w:r>
      <w:r>
        <w:rPr>
          <w:rFonts w:hint="eastAsia" w:ascii="宋体" w:hAnsi="宋体" w:eastAsia="宋体" w:cs="宋体"/>
          <w:szCs w:val="21"/>
        </w:rPr>
        <w:fldChar w:fldCharType="end"/>
      </w:r>
    </w:p>
    <w:p w14:paraId="7D3EEE1B">
      <w:pPr>
        <w:adjustRightInd w:val="0"/>
        <w:snapToGrid w:val="0"/>
        <w:spacing w:line="360" w:lineRule="auto"/>
        <w:ind w:firstLine="2952" w:firstLineChars="1230"/>
        <w:jc w:val="left"/>
        <w:rPr>
          <w:rFonts w:hint="eastAsia" w:ascii="宋体" w:hAnsi="宋体" w:eastAsia="宋体" w:cs="宋体"/>
          <w:szCs w:val="21"/>
        </w:rPr>
      </w:pPr>
      <w:r>
        <w:rPr>
          <w:rFonts w:hint="eastAsia" w:ascii="宋体" w:hAnsi="宋体" w:eastAsia="宋体" w:cs="宋体"/>
          <w:szCs w:val="21"/>
        </w:rPr>
        <w:t>西安基准方中建筑设计有限公司</w:t>
      </w:r>
    </w:p>
    <w:p w14:paraId="7B2FCBCA">
      <w:pPr>
        <w:adjustRightInd w:val="0"/>
        <w:snapToGrid w:val="0"/>
        <w:spacing w:line="360" w:lineRule="auto"/>
        <w:ind w:firstLine="2952" w:firstLineChars="1230"/>
        <w:jc w:val="left"/>
        <w:rPr>
          <w:rFonts w:hint="eastAsia" w:ascii="宋体" w:hAnsi="宋体" w:eastAsia="宋体" w:cs="宋体"/>
          <w:szCs w:val="21"/>
        </w:rPr>
      </w:pPr>
      <w:r>
        <w:rPr>
          <w:rFonts w:hint="eastAsia" w:ascii="宋体" w:hAnsi="宋体" w:eastAsia="宋体" w:cs="宋体"/>
          <w:szCs w:val="21"/>
        </w:rPr>
        <w:t>中联西北工程设计研究院有限公司</w:t>
      </w:r>
    </w:p>
    <w:p w14:paraId="08248983">
      <w:pPr>
        <w:adjustRightInd w:val="0"/>
        <w:snapToGrid w:val="0"/>
        <w:spacing w:line="360" w:lineRule="auto"/>
        <w:ind w:firstLine="2952" w:firstLineChars="1230"/>
        <w:jc w:val="left"/>
        <w:rPr>
          <w:rFonts w:hint="eastAsia" w:ascii="宋体" w:hAnsi="宋体" w:eastAsia="宋体" w:cs="宋体"/>
          <w:szCs w:val="21"/>
        </w:rPr>
      </w:pPr>
      <w:r>
        <w:rPr>
          <w:rFonts w:hint="eastAsia" w:ascii="宋体" w:hAnsi="宋体" w:eastAsia="宋体" w:cs="宋体"/>
          <w:szCs w:val="21"/>
        </w:rPr>
        <w:t>西安圣天建筑工程科技有限公司</w:t>
      </w:r>
    </w:p>
    <w:p w14:paraId="0EC720BA">
      <w:pPr>
        <w:adjustRightInd w:val="0"/>
        <w:snapToGrid w:val="0"/>
        <w:spacing w:line="360" w:lineRule="auto"/>
        <w:ind w:firstLine="2952" w:firstLineChars="1230"/>
        <w:jc w:val="left"/>
        <w:rPr>
          <w:rFonts w:hint="eastAsia" w:ascii="宋体" w:hAnsi="宋体" w:eastAsia="宋体" w:cs="宋体"/>
          <w:szCs w:val="21"/>
        </w:rPr>
      </w:pPr>
      <w:r>
        <w:rPr>
          <w:rFonts w:hint="eastAsia" w:ascii="宋体" w:hAnsi="宋体" w:eastAsia="宋体" w:cs="宋体"/>
          <w:szCs w:val="21"/>
        </w:rPr>
        <w:t>陕西诚伦建筑工程有限公司</w:t>
      </w:r>
    </w:p>
    <w:p w14:paraId="6C88DB62">
      <w:pPr>
        <w:adjustRightInd w:val="0"/>
        <w:snapToGrid w:val="0"/>
        <w:spacing w:line="360" w:lineRule="auto"/>
        <w:ind w:firstLine="2952" w:firstLineChars="1230"/>
        <w:jc w:val="left"/>
        <w:rPr>
          <w:rFonts w:hint="eastAsia" w:ascii="宋体" w:hAnsi="宋体" w:eastAsia="宋体" w:cs="宋体"/>
          <w:szCs w:val="21"/>
        </w:rPr>
      </w:pPr>
      <w:r>
        <w:rPr>
          <w:rFonts w:hint="eastAsia" w:ascii="宋体" w:hAnsi="宋体" w:eastAsia="宋体" w:cs="宋体"/>
          <w:szCs w:val="21"/>
        </w:rPr>
        <w:t>新疆建筑科学研究院（有限责任公司）</w:t>
      </w:r>
    </w:p>
    <w:p w14:paraId="52D001CF">
      <w:pPr>
        <w:adjustRightInd w:val="0"/>
        <w:snapToGrid w:val="0"/>
        <w:spacing w:line="360" w:lineRule="auto"/>
        <w:ind w:firstLine="2952" w:firstLineChars="1230"/>
        <w:jc w:val="left"/>
        <w:rPr>
          <w:rFonts w:hint="eastAsia" w:ascii="宋体" w:hAnsi="宋体" w:eastAsia="宋体" w:cs="宋体"/>
          <w:szCs w:val="21"/>
        </w:rPr>
      </w:pPr>
      <w:r>
        <w:rPr>
          <w:rFonts w:hint="eastAsia" w:eastAsia="宋体" w:cs="宋体"/>
          <w:szCs w:val="21"/>
          <w:lang w:val="en-US" w:eastAsia="zh-CN"/>
        </w:rPr>
        <w:t>固牌（山东）工程技术有限公司</w:t>
      </w:r>
      <w:r>
        <w:rPr>
          <w:rFonts w:hint="eastAsia" w:ascii="宋体" w:hAnsi="宋体" w:eastAsia="宋体" w:cs="宋体"/>
          <w:szCs w:val="21"/>
        </w:rPr>
        <w:t xml:space="preserve"> </w:t>
      </w:r>
    </w:p>
    <w:p w14:paraId="62B25E91">
      <w:pPr>
        <w:adjustRightInd w:val="0"/>
        <w:snapToGrid w:val="0"/>
        <w:spacing w:line="360" w:lineRule="auto"/>
        <w:ind w:firstLine="480" w:firstLineChars="200"/>
        <w:rPr>
          <w:rFonts w:hint="eastAsia" w:ascii="宋体" w:hAnsi="宋体" w:eastAsia="宋体" w:cs="宋体"/>
          <w:szCs w:val="21"/>
        </w:rPr>
      </w:pPr>
    </w:p>
    <w:p w14:paraId="2DCCF13D">
      <w:pPr>
        <w:adjustRightInd w:val="0"/>
        <w:snapToGrid w:val="0"/>
        <w:spacing w:line="360" w:lineRule="auto"/>
        <w:ind w:firstLine="480" w:firstLineChars="200"/>
        <w:rPr>
          <w:rFonts w:hint="eastAsia" w:ascii="宋体" w:hAnsi="宋体" w:eastAsia="宋体" w:cs="宋体"/>
          <w:szCs w:val="21"/>
        </w:rPr>
      </w:pPr>
    </w:p>
    <w:p w14:paraId="4735C86F">
      <w:pPr>
        <w:adjustRightInd w:val="0"/>
        <w:snapToGrid w:val="0"/>
        <w:spacing w:line="360" w:lineRule="auto"/>
        <w:ind w:left="240" w:leftChars="100" w:firstLine="240" w:firstLineChars="100"/>
        <w:rPr>
          <w:rFonts w:hint="eastAsia" w:eastAsia="宋体" w:cs="宋体"/>
          <w:szCs w:val="21"/>
          <w:lang w:val="en-US" w:eastAsia="zh-CN"/>
        </w:rPr>
      </w:pPr>
      <w:r>
        <w:rPr>
          <w:rFonts w:hint="eastAsia" w:ascii="宋体" w:hAnsi="宋体" w:eastAsia="宋体" w:cs="宋体"/>
          <w:szCs w:val="21"/>
        </w:rPr>
        <w:t>本标准主要起草人员：</w:t>
      </w:r>
      <w:r>
        <w:rPr>
          <w:rFonts w:hint="eastAsia" w:eastAsia="宋体" w:cs="宋体"/>
          <w:szCs w:val="21"/>
          <w:lang w:val="en-US" w:eastAsia="zh-CN"/>
        </w:rPr>
        <w:t xml:space="preserve">辛  力   金小东   徐晓斌   刘福禄   史生志 </w:t>
      </w:r>
    </w:p>
    <w:p w14:paraId="7155F878">
      <w:pPr>
        <w:adjustRightInd w:val="0"/>
        <w:snapToGrid w:val="0"/>
        <w:spacing w:line="360" w:lineRule="auto"/>
        <w:ind w:left="240" w:leftChars="100" w:firstLine="2640" w:firstLineChars="1100"/>
        <w:rPr>
          <w:rFonts w:hint="default" w:ascii="宋体" w:hAnsi="宋体" w:eastAsia="宋体" w:cs="宋体"/>
          <w:szCs w:val="21"/>
          <w:lang w:val="en-US"/>
        </w:rPr>
      </w:pPr>
      <w:r>
        <w:rPr>
          <w:rFonts w:hint="eastAsia" w:eastAsia="宋体" w:cs="宋体"/>
          <w:szCs w:val="21"/>
          <w:lang w:val="en-US" w:eastAsia="zh-CN"/>
        </w:rPr>
        <w:t>扈  鹏   委  旭   刘  锋   刘伯栋</w:t>
      </w:r>
      <w:bookmarkStart w:id="247" w:name="_GoBack"/>
      <w:bookmarkEnd w:id="247"/>
    </w:p>
    <w:p w14:paraId="696F75FD">
      <w:pPr>
        <w:adjustRightInd w:val="0"/>
        <w:snapToGrid w:val="0"/>
        <w:spacing w:line="360" w:lineRule="auto"/>
        <w:ind w:right="96" w:rightChars="40" w:firstLine="2880" w:firstLineChars="1200"/>
        <w:rPr>
          <w:rFonts w:hint="eastAsia" w:ascii="宋体" w:hAnsi="宋体" w:eastAsia="宋体" w:cs="宋体"/>
          <w:szCs w:val="21"/>
        </w:rPr>
      </w:pPr>
    </w:p>
    <w:p w14:paraId="5B200345">
      <w:pPr>
        <w:adjustRightInd w:val="0"/>
        <w:snapToGrid w:val="0"/>
        <w:spacing w:line="360" w:lineRule="auto"/>
        <w:ind w:right="96" w:rightChars="40" w:firstLine="2880" w:firstLineChars="1200"/>
        <w:rPr>
          <w:rFonts w:hint="eastAsia" w:ascii="宋体" w:hAnsi="宋体" w:eastAsia="宋体" w:cs="宋体"/>
          <w:szCs w:val="21"/>
        </w:rPr>
      </w:pPr>
    </w:p>
    <w:p w14:paraId="7A486B21">
      <w:pPr>
        <w:adjustRightInd w:val="0"/>
        <w:snapToGrid w:val="0"/>
        <w:spacing w:line="360" w:lineRule="auto"/>
        <w:ind w:right="96" w:rightChars="40" w:firstLine="2880" w:firstLineChars="1200"/>
        <w:rPr>
          <w:rFonts w:hint="eastAsia" w:ascii="宋体" w:hAnsi="宋体" w:eastAsia="宋体" w:cs="宋体"/>
          <w:szCs w:val="21"/>
        </w:rPr>
      </w:pPr>
    </w:p>
    <w:p w14:paraId="7802CCC0">
      <w:pPr>
        <w:adjustRightInd w:val="0"/>
        <w:snapToGrid w:val="0"/>
        <w:spacing w:line="360" w:lineRule="auto"/>
        <w:ind w:right="96" w:rightChars="40" w:firstLine="2880" w:firstLineChars="1200"/>
        <w:rPr>
          <w:rFonts w:hint="eastAsia" w:ascii="宋体" w:hAnsi="宋体" w:eastAsia="宋体" w:cs="宋体"/>
          <w:szCs w:val="21"/>
        </w:rPr>
      </w:pPr>
    </w:p>
    <w:p w14:paraId="589EAAB5">
      <w:pPr>
        <w:adjustRightInd w:val="0"/>
        <w:snapToGrid w:val="0"/>
        <w:spacing w:line="360" w:lineRule="auto"/>
        <w:ind w:right="96" w:rightChars="40" w:firstLine="2880" w:firstLineChars="1200"/>
        <w:rPr>
          <w:rFonts w:hint="eastAsia" w:ascii="宋体" w:hAnsi="宋体" w:eastAsia="宋体" w:cs="宋体"/>
          <w:szCs w:val="21"/>
        </w:rPr>
      </w:pPr>
    </w:p>
    <w:p w14:paraId="4FAC2B87">
      <w:pPr>
        <w:adjustRightInd w:val="0"/>
        <w:snapToGrid w:val="0"/>
        <w:spacing w:line="360" w:lineRule="auto"/>
        <w:ind w:right="96" w:rightChars="40" w:firstLine="2880" w:firstLineChars="1200"/>
        <w:rPr>
          <w:rFonts w:hint="eastAsia" w:ascii="宋体" w:hAnsi="宋体" w:eastAsia="宋体" w:cs="宋体"/>
          <w:szCs w:val="21"/>
        </w:rPr>
      </w:pPr>
    </w:p>
    <w:p w14:paraId="070BA22E">
      <w:pPr>
        <w:adjustRightInd w:val="0"/>
        <w:snapToGrid w:val="0"/>
        <w:spacing w:line="360" w:lineRule="auto"/>
        <w:ind w:firstLine="480" w:firstLineChars="200"/>
        <w:rPr>
          <w:rFonts w:hint="eastAsia" w:ascii="宋体" w:hAnsi="宋体" w:eastAsia="宋体" w:cs="宋体"/>
          <w:szCs w:val="21"/>
        </w:rPr>
      </w:pPr>
      <w:r>
        <w:rPr>
          <w:rFonts w:hint="eastAsia" w:ascii="宋体" w:hAnsi="宋体" w:eastAsia="宋体" w:cs="宋体"/>
          <w:szCs w:val="21"/>
        </w:rPr>
        <w:t xml:space="preserve">本标准主要审查人员：XXX    XXX    </w:t>
      </w:r>
    </w:p>
    <w:p w14:paraId="5E309070">
      <w:pPr>
        <w:adjustRightInd w:val="0"/>
        <w:snapToGrid w:val="0"/>
        <w:spacing w:line="360" w:lineRule="auto"/>
        <w:ind w:right="96" w:rightChars="40" w:firstLine="2880" w:firstLineChars="1200"/>
        <w:rPr>
          <w:rFonts w:hint="eastAsia" w:ascii="宋体" w:hAnsi="宋体" w:eastAsia="宋体" w:cs="宋体"/>
          <w:szCs w:val="21"/>
        </w:rPr>
        <w:sectPr>
          <w:pgSz w:w="11906" w:h="16838"/>
          <w:pgMar w:top="1440" w:right="1800" w:bottom="1440" w:left="1800" w:header="851" w:footer="992" w:gutter="0"/>
          <w:pgNumType w:start="1"/>
          <w:cols w:space="720" w:num="1"/>
          <w:docGrid w:type="lines" w:linePitch="312" w:charSpace="0"/>
        </w:sectPr>
      </w:pPr>
    </w:p>
    <w:p w14:paraId="32348532">
      <w:pPr>
        <w:pStyle w:val="2"/>
        <w:rPr>
          <w:rFonts w:hint="default" w:ascii="Times New Roman" w:hAnsi="Times New Roman" w:cs="Times New Roman"/>
          <w:color w:val="auto"/>
        </w:rPr>
      </w:pPr>
      <w:bookmarkStart w:id="0" w:name="_Toc25949"/>
      <w:r>
        <w:rPr>
          <w:rFonts w:hint="default" w:ascii="Times New Roman" w:hAnsi="Times New Roman" w:cs="Times New Roman"/>
          <w:color w:val="auto"/>
        </w:rPr>
        <w:t>目   次</w:t>
      </w:r>
      <w:bookmarkEnd w:id="0"/>
    </w:p>
    <w:p w14:paraId="38CD4F22">
      <w:pPr>
        <w:pStyle w:val="18"/>
        <w:tabs>
          <w:tab w:val="right" w:leader="dot" w:pos="9864"/>
          <w:tab w:val="clear" w:pos="3261"/>
        </w:tabs>
      </w:pPr>
      <w:bookmarkStart w:id="1" w:name="_Hlk193978411"/>
      <w:r>
        <w:rPr>
          <w:rFonts w:hint="default" w:ascii="Times New Roman" w:hAnsi="Times New Roman" w:cs="Times New Roman" w:eastAsiaTheme="minorEastAsia"/>
          <w:b/>
          <w:bCs/>
          <w:color w:val="auto"/>
          <w:sz w:val="28"/>
          <w:szCs w:val="28"/>
        </w:rPr>
        <w:fldChar w:fldCharType="begin"/>
      </w:r>
      <w:r>
        <w:rPr>
          <w:rFonts w:hint="default" w:ascii="Times New Roman" w:hAnsi="Times New Roman" w:cs="Times New Roman" w:eastAsiaTheme="minorEastAsia"/>
          <w:b/>
          <w:bCs/>
          <w:color w:val="auto"/>
          <w:sz w:val="28"/>
          <w:szCs w:val="28"/>
        </w:rPr>
        <w:instrText xml:space="preserve">TOC \o "1-2" \h \u </w:instrText>
      </w:r>
      <w:r>
        <w:rPr>
          <w:rFonts w:hint="default" w:ascii="Times New Roman" w:hAnsi="Times New Roman" w:cs="Times New Roman" w:eastAsiaTheme="minorEastAsia"/>
          <w:b/>
          <w:bCs/>
          <w:color w:val="auto"/>
          <w:sz w:val="28"/>
          <w:szCs w:val="28"/>
        </w:rPr>
        <w:fldChar w:fldCharType="separate"/>
      </w:r>
    </w:p>
    <w:p w14:paraId="3455C6D5">
      <w:pPr>
        <w:pStyle w:val="18"/>
        <w:tabs>
          <w:tab w:val="right" w:leader="dot" w:pos="9864"/>
          <w:tab w:val="clear" w:pos="3261"/>
        </w:tabs>
      </w:pPr>
      <w:r>
        <w:rPr>
          <w:rFonts w:hint="default" w:ascii="Times New Roman" w:hAnsi="Times New Roman" w:cs="Times New Roman" w:eastAsiaTheme="minorEastAsia"/>
          <w:bCs/>
          <w:color w:val="auto"/>
          <w:szCs w:val="28"/>
        </w:rPr>
        <w:fldChar w:fldCharType="begin"/>
      </w:r>
      <w:r>
        <w:rPr>
          <w:rFonts w:hint="default" w:ascii="Times New Roman" w:hAnsi="Times New Roman" w:cs="Times New Roman" w:eastAsiaTheme="minorEastAsia"/>
          <w:bCs/>
          <w:szCs w:val="28"/>
        </w:rPr>
        <w:instrText xml:space="preserve"> HYPERLINK \l _Toc11709 </w:instrText>
      </w:r>
      <w:r>
        <w:rPr>
          <w:rFonts w:hint="default" w:ascii="Times New Roman" w:hAnsi="Times New Roman" w:cs="Times New Roman" w:eastAsiaTheme="minorEastAsia"/>
          <w:bCs/>
          <w:szCs w:val="28"/>
        </w:rPr>
        <w:fldChar w:fldCharType="separate"/>
      </w:r>
      <w:r>
        <w:rPr>
          <w:rFonts w:hint="default"/>
        </w:rPr>
        <w:t xml:space="preserve">1 </w:t>
      </w:r>
      <w:r>
        <w:rPr>
          <w:rFonts w:hint="default"/>
          <w:lang w:val="en-US" w:eastAsia="zh-CN"/>
        </w:rPr>
        <w:t xml:space="preserve"> </w:t>
      </w:r>
      <w:r>
        <w:rPr>
          <w:rFonts w:hint="default"/>
        </w:rPr>
        <w:t>总  则</w:t>
      </w:r>
      <w:r>
        <w:tab/>
      </w:r>
      <w:r>
        <w:fldChar w:fldCharType="begin"/>
      </w:r>
      <w:r>
        <w:instrText xml:space="preserve"> PAGEREF _Toc11709 \h </w:instrText>
      </w:r>
      <w:r>
        <w:fldChar w:fldCharType="separate"/>
      </w:r>
      <w:r>
        <w:t>5</w:t>
      </w:r>
      <w:r>
        <w:fldChar w:fldCharType="end"/>
      </w:r>
      <w:r>
        <w:rPr>
          <w:rFonts w:hint="default" w:ascii="Times New Roman" w:hAnsi="Times New Roman" w:cs="Times New Roman" w:eastAsiaTheme="minorEastAsia"/>
          <w:bCs/>
          <w:color w:val="auto"/>
          <w:szCs w:val="28"/>
        </w:rPr>
        <w:fldChar w:fldCharType="end"/>
      </w:r>
    </w:p>
    <w:p w14:paraId="4A67D7EB">
      <w:pPr>
        <w:pStyle w:val="18"/>
        <w:tabs>
          <w:tab w:val="right" w:leader="dot" w:pos="9864"/>
          <w:tab w:val="clear" w:pos="3261"/>
        </w:tabs>
      </w:pPr>
      <w:r>
        <w:rPr>
          <w:rFonts w:hint="default" w:ascii="Times New Roman" w:hAnsi="Times New Roman" w:cs="Times New Roman" w:eastAsiaTheme="minorEastAsia"/>
          <w:bCs/>
          <w:color w:val="auto"/>
          <w:szCs w:val="28"/>
        </w:rPr>
        <w:fldChar w:fldCharType="begin"/>
      </w:r>
      <w:r>
        <w:rPr>
          <w:rFonts w:hint="default" w:ascii="Times New Roman" w:hAnsi="Times New Roman" w:cs="Times New Roman" w:eastAsiaTheme="minorEastAsia"/>
          <w:bCs/>
          <w:szCs w:val="28"/>
        </w:rPr>
        <w:instrText xml:space="preserve"> HYPERLINK \l _Toc16088 </w:instrText>
      </w:r>
      <w:r>
        <w:rPr>
          <w:rFonts w:hint="default" w:ascii="Times New Roman" w:hAnsi="Times New Roman" w:cs="Times New Roman" w:eastAsiaTheme="minorEastAsia"/>
          <w:bCs/>
          <w:szCs w:val="28"/>
        </w:rPr>
        <w:fldChar w:fldCharType="separate"/>
      </w:r>
      <w:r>
        <w:rPr>
          <w:rFonts w:hint="default"/>
        </w:rPr>
        <w:t>2  术语和符号</w:t>
      </w:r>
      <w:r>
        <w:tab/>
      </w:r>
      <w:r>
        <w:fldChar w:fldCharType="begin"/>
      </w:r>
      <w:r>
        <w:instrText xml:space="preserve"> PAGEREF _Toc16088 \h </w:instrText>
      </w:r>
      <w:r>
        <w:fldChar w:fldCharType="separate"/>
      </w:r>
      <w:r>
        <w:t>6</w:t>
      </w:r>
      <w:r>
        <w:fldChar w:fldCharType="end"/>
      </w:r>
      <w:r>
        <w:rPr>
          <w:rFonts w:hint="default" w:ascii="Times New Roman" w:hAnsi="Times New Roman" w:cs="Times New Roman" w:eastAsiaTheme="minorEastAsia"/>
          <w:bCs/>
          <w:color w:val="auto"/>
          <w:szCs w:val="28"/>
        </w:rPr>
        <w:fldChar w:fldCharType="end"/>
      </w:r>
    </w:p>
    <w:p w14:paraId="6220FDEA">
      <w:pPr>
        <w:pStyle w:val="20"/>
        <w:tabs>
          <w:tab w:val="right" w:leader="dot" w:pos="9864"/>
          <w:tab w:val="clear" w:pos="3261"/>
        </w:tabs>
      </w:pPr>
      <w:r>
        <w:rPr>
          <w:rFonts w:hint="default" w:ascii="Times New Roman" w:hAnsi="Times New Roman" w:cs="Times New Roman" w:eastAsiaTheme="minorEastAsia"/>
          <w:bCs/>
          <w:color w:val="auto"/>
          <w:szCs w:val="28"/>
        </w:rPr>
        <w:fldChar w:fldCharType="begin"/>
      </w:r>
      <w:r>
        <w:rPr>
          <w:rFonts w:hint="default" w:ascii="Times New Roman" w:hAnsi="Times New Roman" w:cs="Times New Roman" w:eastAsiaTheme="minorEastAsia"/>
          <w:bCs/>
          <w:szCs w:val="28"/>
        </w:rPr>
        <w:instrText xml:space="preserve"> HYPERLINK \l _Toc11528 </w:instrText>
      </w:r>
      <w:r>
        <w:rPr>
          <w:rFonts w:hint="default" w:ascii="Times New Roman" w:hAnsi="Times New Roman" w:cs="Times New Roman" w:eastAsiaTheme="minorEastAsia"/>
          <w:bCs/>
          <w:szCs w:val="28"/>
        </w:rPr>
        <w:fldChar w:fldCharType="separate"/>
      </w:r>
      <w:r>
        <w:rPr>
          <w:rFonts w:hint="default"/>
        </w:rPr>
        <w:t>2.1 术语</w:t>
      </w:r>
      <w:r>
        <w:tab/>
      </w:r>
      <w:r>
        <w:fldChar w:fldCharType="begin"/>
      </w:r>
      <w:r>
        <w:instrText xml:space="preserve"> PAGEREF _Toc11528 \h </w:instrText>
      </w:r>
      <w:r>
        <w:fldChar w:fldCharType="separate"/>
      </w:r>
      <w:r>
        <w:t>6</w:t>
      </w:r>
      <w:r>
        <w:fldChar w:fldCharType="end"/>
      </w:r>
      <w:r>
        <w:rPr>
          <w:rFonts w:hint="default" w:ascii="Times New Roman" w:hAnsi="Times New Roman" w:cs="Times New Roman" w:eastAsiaTheme="minorEastAsia"/>
          <w:bCs/>
          <w:color w:val="auto"/>
          <w:szCs w:val="28"/>
        </w:rPr>
        <w:fldChar w:fldCharType="end"/>
      </w:r>
    </w:p>
    <w:p w14:paraId="3DF27B8D">
      <w:pPr>
        <w:pStyle w:val="20"/>
        <w:tabs>
          <w:tab w:val="right" w:leader="dot" w:pos="9864"/>
          <w:tab w:val="clear" w:pos="3261"/>
        </w:tabs>
      </w:pPr>
      <w:r>
        <w:rPr>
          <w:rFonts w:hint="default" w:ascii="Times New Roman" w:hAnsi="Times New Roman" w:cs="Times New Roman" w:eastAsiaTheme="minorEastAsia"/>
          <w:bCs/>
          <w:color w:val="auto"/>
          <w:szCs w:val="28"/>
        </w:rPr>
        <w:fldChar w:fldCharType="begin"/>
      </w:r>
      <w:r>
        <w:rPr>
          <w:rFonts w:hint="default" w:ascii="Times New Roman" w:hAnsi="Times New Roman" w:cs="Times New Roman" w:eastAsiaTheme="minorEastAsia"/>
          <w:bCs/>
          <w:szCs w:val="28"/>
        </w:rPr>
        <w:instrText xml:space="preserve"> HYPERLINK \l _Toc7523 </w:instrText>
      </w:r>
      <w:r>
        <w:rPr>
          <w:rFonts w:hint="default" w:ascii="Times New Roman" w:hAnsi="Times New Roman" w:cs="Times New Roman" w:eastAsiaTheme="minorEastAsia"/>
          <w:bCs/>
          <w:szCs w:val="28"/>
        </w:rPr>
        <w:fldChar w:fldCharType="separate"/>
      </w:r>
      <w:r>
        <w:rPr>
          <w:rFonts w:hint="default"/>
        </w:rPr>
        <w:t>2.2 主要符号</w:t>
      </w:r>
      <w:r>
        <w:tab/>
      </w:r>
      <w:r>
        <w:fldChar w:fldCharType="begin"/>
      </w:r>
      <w:r>
        <w:instrText xml:space="preserve"> PAGEREF _Toc7523 \h </w:instrText>
      </w:r>
      <w:r>
        <w:fldChar w:fldCharType="separate"/>
      </w:r>
      <w:r>
        <w:t>7</w:t>
      </w:r>
      <w:r>
        <w:fldChar w:fldCharType="end"/>
      </w:r>
      <w:r>
        <w:rPr>
          <w:rFonts w:hint="default" w:ascii="Times New Roman" w:hAnsi="Times New Roman" w:cs="Times New Roman" w:eastAsiaTheme="minorEastAsia"/>
          <w:bCs/>
          <w:color w:val="auto"/>
          <w:szCs w:val="28"/>
        </w:rPr>
        <w:fldChar w:fldCharType="end"/>
      </w:r>
    </w:p>
    <w:p w14:paraId="634645D0">
      <w:pPr>
        <w:pStyle w:val="18"/>
        <w:tabs>
          <w:tab w:val="right" w:leader="dot" w:pos="9864"/>
          <w:tab w:val="clear" w:pos="3261"/>
        </w:tabs>
      </w:pPr>
      <w:r>
        <w:rPr>
          <w:rFonts w:hint="default" w:ascii="Times New Roman" w:hAnsi="Times New Roman" w:cs="Times New Roman" w:eastAsiaTheme="minorEastAsia"/>
          <w:bCs/>
          <w:color w:val="auto"/>
          <w:szCs w:val="28"/>
        </w:rPr>
        <w:fldChar w:fldCharType="begin"/>
      </w:r>
      <w:r>
        <w:rPr>
          <w:rFonts w:hint="default" w:ascii="Times New Roman" w:hAnsi="Times New Roman" w:cs="Times New Roman" w:eastAsiaTheme="minorEastAsia"/>
          <w:bCs/>
          <w:szCs w:val="28"/>
        </w:rPr>
        <w:instrText xml:space="preserve"> HYPERLINK \l _Toc32060 </w:instrText>
      </w:r>
      <w:r>
        <w:rPr>
          <w:rFonts w:hint="default" w:ascii="Times New Roman" w:hAnsi="Times New Roman" w:cs="Times New Roman" w:eastAsiaTheme="minorEastAsia"/>
          <w:bCs/>
          <w:szCs w:val="28"/>
        </w:rPr>
        <w:fldChar w:fldCharType="separate"/>
      </w:r>
      <w:r>
        <w:rPr>
          <w:rFonts w:hint="default"/>
        </w:rPr>
        <w:t>3  基本规定</w:t>
      </w:r>
      <w:r>
        <w:tab/>
      </w:r>
      <w:r>
        <w:fldChar w:fldCharType="begin"/>
      </w:r>
      <w:r>
        <w:instrText xml:space="preserve"> PAGEREF _Toc32060 \h </w:instrText>
      </w:r>
      <w:r>
        <w:fldChar w:fldCharType="separate"/>
      </w:r>
      <w:r>
        <w:t>8</w:t>
      </w:r>
      <w:r>
        <w:fldChar w:fldCharType="end"/>
      </w:r>
      <w:r>
        <w:rPr>
          <w:rFonts w:hint="default" w:ascii="Times New Roman" w:hAnsi="Times New Roman" w:cs="Times New Roman" w:eastAsiaTheme="minorEastAsia"/>
          <w:bCs/>
          <w:color w:val="auto"/>
          <w:szCs w:val="28"/>
        </w:rPr>
        <w:fldChar w:fldCharType="end"/>
      </w:r>
    </w:p>
    <w:p w14:paraId="1CEEE0F6">
      <w:pPr>
        <w:pStyle w:val="20"/>
        <w:tabs>
          <w:tab w:val="right" w:leader="dot" w:pos="9864"/>
          <w:tab w:val="clear" w:pos="3261"/>
        </w:tabs>
      </w:pPr>
      <w:r>
        <w:rPr>
          <w:rFonts w:hint="default" w:ascii="Times New Roman" w:hAnsi="Times New Roman" w:cs="Times New Roman" w:eastAsiaTheme="minorEastAsia"/>
          <w:bCs/>
          <w:color w:val="auto"/>
          <w:szCs w:val="28"/>
        </w:rPr>
        <w:fldChar w:fldCharType="begin"/>
      </w:r>
      <w:r>
        <w:rPr>
          <w:rFonts w:hint="default" w:ascii="Times New Roman" w:hAnsi="Times New Roman" w:cs="Times New Roman" w:eastAsiaTheme="minorEastAsia"/>
          <w:bCs/>
          <w:szCs w:val="28"/>
        </w:rPr>
        <w:instrText xml:space="preserve"> HYPERLINK \l _Toc26082 </w:instrText>
      </w:r>
      <w:r>
        <w:rPr>
          <w:rFonts w:hint="default" w:ascii="Times New Roman" w:hAnsi="Times New Roman" w:cs="Times New Roman" w:eastAsiaTheme="minorEastAsia"/>
          <w:bCs/>
          <w:szCs w:val="28"/>
        </w:rPr>
        <w:fldChar w:fldCharType="separate"/>
      </w:r>
      <w:r>
        <w:rPr>
          <w:rFonts w:hint="default"/>
          <w:lang w:val="en-US" w:eastAsia="zh-CN"/>
        </w:rPr>
        <w:t>3.1 一般规定</w:t>
      </w:r>
      <w:r>
        <w:tab/>
      </w:r>
      <w:r>
        <w:fldChar w:fldCharType="begin"/>
      </w:r>
      <w:r>
        <w:instrText xml:space="preserve"> PAGEREF _Toc26082 \h </w:instrText>
      </w:r>
      <w:r>
        <w:fldChar w:fldCharType="separate"/>
      </w:r>
      <w:r>
        <w:t>8</w:t>
      </w:r>
      <w:r>
        <w:fldChar w:fldCharType="end"/>
      </w:r>
      <w:r>
        <w:rPr>
          <w:rFonts w:hint="default" w:ascii="Times New Roman" w:hAnsi="Times New Roman" w:cs="Times New Roman" w:eastAsiaTheme="minorEastAsia"/>
          <w:bCs/>
          <w:color w:val="auto"/>
          <w:szCs w:val="28"/>
        </w:rPr>
        <w:fldChar w:fldCharType="end"/>
      </w:r>
    </w:p>
    <w:p w14:paraId="5ADF8C93">
      <w:pPr>
        <w:pStyle w:val="20"/>
        <w:tabs>
          <w:tab w:val="right" w:leader="dot" w:pos="9864"/>
          <w:tab w:val="clear" w:pos="3261"/>
        </w:tabs>
      </w:pPr>
      <w:r>
        <w:rPr>
          <w:rFonts w:hint="default" w:ascii="Times New Roman" w:hAnsi="Times New Roman" w:cs="Times New Roman" w:eastAsiaTheme="minorEastAsia"/>
          <w:bCs/>
          <w:color w:val="auto"/>
          <w:szCs w:val="28"/>
        </w:rPr>
        <w:fldChar w:fldCharType="begin"/>
      </w:r>
      <w:r>
        <w:rPr>
          <w:rFonts w:hint="default" w:ascii="Times New Roman" w:hAnsi="Times New Roman" w:cs="Times New Roman" w:eastAsiaTheme="minorEastAsia"/>
          <w:bCs/>
          <w:szCs w:val="28"/>
        </w:rPr>
        <w:instrText xml:space="preserve"> HYPERLINK \l _Toc651 </w:instrText>
      </w:r>
      <w:r>
        <w:rPr>
          <w:rFonts w:hint="default" w:ascii="Times New Roman" w:hAnsi="Times New Roman" w:cs="Times New Roman" w:eastAsiaTheme="minorEastAsia"/>
          <w:bCs/>
          <w:szCs w:val="28"/>
        </w:rPr>
        <w:fldChar w:fldCharType="separate"/>
      </w:r>
      <w:r>
        <w:rPr>
          <w:rFonts w:hint="default"/>
        </w:rPr>
        <w:t>3.2 设计原则</w:t>
      </w:r>
      <w:r>
        <w:tab/>
      </w:r>
      <w:r>
        <w:fldChar w:fldCharType="begin"/>
      </w:r>
      <w:r>
        <w:instrText xml:space="preserve"> PAGEREF _Toc651 \h </w:instrText>
      </w:r>
      <w:r>
        <w:fldChar w:fldCharType="separate"/>
      </w:r>
      <w:r>
        <w:t>15</w:t>
      </w:r>
      <w:r>
        <w:fldChar w:fldCharType="end"/>
      </w:r>
      <w:r>
        <w:rPr>
          <w:rFonts w:hint="default" w:ascii="Times New Roman" w:hAnsi="Times New Roman" w:cs="Times New Roman" w:eastAsiaTheme="minorEastAsia"/>
          <w:bCs/>
          <w:color w:val="auto"/>
          <w:szCs w:val="28"/>
        </w:rPr>
        <w:fldChar w:fldCharType="end"/>
      </w:r>
    </w:p>
    <w:p w14:paraId="08D7B77C">
      <w:pPr>
        <w:pStyle w:val="20"/>
        <w:tabs>
          <w:tab w:val="right" w:leader="dot" w:pos="9864"/>
          <w:tab w:val="clear" w:pos="3261"/>
        </w:tabs>
      </w:pPr>
      <w:r>
        <w:rPr>
          <w:rFonts w:hint="default" w:ascii="Times New Roman" w:hAnsi="Times New Roman" w:cs="Times New Roman" w:eastAsiaTheme="minorEastAsia"/>
          <w:bCs/>
          <w:color w:val="auto"/>
          <w:szCs w:val="28"/>
        </w:rPr>
        <w:fldChar w:fldCharType="begin"/>
      </w:r>
      <w:r>
        <w:rPr>
          <w:rFonts w:hint="default" w:ascii="Times New Roman" w:hAnsi="Times New Roman" w:cs="Times New Roman" w:eastAsiaTheme="minorEastAsia"/>
          <w:bCs/>
          <w:szCs w:val="28"/>
        </w:rPr>
        <w:instrText xml:space="preserve"> HYPERLINK \l _Toc6963 </w:instrText>
      </w:r>
      <w:r>
        <w:rPr>
          <w:rFonts w:hint="default" w:ascii="Times New Roman" w:hAnsi="Times New Roman" w:cs="Times New Roman" w:eastAsiaTheme="minorEastAsia"/>
          <w:bCs/>
          <w:szCs w:val="28"/>
        </w:rPr>
        <w:fldChar w:fldCharType="separate"/>
      </w:r>
      <w:r>
        <w:rPr>
          <w:rFonts w:hint="default"/>
        </w:rPr>
        <w:t>3.3 加固方法及配合使用的技术</w:t>
      </w:r>
      <w:r>
        <w:tab/>
      </w:r>
      <w:r>
        <w:fldChar w:fldCharType="begin"/>
      </w:r>
      <w:r>
        <w:instrText xml:space="preserve"> PAGEREF _Toc6963 \h </w:instrText>
      </w:r>
      <w:r>
        <w:fldChar w:fldCharType="separate"/>
      </w:r>
      <w:r>
        <w:t>19</w:t>
      </w:r>
      <w:r>
        <w:fldChar w:fldCharType="end"/>
      </w:r>
      <w:r>
        <w:rPr>
          <w:rFonts w:hint="default" w:ascii="Times New Roman" w:hAnsi="Times New Roman" w:cs="Times New Roman" w:eastAsiaTheme="minorEastAsia"/>
          <w:bCs/>
          <w:color w:val="auto"/>
          <w:szCs w:val="28"/>
        </w:rPr>
        <w:fldChar w:fldCharType="end"/>
      </w:r>
    </w:p>
    <w:p w14:paraId="11AD5FD5">
      <w:pPr>
        <w:pStyle w:val="20"/>
        <w:tabs>
          <w:tab w:val="right" w:leader="dot" w:pos="9864"/>
          <w:tab w:val="clear" w:pos="3261"/>
        </w:tabs>
      </w:pPr>
      <w:r>
        <w:rPr>
          <w:rFonts w:hint="default" w:ascii="Times New Roman" w:hAnsi="Times New Roman" w:cs="Times New Roman" w:eastAsiaTheme="minorEastAsia"/>
          <w:bCs/>
          <w:color w:val="auto"/>
          <w:szCs w:val="28"/>
        </w:rPr>
        <w:fldChar w:fldCharType="begin"/>
      </w:r>
      <w:r>
        <w:rPr>
          <w:rFonts w:hint="default" w:ascii="Times New Roman" w:hAnsi="Times New Roman" w:cs="Times New Roman" w:eastAsiaTheme="minorEastAsia"/>
          <w:bCs/>
          <w:szCs w:val="28"/>
        </w:rPr>
        <w:instrText xml:space="preserve"> HYPERLINK \l _Toc28162 </w:instrText>
      </w:r>
      <w:r>
        <w:rPr>
          <w:rFonts w:hint="default" w:ascii="Times New Roman" w:hAnsi="Times New Roman" w:cs="Times New Roman" w:eastAsiaTheme="minorEastAsia"/>
          <w:bCs/>
          <w:szCs w:val="28"/>
        </w:rPr>
        <w:fldChar w:fldCharType="separate"/>
      </w:r>
      <w:r>
        <w:rPr>
          <w:rFonts w:hint="default"/>
        </w:rPr>
        <w:t>3.4 加固材料</w:t>
      </w:r>
      <w:r>
        <w:tab/>
      </w:r>
      <w:r>
        <w:fldChar w:fldCharType="begin"/>
      </w:r>
      <w:r>
        <w:instrText xml:space="preserve"> PAGEREF _Toc28162 \h </w:instrText>
      </w:r>
      <w:r>
        <w:fldChar w:fldCharType="separate"/>
      </w:r>
      <w:r>
        <w:t>19</w:t>
      </w:r>
      <w:r>
        <w:fldChar w:fldCharType="end"/>
      </w:r>
      <w:r>
        <w:rPr>
          <w:rFonts w:hint="default" w:ascii="Times New Roman" w:hAnsi="Times New Roman" w:cs="Times New Roman" w:eastAsiaTheme="minorEastAsia"/>
          <w:bCs/>
          <w:color w:val="auto"/>
          <w:szCs w:val="28"/>
        </w:rPr>
        <w:fldChar w:fldCharType="end"/>
      </w:r>
    </w:p>
    <w:p w14:paraId="47AC241C">
      <w:pPr>
        <w:pStyle w:val="18"/>
        <w:tabs>
          <w:tab w:val="right" w:leader="dot" w:pos="9864"/>
          <w:tab w:val="clear" w:pos="3261"/>
        </w:tabs>
      </w:pPr>
      <w:r>
        <w:rPr>
          <w:rFonts w:hint="default" w:ascii="Times New Roman" w:hAnsi="Times New Roman" w:cs="Times New Roman" w:eastAsiaTheme="minorEastAsia"/>
          <w:bCs/>
          <w:color w:val="auto"/>
          <w:szCs w:val="28"/>
        </w:rPr>
        <w:fldChar w:fldCharType="begin"/>
      </w:r>
      <w:r>
        <w:rPr>
          <w:rFonts w:hint="default" w:ascii="Times New Roman" w:hAnsi="Times New Roman" w:cs="Times New Roman" w:eastAsiaTheme="minorEastAsia"/>
          <w:bCs/>
          <w:szCs w:val="28"/>
        </w:rPr>
        <w:instrText xml:space="preserve"> HYPERLINK \l _Toc9516 </w:instrText>
      </w:r>
      <w:r>
        <w:rPr>
          <w:rFonts w:hint="default" w:ascii="Times New Roman" w:hAnsi="Times New Roman" w:cs="Times New Roman" w:eastAsiaTheme="minorEastAsia"/>
          <w:bCs/>
          <w:szCs w:val="28"/>
        </w:rPr>
        <w:fldChar w:fldCharType="separate"/>
      </w:r>
      <w:r>
        <w:rPr>
          <w:rFonts w:hint="default"/>
          <w:lang w:val="en-US" w:eastAsia="zh-CN"/>
        </w:rPr>
        <w:t>4  既有建筑的检测鉴定与加固</w:t>
      </w:r>
      <w:r>
        <w:tab/>
      </w:r>
      <w:r>
        <w:fldChar w:fldCharType="begin"/>
      </w:r>
      <w:r>
        <w:instrText xml:space="preserve"> PAGEREF _Toc9516 \h </w:instrText>
      </w:r>
      <w:r>
        <w:fldChar w:fldCharType="separate"/>
      </w:r>
      <w:r>
        <w:t>22</w:t>
      </w:r>
      <w:r>
        <w:fldChar w:fldCharType="end"/>
      </w:r>
      <w:r>
        <w:rPr>
          <w:rFonts w:hint="default" w:ascii="Times New Roman" w:hAnsi="Times New Roman" w:cs="Times New Roman" w:eastAsiaTheme="minorEastAsia"/>
          <w:bCs/>
          <w:color w:val="auto"/>
          <w:szCs w:val="28"/>
        </w:rPr>
        <w:fldChar w:fldCharType="end"/>
      </w:r>
    </w:p>
    <w:p w14:paraId="613F4110">
      <w:pPr>
        <w:pStyle w:val="20"/>
        <w:tabs>
          <w:tab w:val="right" w:leader="dot" w:pos="9864"/>
          <w:tab w:val="clear" w:pos="3261"/>
        </w:tabs>
      </w:pPr>
      <w:r>
        <w:rPr>
          <w:rFonts w:hint="default" w:ascii="Times New Roman" w:hAnsi="Times New Roman" w:cs="Times New Roman" w:eastAsiaTheme="minorEastAsia"/>
          <w:bCs/>
          <w:color w:val="auto"/>
          <w:szCs w:val="28"/>
        </w:rPr>
        <w:fldChar w:fldCharType="begin"/>
      </w:r>
      <w:r>
        <w:rPr>
          <w:rFonts w:hint="default" w:ascii="Times New Roman" w:hAnsi="Times New Roman" w:cs="Times New Roman" w:eastAsiaTheme="minorEastAsia"/>
          <w:bCs/>
          <w:szCs w:val="28"/>
        </w:rPr>
        <w:instrText xml:space="preserve"> HYPERLINK \l _Toc7964 </w:instrText>
      </w:r>
      <w:r>
        <w:rPr>
          <w:rFonts w:hint="default" w:ascii="Times New Roman" w:hAnsi="Times New Roman" w:cs="Times New Roman" w:eastAsiaTheme="minorEastAsia"/>
          <w:bCs/>
          <w:szCs w:val="28"/>
        </w:rPr>
        <w:fldChar w:fldCharType="separate"/>
      </w:r>
      <w:r>
        <w:rPr>
          <w:rFonts w:hint="default"/>
          <w:lang w:val="en-US" w:eastAsia="zh-CN"/>
        </w:rPr>
        <w:t>4</w:t>
      </w:r>
      <w:r>
        <w:rPr>
          <w:rFonts w:hint="default"/>
        </w:rPr>
        <w:t xml:space="preserve">.1 </w:t>
      </w:r>
      <w:r>
        <w:rPr>
          <w:rFonts w:hint="default"/>
          <w:lang w:val="en-US" w:eastAsia="zh-CN"/>
        </w:rPr>
        <w:t>一般规定</w:t>
      </w:r>
      <w:r>
        <w:tab/>
      </w:r>
      <w:r>
        <w:fldChar w:fldCharType="begin"/>
      </w:r>
      <w:r>
        <w:instrText xml:space="preserve"> PAGEREF _Toc7964 \h </w:instrText>
      </w:r>
      <w:r>
        <w:fldChar w:fldCharType="separate"/>
      </w:r>
      <w:r>
        <w:t>22</w:t>
      </w:r>
      <w:r>
        <w:fldChar w:fldCharType="end"/>
      </w:r>
      <w:r>
        <w:rPr>
          <w:rFonts w:hint="default" w:ascii="Times New Roman" w:hAnsi="Times New Roman" w:cs="Times New Roman" w:eastAsiaTheme="minorEastAsia"/>
          <w:bCs/>
          <w:color w:val="auto"/>
          <w:szCs w:val="28"/>
        </w:rPr>
        <w:fldChar w:fldCharType="end"/>
      </w:r>
    </w:p>
    <w:p w14:paraId="1B2C4B78">
      <w:pPr>
        <w:pStyle w:val="20"/>
        <w:tabs>
          <w:tab w:val="right" w:leader="dot" w:pos="9864"/>
          <w:tab w:val="clear" w:pos="3261"/>
        </w:tabs>
      </w:pPr>
      <w:r>
        <w:rPr>
          <w:rFonts w:hint="default" w:ascii="Times New Roman" w:hAnsi="Times New Roman" w:cs="Times New Roman" w:eastAsiaTheme="minorEastAsia"/>
          <w:bCs/>
          <w:color w:val="auto"/>
          <w:szCs w:val="28"/>
        </w:rPr>
        <w:fldChar w:fldCharType="begin"/>
      </w:r>
      <w:r>
        <w:rPr>
          <w:rFonts w:hint="default" w:ascii="Times New Roman" w:hAnsi="Times New Roman" w:cs="Times New Roman" w:eastAsiaTheme="minorEastAsia"/>
          <w:bCs/>
          <w:szCs w:val="28"/>
        </w:rPr>
        <w:instrText xml:space="preserve"> HYPERLINK \l _Toc2162 </w:instrText>
      </w:r>
      <w:r>
        <w:rPr>
          <w:rFonts w:hint="default" w:ascii="Times New Roman" w:hAnsi="Times New Roman" w:cs="Times New Roman" w:eastAsiaTheme="minorEastAsia"/>
          <w:bCs/>
          <w:szCs w:val="28"/>
        </w:rPr>
        <w:fldChar w:fldCharType="separate"/>
      </w:r>
      <w:r>
        <w:rPr>
          <w:rFonts w:hint="default"/>
        </w:rPr>
        <w:t>4.2 资料核查、现场调查、检测与监测</w:t>
      </w:r>
      <w:r>
        <w:tab/>
      </w:r>
      <w:r>
        <w:fldChar w:fldCharType="begin"/>
      </w:r>
      <w:r>
        <w:instrText xml:space="preserve"> PAGEREF _Toc2162 \h </w:instrText>
      </w:r>
      <w:r>
        <w:fldChar w:fldCharType="separate"/>
      </w:r>
      <w:r>
        <w:t>24</w:t>
      </w:r>
      <w:r>
        <w:fldChar w:fldCharType="end"/>
      </w:r>
      <w:r>
        <w:rPr>
          <w:rFonts w:hint="default" w:ascii="Times New Roman" w:hAnsi="Times New Roman" w:cs="Times New Roman" w:eastAsiaTheme="minorEastAsia"/>
          <w:bCs/>
          <w:color w:val="auto"/>
          <w:szCs w:val="28"/>
        </w:rPr>
        <w:fldChar w:fldCharType="end"/>
      </w:r>
    </w:p>
    <w:p w14:paraId="079CA981">
      <w:pPr>
        <w:pStyle w:val="20"/>
        <w:tabs>
          <w:tab w:val="right" w:leader="dot" w:pos="9864"/>
          <w:tab w:val="clear" w:pos="3261"/>
        </w:tabs>
      </w:pPr>
      <w:r>
        <w:rPr>
          <w:rFonts w:hint="default" w:ascii="Times New Roman" w:hAnsi="Times New Roman" w:cs="Times New Roman" w:eastAsiaTheme="minorEastAsia"/>
          <w:bCs/>
          <w:color w:val="auto"/>
          <w:szCs w:val="28"/>
        </w:rPr>
        <w:fldChar w:fldCharType="begin"/>
      </w:r>
      <w:r>
        <w:rPr>
          <w:rFonts w:hint="default" w:ascii="Times New Roman" w:hAnsi="Times New Roman" w:cs="Times New Roman" w:eastAsiaTheme="minorEastAsia"/>
          <w:bCs/>
          <w:szCs w:val="28"/>
        </w:rPr>
        <w:instrText xml:space="preserve"> HYPERLINK \l _Toc26290 </w:instrText>
      </w:r>
      <w:r>
        <w:rPr>
          <w:rFonts w:hint="default" w:ascii="Times New Roman" w:hAnsi="Times New Roman" w:cs="Times New Roman" w:eastAsiaTheme="minorEastAsia"/>
          <w:bCs/>
          <w:szCs w:val="28"/>
        </w:rPr>
        <w:fldChar w:fldCharType="separate"/>
      </w:r>
      <w:r>
        <w:rPr>
          <w:rFonts w:hint="default"/>
          <w:lang w:val="en-US" w:eastAsia="zh-CN"/>
        </w:rPr>
        <w:t>4.3 抗震鉴定</w:t>
      </w:r>
      <w:r>
        <w:tab/>
      </w:r>
      <w:r>
        <w:fldChar w:fldCharType="begin"/>
      </w:r>
      <w:r>
        <w:instrText xml:space="preserve"> PAGEREF _Toc26290 \h </w:instrText>
      </w:r>
      <w:r>
        <w:fldChar w:fldCharType="separate"/>
      </w:r>
      <w:r>
        <w:t>27</w:t>
      </w:r>
      <w:r>
        <w:fldChar w:fldCharType="end"/>
      </w:r>
      <w:r>
        <w:rPr>
          <w:rFonts w:hint="default" w:ascii="Times New Roman" w:hAnsi="Times New Roman" w:cs="Times New Roman" w:eastAsiaTheme="minorEastAsia"/>
          <w:bCs/>
          <w:color w:val="auto"/>
          <w:szCs w:val="28"/>
        </w:rPr>
        <w:fldChar w:fldCharType="end"/>
      </w:r>
    </w:p>
    <w:p w14:paraId="423B5BC4">
      <w:pPr>
        <w:pStyle w:val="20"/>
        <w:tabs>
          <w:tab w:val="right" w:leader="dot" w:pos="9864"/>
          <w:tab w:val="clear" w:pos="3261"/>
        </w:tabs>
      </w:pPr>
      <w:r>
        <w:rPr>
          <w:rFonts w:hint="default" w:ascii="Times New Roman" w:hAnsi="Times New Roman" w:cs="Times New Roman" w:eastAsiaTheme="minorEastAsia"/>
          <w:bCs/>
          <w:color w:val="auto"/>
          <w:szCs w:val="28"/>
        </w:rPr>
        <w:fldChar w:fldCharType="begin"/>
      </w:r>
      <w:r>
        <w:rPr>
          <w:rFonts w:hint="default" w:ascii="Times New Roman" w:hAnsi="Times New Roman" w:cs="Times New Roman" w:eastAsiaTheme="minorEastAsia"/>
          <w:bCs/>
          <w:szCs w:val="28"/>
        </w:rPr>
        <w:instrText xml:space="preserve"> HYPERLINK \l _Toc24087 </w:instrText>
      </w:r>
      <w:r>
        <w:rPr>
          <w:rFonts w:hint="default" w:ascii="Times New Roman" w:hAnsi="Times New Roman" w:cs="Times New Roman" w:eastAsiaTheme="minorEastAsia"/>
          <w:bCs/>
          <w:szCs w:val="28"/>
        </w:rPr>
        <w:fldChar w:fldCharType="separate"/>
      </w:r>
      <w:r>
        <w:rPr>
          <w:rFonts w:hint="default"/>
          <w:lang w:val="en-US" w:eastAsia="zh-CN"/>
        </w:rPr>
        <w:t>4.4</w:t>
      </w:r>
      <w:r>
        <w:rPr>
          <w:rFonts w:hint="default"/>
        </w:rPr>
        <w:t xml:space="preserve"> 抗震加固</w:t>
      </w:r>
      <w:r>
        <w:tab/>
      </w:r>
      <w:r>
        <w:fldChar w:fldCharType="begin"/>
      </w:r>
      <w:r>
        <w:instrText xml:space="preserve"> PAGEREF _Toc24087 \h </w:instrText>
      </w:r>
      <w:r>
        <w:fldChar w:fldCharType="separate"/>
      </w:r>
      <w:r>
        <w:t>33</w:t>
      </w:r>
      <w:r>
        <w:fldChar w:fldCharType="end"/>
      </w:r>
      <w:r>
        <w:rPr>
          <w:rFonts w:hint="default" w:ascii="Times New Roman" w:hAnsi="Times New Roman" w:cs="Times New Roman" w:eastAsiaTheme="minorEastAsia"/>
          <w:bCs/>
          <w:color w:val="auto"/>
          <w:szCs w:val="28"/>
        </w:rPr>
        <w:fldChar w:fldCharType="end"/>
      </w:r>
    </w:p>
    <w:p w14:paraId="012AC989">
      <w:pPr>
        <w:pStyle w:val="18"/>
        <w:tabs>
          <w:tab w:val="right" w:leader="dot" w:pos="9864"/>
          <w:tab w:val="clear" w:pos="3261"/>
        </w:tabs>
      </w:pPr>
      <w:r>
        <w:rPr>
          <w:rFonts w:hint="default" w:ascii="Times New Roman" w:hAnsi="Times New Roman" w:cs="Times New Roman" w:eastAsiaTheme="minorEastAsia"/>
          <w:bCs/>
          <w:color w:val="auto"/>
          <w:szCs w:val="28"/>
        </w:rPr>
        <w:fldChar w:fldCharType="begin"/>
      </w:r>
      <w:r>
        <w:rPr>
          <w:rFonts w:hint="default" w:ascii="Times New Roman" w:hAnsi="Times New Roman" w:cs="Times New Roman" w:eastAsiaTheme="minorEastAsia"/>
          <w:bCs/>
          <w:szCs w:val="28"/>
        </w:rPr>
        <w:instrText xml:space="preserve"> HYPERLINK \l _Toc24233 </w:instrText>
      </w:r>
      <w:r>
        <w:rPr>
          <w:rFonts w:hint="default" w:ascii="Times New Roman" w:hAnsi="Times New Roman" w:cs="Times New Roman" w:eastAsiaTheme="minorEastAsia"/>
          <w:bCs/>
          <w:szCs w:val="28"/>
        </w:rPr>
        <w:fldChar w:fldCharType="separate"/>
      </w:r>
      <w:r>
        <w:rPr>
          <w:rFonts w:hint="default"/>
          <w:lang w:val="en-US" w:eastAsia="zh-CN"/>
        </w:rPr>
        <w:t>5</w:t>
      </w:r>
      <w:r>
        <w:rPr>
          <w:rFonts w:hint="default"/>
        </w:rPr>
        <w:t xml:space="preserve">  地基基础</w:t>
      </w:r>
      <w:r>
        <w:tab/>
      </w:r>
      <w:r>
        <w:fldChar w:fldCharType="begin"/>
      </w:r>
      <w:r>
        <w:instrText xml:space="preserve"> PAGEREF _Toc24233 \h </w:instrText>
      </w:r>
      <w:r>
        <w:fldChar w:fldCharType="separate"/>
      </w:r>
      <w:r>
        <w:t>36</w:t>
      </w:r>
      <w:r>
        <w:fldChar w:fldCharType="end"/>
      </w:r>
      <w:r>
        <w:rPr>
          <w:rFonts w:hint="default" w:ascii="Times New Roman" w:hAnsi="Times New Roman" w:cs="Times New Roman" w:eastAsiaTheme="minorEastAsia"/>
          <w:bCs/>
          <w:color w:val="auto"/>
          <w:szCs w:val="28"/>
        </w:rPr>
        <w:fldChar w:fldCharType="end"/>
      </w:r>
    </w:p>
    <w:p w14:paraId="73E0724B">
      <w:pPr>
        <w:pStyle w:val="20"/>
        <w:tabs>
          <w:tab w:val="right" w:leader="dot" w:pos="9864"/>
          <w:tab w:val="clear" w:pos="3261"/>
        </w:tabs>
      </w:pPr>
      <w:r>
        <w:rPr>
          <w:rFonts w:hint="default" w:ascii="Times New Roman" w:hAnsi="Times New Roman" w:cs="Times New Roman" w:eastAsiaTheme="minorEastAsia"/>
          <w:bCs/>
          <w:color w:val="auto"/>
          <w:szCs w:val="28"/>
        </w:rPr>
        <w:fldChar w:fldCharType="begin"/>
      </w:r>
      <w:r>
        <w:rPr>
          <w:rFonts w:hint="default" w:ascii="Times New Roman" w:hAnsi="Times New Roman" w:cs="Times New Roman" w:eastAsiaTheme="minorEastAsia"/>
          <w:bCs/>
          <w:szCs w:val="28"/>
        </w:rPr>
        <w:instrText xml:space="preserve"> HYPERLINK \l _Toc4389 </w:instrText>
      </w:r>
      <w:r>
        <w:rPr>
          <w:rFonts w:hint="default" w:ascii="Times New Roman" w:hAnsi="Times New Roman" w:cs="Times New Roman" w:eastAsiaTheme="minorEastAsia"/>
          <w:bCs/>
          <w:szCs w:val="28"/>
        </w:rPr>
        <w:fldChar w:fldCharType="separate"/>
      </w:r>
      <w:r>
        <w:rPr>
          <w:rFonts w:hint="default"/>
          <w:lang w:val="en-US" w:eastAsia="zh-CN"/>
        </w:rPr>
        <w:t>5.1 一般规定</w:t>
      </w:r>
      <w:r>
        <w:tab/>
      </w:r>
      <w:r>
        <w:fldChar w:fldCharType="begin"/>
      </w:r>
      <w:r>
        <w:instrText xml:space="preserve"> PAGEREF _Toc4389 \h </w:instrText>
      </w:r>
      <w:r>
        <w:fldChar w:fldCharType="separate"/>
      </w:r>
      <w:r>
        <w:t>36</w:t>
      </w:r>
      <w:r>
        <w:fldChar w:fldCharType="end"/>
      </w:r>
      <w:r>
        <w:rPr>
          <w:rFonts w:hint="default" w:ascii="Times New Roman" w:hAnsi="Times New Roman" w:cs="Times New Roman" w:eastAsiaTheme="minorEastAsia"/>
          <w:bCs/>
          <w:color w:val="auto"/>
          <w:szCs w:val="28"/>
        </w:rPr>
        <w:fldChar w:fldCharType="end"/>
      </w:r>
    </w:p>
    <w:p w14:paraId="2CED1691">
      <w:pPr>
        <w:pStyle w:val="20"/>
        <w:tabs>
          <w:tab w:val="right" w:leader="dot" w:pos="9864"/>
          <w:tab w:val="clear" w:pos="3261"/>
        </w:tabs>
      </w:pPr>
      <w:r>
        <w:rPr>
          <w:rFonts w:hint="default" w:ascii="Times New Roman" w:hAnsi="Times New Roman" w:cs="Times New Roman" w:eastAsiaTheme="minorEastAsia"/>
          <w:bCs/>
          <w:color w:val="auto"/>
          <w:szCs w:val="28"/>
        </w:rPr>
        <w:fldChar w:fldCharType="begin"/>
      </w:r>
      <w:r>
        <w:rPr>
          <w:rFonts w:hint="default" w:ascii="Times New Roman" w:hAnsi="Times New Roman" w:cs="Times New Roman" w:eastAsiaTheme="minorEastAsia"/>
          <w:bCs/>
          <w:szCs w:val="28"/>
        </w:rPr>
        <w:instrText xml:space="preserve"> HYPERLINK \l _Toc25545 </w:instrText>
      </w:r>
      <w:r>
        <w:rPr>
          <w:rFonts w:hint="default" w:ascii="Times New Roman" w:hAnsi="Times New Roman" w:cs="Times New Roman" w:eastAsiaTheme="minorEastAsia"/>
          <w:bCs/>
          <w:szCs w:val="28"/>
        </w:rPr>
        <w:fldChar w:fldCharType="separate"/>
      </w:r>
      <w:r>
        <w:rPr>
          <w:rFonts w:hint="default"/>
          <w:lang w:val="en-US" w:eastAsia="zh-CN"/>
        </w:rPr>
        <w:t>5.2 加固方法</w:t>
      </w:r>
      <w:r>
        <w:tab/>
      </w:r>
      <w:r>
        <w:fldChar w:fldCharType="begin"/>
      </w:r>
      <w:r>
        <w:instrText xml:space="preserve"> PAGEREF _Toc25545 \h </w:instrText>
      </w:r>
      <w:r>
        <w:fldChar w:fldCharType="separate"/>
      </w:r>
      <w:r>
        <w:t>38</w:t>
      </w:r>
      <w:r>
        <w:fldChar w:fldCharType="end"/>
      </w:r>
      <w:r>
        <w:rPr>
          <w:rFonts w:hint="default" w:ascii="Times New Roman" w:hAnsi="Times New Roman" w:cs="Times New Roman" w:eastAsiaTheme="minorEastAsia"/>
          <w:bCs/>
          <w:color w:val="auto"/>
          <w:szCs w:val="28"/>
        </w:rPr>
        <w:fldChar w:fldCharType="end"/>
      </w:r>
    </w:p>
    <w:p w14:paraId="2CE24937">
      <w:pPr>
        <w:pStyle w:val="18"/>
        <w:tabs>
          <w:tab w:val="right" w:leader="dot" w:pos="9864"/>
          <w:tab w:val="clear" w:pos="3261"/>
        </w:tabs>
      </w:pPr>
      <w:r>
        <w:rPr>
          <w:rFonts w:hint="default" w:ascii="Times New Roman" w:hAnsi="Times New Roman" w:cs="Times New Roman" w:eastAsiaTheme="minorEastAsia"/>
          <w:bCs/>
          <w:color w:val="auto"/>
          <w:szCs w:val="28"/>
        </w:rPr>
        <w:fldChar w:fldCharType="begin"/>
      </w:r>
      <w:r>
        <w:rPr>
          <w:rFonts w:hint="default" w:ascii="Times New Roman" w:hAnsi="Times New Roman" w:cs="Times New Roman" w:eastAsiaTheme="minorEastAsia"/>
          <w:bCs/>
          <w:szCs w:val="28"/>
        </w:rPr>
        <w:instrText xml:space="preserve"> HYPERLINK \l _Toc22912 </w:instrText>
      </w:r>
      <w:r>
        <w:rPr>
          <w:rFonts w:hint="default" w:ascii="Times New Roman" w:hAnsi="Times New Roman" w:cs="Times New Roman" w:eastAsiaTheme="minorEastAsia"/>
          <w:bCs/>
          <w:szCs w:val="28"/>
        </w:rPr>
        <w:fldChar w:fldCharType="separate"/>
      </w:r>
      <w:r>
        <w:rPr>
          <w:rFonts w:hint="default"/>
          <w:lang w:val="en-US" w:eastAsia="zh-CN"/>
        </w:rPr>
        <w:t xml:space="preserve">6  </w:t>
      </w:r>
      <w:r>
        <w:rPr>
          <w:rFonts w:hint="default"/>
        </w:rPr>
        <w:t>多层砌体、内框架和底层框架</w:t>
      </w:r>
      <w:r>
        <w:rPr>
          <w:rFonts w:hint="default"/>
          <w:lang w:val="en-US" w:eastAsia="zh-CN"/>
        </w:rPr>
        <w:t>结构</w:t>
      </w:r>
      <w:r>
        <w:tab/>
      </w:r>
      <w:r>
        <w:fldChar w:fldCharType="begin"/>
      </w:r>
      <w:r>
        <w:instrText xml:space="preserve"> PAGEREF _Toc22912 \h </w:instrText>
      </w:r>
      <w:r>
        <w:fldChar w:fldCharType="separate"/>
      </w:r>
      <w:r>
        <w:t>44</w:t>
      </w:r>
      <w:r>
        <w:fldChar w:fldCharType="end"/>
      </w:r>
      <w:r>
        <w:rPr>
          <w:rFonts w:hint="default" w:ascii="Times New Roman" w:hAnsi="Times New Roman" w:cs="Times New Roman" w:eastAsiaTheme="minorEastAsia"/>
          <w:bCs/>
          <w:color w:val="auto"/>
          <w:szCs w:val="28"/>
        </w:rPr>
        <w:fldChar w:fldCharType="end"/>
      </w:r>
    </w:p>
    <w:p w14:paraId="56DCD63B">
      <w:pPr>
        <w:pStyle w:val="20"/>
        <w:tabs>
          <w:tab w:val="right" w:leader="dot" w:pos="9864"/>
          <w:tab w:val="clear" w:pos="3261"/>
        </w:tabs>
      </w:pPr>
      <w:r>
        <w:rPr>
          <w:rFonts w:hint="default" w:ascii="Times New Roman" w:hAnsi="Times New Roman" w:cs="Times New Roman" w:eastAsiaTheme="minorEastAsia"/>
          <w:bCs/>
          <w:color w:val="auto"/>
          <w:szCs w:val="28"/>
        </w:rPr>
        <w:fldChar w:fldCharType="begin"/>
      </w:r>
      <w:r>
        <w:rPr>
          <w:rFonts w:hint="default" w:ascii="Times New Roman" w:hAnsi="Times New Roman" w:cs="Times New Roman" w:eastAsiaTheme="minorEastAsia"/>
          <w:bCs/>
          <w:szCs w:val="28"/>
        </w:rPr>
        <w:instrText xml:space="preserve"> HYPERLINK \l _Toc27560 </w:instrText>
      </w:r>
      <w:r>
        <w:rPr>
          <w:rFonts w:hint="default" w:ascii="Times New Roman" w:hAnsi="Times New Roman" w:cs="Times New Roman" w:eastAsiaTheme="minorEastAsia"/>
          <w:bCs/>
          <w:szCs w:val="28"/>
        </w:rPr>
        <w:fldChar w:fldCharType="separate"/>
      </w:r>
      <w:r>
        <w:rPr>
          <w:rFonts w:hint="default"/>
          <w:lang w:val="en-US" w:eastAsia="zh-CN"/>
        </w:rPr>
        <w:t>6</w:t>
      </w:r>
      <w:r>
        <w:rPr>
          <w:rFonts w:hint="default"/>
        </w:rPr>
        <w:t>.1 一般规定</w:t>
      </w:r>
      <w:r>
        <w:tab/>
      </w:r>
      <w:r>
        <w:fldChar w:fldCharType="begin"/>
      </w:r>
      <w:r>
        <w:instrText xml:space="preserve"> PAGEREF _Toc27560 \h </w:instrText>
      </w:r>
      <w:r>
        <w:fldChar w:fldCharType="separate"/>
      </w:r>
      <w:r>
        <w:t>44</w:t>
      </w:r>
      <w:r>
        <w:fldChar w:fldCharType="end"/>
      </w:r>
      <w:r>
        <w:rPr>
          <w:rFonts w:hint="default" w:ascii="Times New Roman" w:hAnsi="Times New Roman" w:cs="Times New Roman" w:eastAsiaTheme="minorEastAsia"/>
          <w:bCs/>
          <w:color w:val="auto"/>
          <w:szCs w:val="28"/>
        </w:rPr>
        <w:fldChar w:fldCharType="end"/>
      </w:r>
    </w:p>
    <w:p w14:paraId="0B712604">
      <w:pPr>
        <w:pStyle w:val="20"/>
        <w:tabs>
          <w:tab w:val="right" w:leader="dot" w:pos="9864"/>
          <w:tab w:val="clear" w:pos="3261"/>
        </w:tabs>
      </w:pPr>
      <w:r>
        <w:rPr>
          <w:rFonts w:hint="default" w:ascii="Times New Roman" w:hAnsi="Times New Roman" w:cs="Times New Roman" w:eastAsiaTheme="minorEastAsia"/>
          <w:bCs/>
          <w:color w:val="auto"/>
          <w:szCs w:val="28"/>
        </w:rPr>
        <w:fldChar w:fldCharType="begin"/>
      </w:r>
      <w:r>
        <w:rPr>
          <w:rFonts w:hint="default" w:ascii="Times New Roman" w:hAnsi="Times New Roman" w:cs="Times New Roman" w:eastAsiaTheme="minorEastAsia"/>
          <w:bCs/>
          <w:szCs w:val="28"/>
        </w:rPr>
        <w:instrText xml:space="preserve"> HYPERLINK \l _Toc26300 </w:instrText>
      </w:r>
      <w:r>
        <w:rPr>
          <w:rFonts w:hint="default" w:ascii="Times New Roman" w:hAnsi="Times New Roman" w:cs="Times New Roman" w:eastAsiaTheme="minorEastAsia"/>
          <w:bCs/>
          <w:szCs w:val="28"/>
        </w:rPr>
        <w:fldChar w:fldCharType="separate"/>
      </w:r>
      <w:r>
        <w:rPr>
          <w:rFonts w:hint="default"/>
          <w:lang w:val="en-US" w:eastAsia="zh-CN"/>
        </w:rPr>
        <w:t>6</w:t>
      </w:r>
      <w:r>
        <w:rPr>
          <w:rFonts w:hint="default"/>
        </w:rPr>
        <w:t>.2 抗震加固</w:t>
      </w:r>
      <w:r>
        <w:rPr>
          <w:rFonts w:hint="default"/>
          <w:lang w:val="en-US" w:eastAsia="zh-CN"/>
        </w:rPr>
        <w:t>方法</w:t>
      </w:r>
      <w:r>
        <w:tab/>
      </w:r>
      <w:r>
        <w:fldChar w:fldCharType="begin"/>
      </w:r>
      <w:r>
        <w:instrText xml:space="preserve"> PAGEREF _Toc26300 \h </w:instrText>
      </w:r>
      <w:r>
        <w:fldChar w:fldCharType="separate"/>
      </w:r>
      <w:r>
        <w:t>45</w:t>
      </w:r>
      <w:r>
        <w:fldChar w:fldCharType="end"/>
      </w:r>
      <w:r>
        <w:rPr>
          <w:rFonts w:hint="default" w:ascii="Times New Roman" w:hAnsi="Times New Roman" w:cs="Times New Roman" w:eastAsiaTheme="minorEastAsia"/>
          <w:bCs/>
          <w:color w:val="auto"/>
          <w:szCs w:val="28"/>
        </w:rPr>
        <w:fldChar w:fldCharType="end"/>
      </w:r>
    </w:p>
    <w:p w14:paraId="02E65EDC">
      <w:pPr>
        <w:pStyle w:val="20"/>
        <w:tabs>
          <w:tab w:val="right" w:leader="dot" w:pos="9864"/>
          <w:tab w:val="clear" w:pos="3261"/>
        </w:tabs>
      </w:pPr>
      <w:r>
        <w:rPr>
          <w:rFonts w:hint="default" w:ascii="Times New Roman" w:hAnsi="Times New Roman" w:cs="Times New Roman" w:eastAsiaTheme="minorEastAsia"/>
          <w:bCs/>
          <w:color w:val="auto"/>
          <w:szCs w:val="28"/>
        </w:rPr>
        <w:fldChar w:fldCharType="begin"/>
      </w:r>
      <w:r>
        <w:rPr>
          <w:rFonts w:hint="default" w:ascii="Times New Roman" w:hAnsi="Times New Roman" w:cs="Times New Roman" w:eastAsiaTheme="minorEastAsia"/>
          <w:bCs/>
          <w:szCs w:val="28"/>
        </w:rPr>
        <w:instrText xml:space="preserve"> HYPERLINK \l _Toc32395 </w:instrText>
      </w:r>
      <w:r>
        <w:rPr>
          <w:rFonts w:hint="default" w:ascii="Times New Roman" w:hAnsi="Times New Roman" w:cs="Times New Roman" w:eastAsiaTheme="minorEastAsia"/>
          <w:bCs/>
          <w:szCs w:val="28"/>
        </w:rPr>
        <w:fldChar w:fldCharType="separate"/>
      </w:r>
      <w:r>
        <w:rPr>
          <w:rFonts w:hint="default"/>
          <w:lang w:val="en-US" w:eastAsia="zh-CN"/>
        </w:rPr>
        <w:t>6</w:t>
      </w:r>
      <w:r>
        <w:rPr>
          <w:rFonts w:hint="default"/>
        </w:rPr>
        <w:t>.3 抗震加固设计及施工</w:t>
      </w:r>
      <w:r>
        <w:tab/>
      </w:r>
      <w:r>
        <w:fldChar w:fldCharType="begin"/>
      </w:r>
      <w:r>
        <w:instrText xml:space="preserve"> PAGEREF _Toc32395 \h </w:instrText>
      </w:r>
      <w:r>
        <w:fldChar w:fldCharType="separate"/>
      </w:r>
      <w:r>
        <w:t>48</w:t>
      </w:r>
      <w:r>
        <w:fldChar w:fldCharType="end"/>
      </w:r>
      <w:r>
        <w:rPr>
          <w:rFonts w:hint="default" w:ascii="Times New Roman" w:hAnsi="Times New Roman" w:cs="Times New Roman" w:eastAsiaTheme="minorEastAsia"/>
          <w:bCs/>
          <w:color w:val="auto"/>
          <w:szCs w:val="28"/>
        </w:rPr>
        <w:fldChar w:fldCharType="end"/>
      </w:r>
    </w:p>
    <w:p w14:paraId="4E56C262">
      <w:pPr>
        <w:pStyle w:val="18"/>
        <w:tabs>
          <w:tab w:val="right" w:leader="dot" w:pos="9864"/>
          <w:tab w:val="clear" w:pos="3261"/>
        </w:tabs>
      </w:pPr>
      <w:r>
        <w:rPr>
          <w:rFonts w:hint="default" w:ascii="Times New Roman" w:hAnsi="Times New Roman" w:cs="Times New Roman" w:eastAsiaTheme="minorEastAsia"/>
          <w:bCs/>
          <w:color w:val="auto"/>
          <w:szCs w:val="28"/>
        </w:rPr>
        <w:fldChar w:fldCharType="begin"/>
      </w:r>
      <w:r>
        <w:rPr>
          <w:rFonts w:hint="default" w:ascii="Times New Roman" w:hAnsi="Times New Roman" w:cs="Times New Roman" w:eastAsiaTheme="minorEastAsia"/>
          <w:bCs/>
          <w:szCs w:val="28"/>
        </w:rPr>
        <w:instrText xml:space="preserve"> HYPERLINK \l _Toc742 </w:instrText>
      </w:r>
      <w:r>
        <w:rPr>
          <w:rFonts w:hint="default" w:ascii="Times New Roman" w:hAnsi="Times New Roman" w:cs="Times New Roman" w:eastAsiaTheme="minorEastAsia"/>
          <w:bCs/>
          <w:szCs w:val="28"/>
        </w:rPr>
        <w:fldChar w:fldCharType="separate"/>
      </w:r>
      <w:r>
        <w:rPr>
          <w:rFonts w:hint="default"/>
          <w:lang w:val="en-US" w:eastAsia="zh-CN"/>
        </w:rPr>
        <w:t xml:space="preserve">7  </w:t>
      </w:r>
      <w:r>
        <w:rPr>
          <w:rFonts w:hint="default"/>
        </w:rPr>
        <w:t>钢筋混凝土结构</w:t>
      </w:r>
      <w:r>
        <w:tab/>
      </w:r>
      <w:r>
        <w:fldChar w:fldCharType="begin"/>
      </w:r>
      <w:r>
        <w:instrText xml:space="preserve"> PAGEREF _Toc742 \h </w:instrText>
      </w:r>
      <w:r>
        <w:fldChar w:fldCharType="separate"/>
      </w:r>
      <w:r>
        <w:t>66</w:t>
      </w:r>
      <w:r>
        <w:fldChar w:fldCharType="end"/>
      </w:r>
      <w:r>
        <w:rPr>
          <w:rFonts w:hint="default" w:ascii="Times New Roman" w:hAnsi="Times New Roman" w:cs="Times New Roman" w:eastAsiaTheme="minorEastAsia"/>
          <w:bCs/>
          <w:color w:val="auto"/>
          <w:szCs w:val="28"/>
        </w:rPr>
        <w:fldChar w:fldCharType="end"/>
      </w:r>
    </w:p>
    <w:p w14:paraId="1BE90897">
      <w:pPr>
        <w:pStyle w:val="20"/>
        <w:tabs>
          <w:tab w:val="right" w:leader="dot" w:pos="9864"/>
          <w:tab w:val="clear" w:pos="3261"/>
        </w:tabs>
      </w:pPr>
      <w:r>
        <w:rPr>
          <w:rFonts w:hint="default" w:ascii="Times New Roman" w:hAnsi="Times New Roman" w:cs="Times New Roman" w:eastAsiaTheme="minorEastAsia"/>
          <w:bCs/>
          <w:color w:val="auto"/>
          <w:szCs w:val="28"/>
        </w:rPr>
        <w:fldChar w:fldCharType="begin"/>
      </w:r>
      <w:r>
        <w:rPr>
          <w:rFonts w:hint="default" w:ascii="Times New Roman" w:hAnsi="Times New Roman" w:cs="Times New Roman" w:eastAsiaTheme="minorEastAsia"/>
          <w:bCs/>
          <w:szCs w:val="28"/>
        </w:rPr>
        <w:instrText xml:space="preserve"> HYPERLINK \l _Toc7595 </w:instrText>
      </w:r>
      <w:r>
        <w:rPr>
          <w:rFonts w:hint="default" w:ascii="Times New Roman" w:hAnsi="Times New Roman" w:cs="Times New Roman" w:eastAsiaTheme="minorEastAsia"/>
          <w:bCs/>
          <w:szCs w:val="28"/>
        </w:rPr>
        <w:fldChar w:fldCharType="separate"/>
      </w:r>
      <w:r>
        <w:rPr>
          <w:rFonts w:hint="default"/>
          <w:lang w:val="en-US" w:eastAsia="zh-CN"/>
        </w:rPr>
        <w:t xml:space="preserve">7.1 </w:t>
      </w:r>
      <w:r>
        <w:rPr>
          <w:rFonts w:hint="default"/>
        </w:rPr>
        <w:t>一般规定</w:t>
      </w:r>
      <w:r>
        <w:tab/>
      </w:r>
      <w:r>
        <w:fldChar w:fldCharType="begin"/>
      </w:r>
      <w:r>
        <w:instrText xml:space="preserve"> PAGEREF _Toc7595 \h </w:instrText>
      </w:r>
      <w:r>
        <w:fldChar w:fldCharType="separate"/>
      </w:r>
      <w:r>
        <w:t>66</w:t>
      </w:r>
      <w:r>
        <w:fldChar w:fldCharType="end"/>
      </w:r>
      <w:r>
        <w:rPr>
          <w:rFonts w:hint="default" w:ascii="Times New Roman" w:hAnsi="Times New Roman" w:cs="Times New Roman" w:eastAsiaTheme="minorEastAsia"/>
          <w:bCs/>
          <w:color w:val="auto"/>
          <w:szCs w:val="28"/>
        </w:rPr>
        <w:fldChar w:fldCharType="end"/>
      </w:r>
    </w:p>
    <w:p w14:paraId="028ADC34">
      <w:pPr>
        <w:pStyle w:val="20"/>
        <w:tabs>
          <w:tab w:val="right" w:leader="dot" w:pos="9864"/>
          <w:tab w:val="clear" w:pos="3261"/>
        </w:tabs>
      </w:pPr>
      <w:r>
        <w:rPr>
          <w:rFonts w:hint="default" w:ascii="Times New Roman" w:hAnsi="Times New Roman" w:cs="Times New Roman" w:eastAsiaTheme="minorEastAsia"/>
          <w:bCs/>
          <w:color w:val="auto"/>
          <w:szCs w:val="28"/>
        </w:rPr>
        <w:fldChar w:fldCharType="begin"/>
      </w:r>
      <w:r>
        <w:rPr>
          <w:rFonts w:hint="default" w:ascii="Times New Roman" w:hAnsi="Times New Roman" w:cs="Times New Roman" w:eastAsiaTheme="minorEastAsia"/>
          <w:bCs/>
          <w:szCs w:val="28"/>
        </w:rPr>
        <w:instrText xml:space="preserve"> HYPERLINK \l _Toc29775 </w:instrText>
      </w:r>
      <w:r>
        <w:rPr>
          <w:rFonts w:hint="default" w:ascii="Times New Roman" w:hAnsi="Times New Roman" w:cs="Times New Roman" w:eastAsiaTheme="minorEastAsia"/>
          <w:bCs/>
          <w:szCs w:val="28"/>
        </w:rPr>
        <w:fldChar w:fldCharType="separate"/>
      </w:r>
      <w:r>
        <w:rPr>
          <w:rFonts w:hint="default"/>
          <w:lang w:val="en-US" w:eastAsia="zh-CN"/>
        </w:rPr>
        <w:t>7.2</w:t>
      </w:r>
      <w:r>
        <w:rPr>
          <w:rFonts w:hint="default"/>
        </w:rPr>
        <w:t xml:space="preserve"> 抗震加固</w:t>
      </w:r>
      <w:r>
        <w:rPr>
          <w:rFonts w:hint="default"/>
          <w:lang w:val="en-US" w:eastAsia="zh-CN"/>
        </w:rPr>
        <w:t>方法</w:t>
      </w:r>
      <w:r>
        <w:tab/>
      </w:r>
      <w:r>
        <w:fldChar w:fldCharType="begin"/>
      </w:r>
      <w:r>
        <w:instrText xml:space="preserve"> PAGEREF _Toc29775 \h </w:instrText>
      </w:r>
      <w:r>
        <w:fldChar w:fldCharType="separate"/>
      </w:r>
      <w:r>
        <w:t>68</w:t>
      </w:r>
      <w:r>
        <w:fldChar w:fldCharType="end"/>
      </w:r>
      <w:r>
        <w:rPr>
          <w:rFonts w:hint="default" w:ascii="Times New Roman" w:hAnsi="Times New Roman" w:cs="Times New Roman" w:eastAsiaTheme="minorEastAsia"/>
          <w:bCs/>
          <w:color w:val="auto"/>
          <w:szCs w:val="28"/>
        </w:rPr>
        <w:fldChar w:fldCharType="end"/>
      </w:r>
    </w:p>
    <w:p w14:paraId="0CB0B1FE">
      <w:pPr>
        <w:pStyle w:val="20"/>
        <w:tabs>
          <w:tab w:val="right" w:leader="dot" w:pos="9864"/>
          <w:tab w:val="clear" w:pos="3261"/>
        </w:tabs>
      </w:pPr>
      <w:r>
        <w:rPr>
          <w:rFonts w:hint="default" w:ascii="Times New Roman" w:hAnsi="Times New Roman" w:cs="Times New Roman" w:eastAsiaTheme="minorEastAsia"/>
          <w:bCs/>
          <w:color w:val="auto"/>
          <w:szCs w:val="28"/>
        </w:rPr>
        <w:fldChar w:fldCharType="begin"/>
      </w:r>
      <w:r>
        <w:rPr>
          <w:rFonts w:hint="default" w:ascii="Times New Roman" w:hAnsi="Times New Roman" w:cs="Times New Roman" w:eastAsiaTheme="minorEastAsia"/>
          <w:bCs/>
          <w:szCs w:val="28"/>
        </w:rPr>
        <w:instrText xml:space="preserve"> HYPERLINK \l _Toc24638 </w:instrText>
      </w:r>
      <w:r>
        <w:rPr>
          <w:rFonts w:hint="default" w:ascii="Times New Roman" w:hAnsi="Times New Roman" w:cs="Times New Roman" w:eastAsiaTheme="minorEastAsia"/>
          <w:bCs/>
          <w:szCs w:val="28"/>
        </w:rPr>
        <w:fldChar w:fldCharType="separate"/>
      </w:r>
      <w:r>
        <w:rPr>
          <w:rFonts w:hint="default"/>
          <w:lang w:val="en-US" w:eastAsia="zh-CN"/>
        </w:rPr>
        <w:t>7.3</w:t>
      </w:r>
      <w:r>
        <w:rPr>
          <w:rFonts w:hint="default"/>
        </w:rPr>
        <w:t xml:space="preserve"> </w:t>
      </w:r>
      <w:r>
        <w:rPr>
          <w:rFonts w:hint="default"/>
          <w:lang w:val="en-US" w:eastAsia="zh-CN"/>
        </w:rPr>
        <w:t>抗震</w:t>
      </w:r>
      <w:r>
        <w:rPr>
          <w:rFonts w:hint="default"/>
        </w:rPr>
        <w:t>加固设计及施工</w:t>
      </w:r>
      <w:r>
        <w:tab/>
      </w:r>
      <w:r>
        <w:fldChar w:fldCharType="begin"/>
      </w:r>
      <w:r>
        <w:instrText xml:space="preserve"> PAGEREF _Toc24638 \h </w:instrText>
      </w:r>
      <w:r>
        <w:fldChar w:fldCharType="separate"/>
      </w:r>
      <w:r>
        <w:t>70</w:t>
      </w:r>
      <w:r>
        <w:fldChar w:fldCharType="end"/>
      </w:r>
      <w:r>
        <w:rPr>
          <w:rFonts w:hint="default" w:ascii="Times New Roman" w:hAnsi="Times New Roman" w:cs="Times New Roman" w:eastAsiaTheme="minorEastAsia"/>
          <w:bCs/>
          <w:color w:val="auto"/>
          <w:szCs w:val="28"/>
        </w:rPr>
        <w:fldChar w:fldCharType="end"/>
      </w:r>
    </w:p>
    <w:p w14:paraId="2674EB08">
      <w:pPr>
        <w:pStyle w:val="18"/>
        <w:tabs>
          <w:tab w:val="right" w:leader="dot" w:pos="9864"/>
          <w:tab w:val="clear" w:pos="3261"/>
        </w:tabs>
      </w:pPr>
      <w:r>
        <w:rPr>
          <w:rFonts w:hint="default" w:ascii="Times New Roman" w:hAnsi="Times New Roman" w:cs="Times New Roman" w:eastAsiaTheme="minorEastAsia"/>
          <w:bCs/>
          <w:color w:val="auto"/>
          <w:szCs w:val="28"/>
        </w:rPr>
        <w:fldChar w:fldCharType="begin"/>
      </w:r>
      <w:r>
        <w:rPr>
          <w:rFonts w:hint="default" w:ascii="Times New Roman" w:hAnsi="Times New Roman" w:cs="Times New Roman" w:eastAsiaTheme="minorEastAsia"/>
          <w:bCs/>
          <w:szCs w:val="28"/>
        </w:rPr>
        <w:instrText xml:space="preserve"> HYPERLINK \l _Toc24271 </w:instrText>
      </w:r>
      <w:r>
        <w:rPr>
          <w:rFonts w:hint="default" w:ascii="Times New Roman" w:hAnsi="Times New Roman" w:cs="Times New Roman" w:eastAsiaTheme="minorEastAsia"/>
          <w:bCs/>
          <w:szCs w:val="28"/>
        </w:rPr>
        <w:fldChar w:fldCharType="separate"/>
      </w:r>
      <w:r>
        <w:rPr>
          <w:rFonts w:hint="default"/>
          <w:lang w:val="en-US" w:eastAsia="zh-CN"/>
        </w:rPr>
        <w:t>8</w:t>
      </w:r>
      <w:r>
        <w:rPr>
          <w:rFonts w:hint="default"/>
        </w:rPr>
        <w:t xml:space="preserve"> </w:t>
      </w:r>
      <w:r>
        <w:rPr>
          <w:rFonts w:hint="default"/>
          <w:lang w:val="en-US" w:eastAsia="zh-CN"/>
        </w:rPr>
        <w:t xml:space="preserve"> </w:t>
      </w:r>
      <w:r>
        <w:rPr>
          <w:rFonts w:hint="default"/>
        </w:rPr>
        <w:t>钢结构</w:t>
      </w:r>
      <w:r>
        <w:tab/>
      </w:r>
      <w:r>
        <w:fldChar w:fldCharType="begin"/>
      </w:r>
      <w:r>
        <w:instrText xml:space="preserve"> PAGEREF _Toc24271 \h </w:instrText>
      </w:r>
      <w:r>
        <w:fldChar w:fldCharType="separate"/>
      </w:r>
      <w:r>
        <w:t>83</w:t>
      </w:r>
      <w:r>
        <w:fldChar w:fldCharType="end"/>
      </w:r>
      <w:r>
        <w:rPr>
          <w:rFonts w:hint="default" w:ascii="Times New Roman" w:hAnsi="Times New Roman" w:cs="Times New Roman" w:eastAsiaTheme="minorEastAsia"/>
          <w:bCs/>
          <w:color w:val="auto"/>
          <w:szCs w:val="28"/>
        </w:rPr>
        <w:fldChar w:fldCharType="end"/>
      </w:r>
    </w:p>
    <w:p w14:paraId="6D16502F">
      <w:pPr>
        <w:pStyle w:val="20"/>
        <w:tabs>
          <w:tab w:val="right" w:leader="dot" w:pos="9864"/>
          <w:tab w:val="clear" w:pos="3261"/>
        </w:tabs>
      </w:pPr>
      <w:r>
        <w:rPr>
          <w:rFonts w:hint="default" w:ascii="Times New Roman" w:hAnsi="Times New Roman" w:cs="Times New Roman" w:eastAsiaTheme="minorEastAsia"/>
          <w:bCs/>
          <w:color w:val="auto"/>
          <w:szCs w:val="28"/>
        </w:rPr>
        <w:fldChar w:fldCharType="begin"/>
      </w:r>
      <w:r>
        <w:rPr>
          <w:rFonts w:hint="default" w:ascii="Times New Roman" w:hAnsi="Times New Roman" w:cs="Times New Roman" w:eastAsiaTheme="minorEastAsia"/>
          <w:bCs/>
          <w:szCs w:val="28"/>
        </w:rPr>
        <w:instrText xml:space="preserve"> HYPERLINK \l _Toc9780 </w:instrText>
      </w:r>
      <w:r>
        <w:rPr>
          <w:rFonts w:hint="default" w:ascii="Times New Roman" w:hAnsi="Times New Roman" w:cs="Times New Roman" w:eastAsiaTheme="minorEastAsia"/>
          <w:bCs/>
          <w:szCs w:val="28"/>
        </w:rPr>
        <w:fldChar w:fldCharType="separate"/>
      </w:r>
      <w:r>
        <w:rPr>
          <w:rFonts w:hint="default"/>
          <w:lang w:eastAsia="zh-CN"/>
        </w:rPr>
        <w:t>8.</w:t>
      </w:r>
      <w:r>
        <w:rPr>
          <w:rFonts w:hint="default"/>
        </w:rPr>
        <w:t>1 一般规定</w:t>
      </w:r>
      <w:r>
        <w:tab/>
      </w:r>
      <w:r>
        <w:fldChar w:fldCharType="begin"/>
      </w:r>
      <w:r>
        <w:instrText xml:space="preserve"> PAGEREF _Toc9780 \h </w:instrText>
      </w:r>
      <w:r>
        <w:fldChar w:fldCharType="separate"/>
      </w:r>
      <w:r>
        <w:t>83</w:t>
      </w:r>
      <w:r>
        <w:fldChar w:fldCharType="end"/>
      </w:r>
      <w:r>
        <w:rPr>
          <w:rFonts w:hint="default" w:ascii="Times New Roman" w:hAnsi="Times New Roman" w:cs="Times New Roman" w:eastAsiaTheme="minorEastAsia"/>
          <w:bCs/>
          <w:color w:val="auto"/>
          <w:szCs w:val="28"/>
        </w:rPr>
        <w:fldChar w:fldCharType="end"/>
      </w:r>
    </w:p>
    <w:p w14:paraId="51CF19BB">
      <w:pPr>
        <w:pStyle w:val="20"/>
        <w:tabs>
          <w:tab w:val="right" w:leader="dot" w:pos="9864"/>
          <w:tab w:val="clear" w:pos="3261"/>
        </w:tabs>
      </w:pPr>
      <w:r>
        <w:rPr>
          <w:rFonts w:hint="default" w:ascii="Times New Roman" w:hAnsi="Times New Roman" w:cs="Times New Roman" w:eastAsiaTheme="minorEastAsia"/>
          <w:bCs/>
          <w:color w:val="auto"/>
          <w:szCs w:val="28"/>
        </w:rPr>
        <w:fldChar w:fldCharType="begin"/>
      </w:r>
      <w:r>
        <w:rPr>
          <w:rFonts w:hint="default" w:ascii="Times New Roman" w:hAnsi="Times New Roman" w:cs="Times New Roman" w:eastAsiaTheme="minorEastAsia"/>
          <w:bCs/>
          <w:szCs w:val="28"/>
        </w:rPr>
        <w:instrText xml:space="preserve"> HYPERLINK \l _Toc10279 </w:instrText>
      </w:r>
      <w:r>
        <w:rPr>
          <w:rFonts w:hint="default" w:ascii="Times New Roman" w:hAnsi="Times New Roman" w:cs="Times New Roman" w:eastAsiaTheme="minorEastAsia"/>
          <w:bCs/>
          <w:szCs w:val="28"/>
        </w:rPr>
        <w:fldChar w:fldCharType="separate"/>
      </w:r>
      <w:r>
        <w:rPr>
          <w:rFonts w:hint="default"/>
          <w:lang w:eastAsia="zh-CN"/>
        </w:rPr>
        <w:t>8.2</w:t>
      </w:r>
      <w:r>
        <w:rPr>
          <w:rFonts w:hint="default"/>
        </w:rPr>
        <w:t xml:space="preserve"> </w:t>
      </w:r>
      <w:r>
        <w:rPr>
          <w:rFonts w:hint="default"/>
          <w:lang w:val="en-US" w:eastAsia="zh-CN"/>
        </w:rPr>
        <w:t>抗震</w:t>
      </w:r>
      <w:r>
        <w:rPr>
          <w:rFonts w:hint="default"/>
        </w:rPr>
        <w:t>加固方法</w:t>
      </w:r>
      <w:r>
        <w:tab/>
      </w:r>
      <w:r>
        <w:fldChar w:fldCharType="begin"/>
      </w:r>
      <w:r>
        <w:instrText xml:space="preserve"> PAGEREF _Toc10279 \h </w:instrText>
      </w:r>
      <w:r>
        <w:fldChar w:fldCharType="separate"/>
      </w:r>
      <w:r>
        <w:t>84</w:t>
      </w:r>
      <w:r>
        <w:fldChar w:fldCharType="end"/>
      </w:r>
      <w:r>
        <w:rPr>
          <w:rFonts w:hint="default" w:ascii="Times New Roman" w:hAnsi="Times New Roman" w:cs="Times New Roman" w:eastAsiaTheme="minorEastAsia"/>
          <w:bCs/>
          <w:color w:val="auto"/>
          <w:szCs w:val="28"/>
        </w:rPr>
        <w:fldChar w:fldCharType="end"/>
      </w:r>
    </w:p>
    <w:p w14:paraId="3FF45024">
      <w:pPr>
        <w:pStyle w:val="20"/>
        <w:tabs>
          <w:tab w:val="right" w:leader="dot" w:pos="9864"/>
          <w:tab w:val="clear" w:pos="3261"/>
        </w:tabs>
      </w:pPr>
      <w:r>
        <w:rPr>
          <w:rFonts w:hint="default" w:ascii="Times New Roman" w:hAnsi="Times New Roman" w:cs="Times New Roman" w:eastAsiaTheme="minorEastAsia"/>
          <w:bCs/>
          <w:color w:val="auto"/>
          <w:szCs w:val="28"/>
        </w:rPr>
        <w:fldChar w:fldCharType="begin"/>
      </w:r>
      <w:r>
        <w:rPr>
          <w:rFonts w:hint="default" w:ascii="Times New Roman" w:hAnsi="Times New Roman" w:cs="Times New Roman" w:eastAsiaTheme="minorEastAsia"/>
          <w:bCs/>
          <w:szCs w:val="28"/>
        </w:rPr>
        <w:instrText xml:space="preserve"> HYPERLINK \l _Toc30101 </w:instrText>
      </w:r>
      <w:r>
        <w:rPr>
          <w:rFonts w:hint="default" w:ascii="Times New Roman" w:hAnsi="Times New Roman" w:cs="Times New Roman" w:eastAsiaTheme="minorEastAsia"/>
          <w:bCs/>
          <w:szCs w:val="28"/>
        </w:rPr>
        <w:fldChar w:fldCharType="separate"/>
      </w:r>
      <w:r>
        <w:rPr>
          <w:rFonts w:hint="default"/>
          <w:lang w:eastAsia="zh-CN"/>
        </w:rPr>
        <w:t>8.3</w:t>
      </w:r>
      <w:r>
        <w:rPr>
          <w:rFonts w:hint="default"/>
        </w:rPr>
        <w:t xml:space="preserve"> </w:t>
      </w:r>
      <w:r>
        <w:rPr>
          <w:rFonts w:hint="default"/>
          <w:lang w:val="en-US" w:eastAsia="zh-CN"/>
        </w:rPr>
        <w:t>抗震</w:t>
      </w:r>
      <w:r>
        <w:rPr>
          <w:rFonts w:hint="default"/>
        </w:rPr>
        <w:t>加固设计及施工</w:t>
      </w:r>
      <w:r>
        <w:tab/>
      </w:r>
      <w:r>
        <w:fldChar w:fldCharType="begin"/>
      </w:r>
      <w:r>
        <w:instrText xml:space="preserve"> PAGEREF _Toc30101 \h </w:instrText>
      </w:r>
      <w:r>
        <w:fldChar w:fldCharType="separate"/>
      </w:r>
      <w:r>
        <w:t>85</w:t>
      </w:r>
      <w:r>
        <w:fldChar w:fldCharType="end"/>
      </w:r>
      <w:r>
        <w:rPr>
          <w:rFonts w:hint="default" w:ascii="Times New Roman" w:hAnsi="Times New Roman" w:cs="Times New Roman" w:eastAsiaTheme="minorEastAsia"/>
          <w:bCs/>
          <w:color w:val="auto"/>
          <w:szCs w:val="28"/>
        </w:rPr>
        <w:fldChar w:fldCharType="end"/>
      </w:r>
    </w:p>
    <w:p w14:paraId="20D8056F">
      <w:pPr>
        <w:pStyle w:val="20"/>
        <w:tabs>
          <w:tab w:val="right" w:leader="dot" w:pos="9864"/>
          <w:tab w:val="clear" w:pos="3261"/>
        </w:tabs>
      </w:pPr>
      <w:r>
        <w:rPr>
          <w:rFonts w:hint="default" w:ascii="Times New Roman" w:hAnsi="Times New Roman" w:cs="Times New Roman" w:eastAsiaTheme="minorEastAsia"/>
          <w:bCs/>
          <w:color w:val="auto"/>
          <w:szCs w:val="28"/>
        </w:rPr>
        <w:fldChar w:fldCharType="begin"/>
      </w:r>
      <w:r>
        <w:rPr>
          <w:rFonts w:hint="default" w:ascii="Times New Roman" w:hAnsi="Times New Roman" w:cs="Times New Roman" w:eastAsiaTheme="minorEastAsia"/>
          <w:bCs/>
          <w:szCs w:val="28"/>
        </w:rPr>
        <w:instrText xml:space="preserve"> HYPERLINK \l _Toc16487 </w:instrText>
      </w:r>
      <w:r>
        <w:rPr>
          <w:rFonts w:hint="default" w:ascii="Times New Roman" w:hAnsi="Times New Roman" w:cs="Times New Roman" w:eastAsiaTheme="minorEastAsia"/>
          <w:bCs/>
          <w:szCs w:val="28"/>
        </w:rPr>
        <w:fldChar w:fldCharType="separate"/>
      </w:r>
      <w:r>
        <w:rPr>
          <w:rFonts w:hint="default"/>
          <w:lang w:eastAsia="zh-CN"/>
        </w:rPr>
        <w:t>8.4</w:t>
      </w:r>
      <w:r>
        <w:rPr>
          <w:rFonts w:hint="default"/>
        </w:rPr>
        <w:t xml:space="preserve"> 连接与节点的加固</w:t>
      </w:r>
      <w:r>
        <w:tab/>
      </w:r>
      <w:r>
        <w:fldChar w:fldCharType="begin"/>
      </w:r>
      <w:r>
        <w:instrText xml:space="preserve"> PAGEREF _Toc16487 \h </w:instrText>
      </w:r>
      <w:r>
        <w:fldChar w:fldCharType="separate"/>
      </w:r>
      <w:r>
        <w:t>93</w:t>
      </w:r>
      <w:r>
        <w:fldChar w:fldCharType="end"/>
      </w:r>
      <w:r>
        <w:rPr>
          <w:rFonts w:hint="default" w:ascii="Times New Roman" w:hAnsi="Times New Roman" w:cs="Times New Roman" w:eastAsiaTheme="minorEastAsia"/>
          <w:bCs/>
          <w:color w:val="auto"/>
          <w:szCs w:val="28"/>
        </w:rPr>
        <w:fldChar w:fldCharType="end"/>
      </w:r>
    </w:p>
    <w:p w14:paraId="45D04420">
      <w:pPr>
        <w:pStyle w:val="18"/>
        <w:tabs>
          <w:tab w:val="right" w:leader="dot" w:pos="9864"/>
          <w:tab w:val="clear" w:pos="3261"/>
        </w:tabs>
      </w:pPr>
      <w:r>
        <w:rPr>
          <w:rFonts w:hint="default" w:ascii="Times New Roman" w:hAnsi="Times New Roman" w:cs="Times New Roman" w:eastAsiaTheme="minorEastAsia"/>
          <w:bCs/>
          <w:color w:val="auto"/>
          <w:szCs w:val="28"/>
        </w:rPr>
        <w:fldChar w:fldCharType="begin"/>
      </w:r>
      <w:r>
        <w:rPr>
          <w:rFonts w:hint="default" w:ascii="Times New Roman" w:hAnsi="Times New Roman" w:cs="Times New Roman" w:eastAsiaTheme="minorEastAsia"/>
          <w:bCs/>
          <w:szCs w:val="28"/>
        </w:rPr>
        <w:instrText xml:space="preserve"> HYPERLINK \l _Toc32715 </w:instrText>
      </w:r>
      <w:r>
        <w:rPr>
          <w:rFonts w:hint="default" w:ascii="Times New Roman" w:hAnsi="Times New Roman" w:cs="Times New Roman" w:eastAsiaTheme="minorEastAsia"/>
          <w:bCs/>
          <w:szCs w:val="28"/>
        </w:rPr>
        <w:fldChar w:fldCharType="separate"/>
      </w:r>
      <w:r>
        <w:rPr>
          <w:rFonts w:hint="default"/>
        </w:rPr>
        <w:t xml:space="preserve">9 </w:t>
      </w:r>
      <w:r>
        <w:rPr>
          <w:rFonts w:hint="default"/>
          <w:lang w:val="en-US" w:eastAsia="zh-CN"/>
        </w:rPr>
        <w:t xml:space="preserve"> </w:t>
      </w:r>
      <w:r>
        <w:rPr>
          <w:rFonts w:hint="default"/>
        </w:rPr>
        <w:t>抗震性能化加固设计</w:t>
      </w:r>
      <w:r>
        <w:tab/>
      </w:r>
      <w:r>
        <w:fldChar w:fldCharType="begin"/>
      </w:r>
      <w:r>
        <w:instrText xml:space="preserve"> PAGEREF _Toc32715 \h </w:instrText>
      </w:r>
      <w:r>
        <w:fldChar w:fldCharType="separate"/>
      </w:r>
      <w:r>
        <w:t>95</w:t>
      </w:r>
      <w:r>
        <w:fldChar w:fldCharType="end"/>
      </w:r>
      <w:r>
        <w:rPr>
          <w:rFonts w:hint="default" w:ascii="Times New Roman" w:hAnsi="Times New Roman" w:cs="Times New Roman" w:eastAsiaTheme="minorEastAsia"/>
          <w:bCs/>
          <w:color w:val="auto"/>
          <w:szCs w:val="28"/>
        </w:rPr>
        <w:fldChar w:fldCharType="end"/>
      </w:r>
    </w:p>
    <w:p w14:paraId="114FB57F">
      <w:pPr>
        <w:pStyle w:val="20"/>
        <w:tabs>
          <w:tab w:val="right" w:leader="dot" w:pos="9864"/>
          <w:tab w:val="clear" w:pos="3261"/>
        </w:tabs>
      </w:pPr>
      <w:r>
        <w:rPr>
          <w:rFonts w:hint="default" w:ascii="Times New Roman" w:hAnsi="Times New Roman" w:cs="Times New Roman" w:eastAsiaTheme="minorEastAsia"/>
          <w:bCs/>
          <w:color w:val="auto"/>
          <w:szCs w:val="28"/>
        </w:rPr>
        <w:fldChar w:fldCharType="begin"/>
      </w:r>
      <w:r>
        <w:rPr>
          <w:rFonts w:hint="default" w:ascii="Times New Roman" w:hAnsi="Times New Roman" w:cs="Times New Roman" w:eastAsiaTheme="minorEastAsia"/>
          <w:bCs/>
          <w:szCs w:val="28"/>
        </w:rPr>
        <w:instrText xml:space="preserve"> HYPERLINK \l _Toc30336 </w:instrText>
      </w:r>
      <w:r>
        <w:rPr>
          <w:rFonts w:hint="default" w:ascii="Times New Roman" w:hAnsi="Times New Roman" w:cs="Times New Roman" w:eastAsiaTheme="minorEastAsia"/>
          <w:bCs/>
          <w:szCs w:val="28"/>
        </w:rPr>
        <w:fldChar w:fldCharType="separate"/>
      </w:r>
      <w:r>
        <w:rPr>
          <w:rFonts w:hint="default"/>
        </w:rPr>
        <w:t>9.1 基本规定</w:t>
      </w:r>
      <w:r>
        <w:tab/>
      </w:r>
      <w:r>
        <w:fldChar w:fldCharType="begin"/>
      </w:r>
      <w:r>
        <w:instrText xml:space="preserve"> PAGEREF _Toc30336 \h </w:instrText>
      </w:r>
      <w:r>
        <w:fldChar w:fldCharType="separate"/>
      </w:r>
      <w:r>
        <w:t>95</w:t>
      </w:r>
      <w:r>
        <w:fldChar w:fldCharType="end"/>
      </w:r>
      <w:r>
        <w:rPr>
          <w:rFonts w:hint="default" w:ascii="Times New Roman" w:hAnsi="Times New Roman" w:cs="Times New Roman" w:eastAsiaTheme="minorEastAsia"/>
          <w:bCs/>
          <w:color w:val="auto"/>
          <w:szCs w:val="28"/>
        </w:rPr>
        <w:fldChar w:fldCharType="end"/>
      </w:r>
    </w:p>
    <w:p w14:paraId="373C35BB">
      <w:pPr>
        <w:pStyle w:val="20"/>
        <w:tabs>
          <w:tab w:val="right" w:leader="dot" w:pos="9864"/>
          <w:tab w:val="clear" w:pos="3261"/>
        </w:tabs>
      </w:pPr>
      <w:r>
        <w:rPr>
          <w:rFonts w:hint="default" w:ascii="Times New Roman" w:hAnsi="Times New Roman" w:cs="Times New Roman" w:eastAsiaTheme="minorEastAsia"/>
          <w:bCs/>
          <w:color w:val="auto"/>
          <w:szCs w:val="28"/>
        </w:rPr>
        <w:fldChar w:fldCharType="begin"/>
      </w:r>
      <w:r>
        <w:rPr>
          <w:rFonts w:hint="default" w:ascii="Times New Roman" w:hAnsi="Times New Roman" w:cs="Times New Roman" w:eastAsiaTheme="minorEastAsia"/>
          <w:bCs/>
          <w:szCs w:val="28"/>
        </w:rPr>
        <w:instrText xml:space="preserve"> HYPERLINK \l _Toc30319 </w:instrText>
      </w:r>
      <w:r>
        <w:rPr>
          <w:rFonts w:hint="default" w:ascii="Times New Roman" w:hAnsi="Times New Roman" w:cs="Times New Roman" w:eastAsiaTheme="minorEastAsia"/>
          <w:bCs/>
          <w:szCs w:val="28"/>
        </w:rPr>
        <w:fldChar w:fldCharType="separate"/>
      </w:r>
      <w:r>
        <w:rPr>
          <w:rFonts w:hint="default"/>
        </w:rPr>
        <w:t>9.2 性能目标和性能设计指标</w:t>
      </w:r>
      <w:r>
        <w:tab/>
      </w:r>
      <w:r>
        <w:fldChar w:fldCharType="begin"/>
      </w:r>
      <w:r>
        <w:instrText xml:space="preserve"> PAGEREF _Toc30319 \h </w:instrText>
      </w:r>
      <w:r>
        <w:fldChar w:fldCharType="separate"/>
      </w:r>
      <w:r>
        <w:t>97</w:t>
      </w:r>
      <w:r>
        <w:fldChar w:fldCharType="end"/>
      </w:r>
      <w:r>
        <w:rPr>
          <w:rFonts w:hint="default" w:ascii="Times New Roman" w:hAnsi="Times New Roman" w:cs="Times New Roman" w:eastAsiaTheme="minorEastAsia"/>
          <w:bCs/>
          <w:color w:val="auto"/>
          <w:szCs w:val="28"/>
        </w:rPr>
        <w:fldChar w:fldCharType="end"/>
      </w:r>
    </w:p>
    <w:p w14:paraId="2462F9BC">
      <w:pPr>
        <w:pStyle w:val="20"/>
        <w:tabs>
          <w:tab w:val="right" w:leader="dot" w:pos="9864"/>
          <w:tab w:val="clear" w:pos="3261"/>
        </w:tabs>
      </w:pPr>
      <w:r>
        <w:rPr>
          <w:rFonts w:hint="default" w:ascii="Times New Roman" w:hAnsi="Times New Roman" w:cs="Times New Roman" w:eastAsiaTheme="minorEastAsia"/>
          <w:bCs/>
          <w:color w:val="auto"/>
          <w:szCs w:val="28"/>
        </w:rPr>
        <w:fldChar w:fldCharType="begin"/>
      </w:r>
      <w:r>
        <w:rPr>
          <w:rFonts w:hint="default" w:ascii="Times New Roman" w:hAnsi="Times New Roman" w:cs="Times New Roman" w:eastAsiaTheme="minorEastAsia"/>
          <w:bCs/>
          <w:szCs w:val="28"/>
        </w:rPr>
        <w:instrText xml:space="preserve"> HYPERLINK \l _Toc619 </w:instrText>
      </w:r>
      <w:r>
        <w:rPr>
          <w:rFonts w:hint="default" w:ascii="Times New Roman" w:hAnsi="Times New Roman" w:cs="Times New Roman" w:eastAsiaTheme="minorEastAsia"/>
          <w:bCs/>
          <w:szCs w:val="28"/>
        </w:rPr>
        <w:fldChar w:fldCharType="separate"/>
      </w:r>
      <w:r>
        <w:rPr>
          <w:rFonts w:hint="default"/>
        </w:rPr>
        <w:t>9.3 计算分析</w:t>
      </w:r>
      <w:r>
        <w:tab/>
      </w:r>
      <w:r>
        <w:fldChar w:fldCharType="begin"/>
      </w:r>
      <w:r>
        <w:instrText xml:space="preserve"> PAGEREF _Toc619 \h </w:instrText>
      </w:r>
      <w:r>
        <w:fldChar w:fldCharType="separate"/>
      </w:r>
      <w:r>
        <w:t>101</w:t>
      </w:r>
      <w:r>
        <w:fldChar w:fldCharType="end"/>
      </w:r>
      <w:r>
        <w:rPr>
          <w:rFonts w:hint="default" w:ascii="Times New Roman" w:hAnsi="Times New Roman" w:cs="Times New Roman" w:eastAsiaTheme="minorEastAsia"/>
          <w:bCs/>
          <w:color w:val="auto"/>
          <w:szCs w:val="28"/>
        </w:rPr>
        <w:fldChar w:fldCharType="end"/>
      </w:r>
    </w:p>
    <w:p w14:paraId="4399BCDC">
      <w:pPr>
        <w:pStyle w:val="20"/>
        <w:tabs>
          <w:tab w:val="right" w:leader="dot" w:pos="9864"/>
          <w:tab w:val="clear" w:pos="3261"/>
        </w:tabs>
      </w:pPr>
      <w:r>
        <w:rPr>
          <w:rFonts w:hint="default" w:ascii="Times New Roman" w:hAnsi="Times New Roman" w:cs="Times New Roman" w:eastAsiaTheme="minorEastAsia"/>
          <w:bCs/>
          <w:color w:val="auto"/>
          <w:szCs w:val="28"/>
        </w:rPr>
        <w:fldChar w:fldCharType="begin"/>
      </w:r>
      <w:r>
        <w:rPr>
          <w:rFonts w:hint="default" w:ascii="Times New Roman" w:hAnsi="Times New Roman" w:cs="Times New Roman" w:eastAsiaTheme="minorEastAsia"/>
          <w:bCs/>
          <w:szCs w:val="28"/>
        </w:rPr>
        <w:instrText xml:space="preserve"> HYPERLINK \l _Toc21327 </w:instrText>
      </w:r>
      <w:r>
        <w:rPr>
          <w:rFonts w:hint="default" w:ascii="Times New Roman" w:hAnsi="Times New Roman" w:cs="Times New Roman" w:eastAsiaTheme="minorEastAsia"/>
          <w:bCs/>
          <w:szCs w:val="28"/>
        </w:rPr>
        <w:fldChar w:fldCharType="separate"/>
      </w:r>
      <w:r>
        <w:rPr>
          <w:rFonts w:hint="default"/>
        </w:rPr>
        <w:t>9.4 抗震性能评价</w:t>
      </w:r>
      <w:r>
        <w:tab/>
      </w:r>
      <w:r>
        <w:fldChar w:fldCharType="begin"/>
      </w:r>
      <w:r>
        <w:instrText xml:space="preserve"> PAGEREF _Toc21327 \h </w:instrText>
      </w:r>
      <w:r>
        <w:fldChar w:fldCharType="separate"/>
      </w:r>
      <w:r>
        <w:t>102</w:t>
      </w:r>
      <w:r>
        <w:fldChar w:fldCharType="end"/>
      </w:r>
      <w:r>
        <w:rPr>
          <w:rFonts w:hint="default" w:ascii="Times New Roman" w:hAnsi="Times New Roman" w:cs="Times New Roman" w:eastAsiaTheme="minorEastAsia"/>
          <w:bCs/>
          <w:color w:val="auto"/>
          <w:szCs w:val="28"/>
        </w:rPr>
        <w:fldChar w:fldCharType="end"/>
      </w:r>
    </w:p>
    <w:p w14:paraId="384FBEA0">
      <w:pPr>
        <w:rPr>
          <w:rFonts w:hint="default" w:ascii="Times New Roman" w:hAnsi="Times New Roman" w:cs="Times New Roman" w:eastAsiaTheme="minorEastAsia"/>
          <w:b/>
          <w:bCs/>
          <w:color w:val="auto"/>
          <w:sz w:val="28"/>
          <w:szCs w:val="28"/>
        </w:rPr>
        <w:sectPr>
          <w:headerReference r:id="rId7" w:type="first"/>
          <w:footerReference r:id="rId9" w:type="first"/>
          <w:headerReference r:id="rId5" w:type="default"/>
          <w:headerReference r:id="rId6" w:type="even"/>
          <w:footerReference r:id="rId8" w:type="even"/>
          <w:pgSz w:w="11906" w:h="16838"/>
          <w:pgMar w:top="1247" w:right="1021" w:bottom="907" w:left="1021" w:header="850" w:footer="907" w:gutter="0"/>
          <w:cols w:space="720" w:num="1"/>
          <w:docGrid w:linePitch="286" w:charSpace="0"/>
        </w:sectPr>
      </w:pPr>
      <w:r>
        <w:rPr>
          <w:rFonts w:hint="default" w:ascii="Times New Roman" w:hAnsi="Times New Roman" w:cs="Times New Roman" w:eastAsiaTheme="minorEastAsia"/>
          <w:bCs/>
          <w:color w:val="auto"/>
          <w:szCs w:val="28"/>
        </w:rPr>
        <w:fldChar w:fldCharType="end"/>
      </w:r>
    </w:p>
    <w:bookmarkEnd w:id="1"/>
    <w:p w14:paraId="6410AFFF">
      <w:pPr>
        <w:pStyle w:val="2"/>
        <w:bidi w:val="0"/>
        <w:rPr>
          <w:rFonts w:hint="default"/>
        </w:rPr>
      </w:pPr>
      <w:bookmarkStart w:id="2" w:name="_Toc11709"/>
      <w:bookmarkStart w:id="3" w:name="_Toc30353"/>
      <w:r>
        <w:rPr>
          <w:rFonts w:hint="default"/>
        </w:rPr>
        <w:t xml:space="preserve">1 </w:t>
      </w:r>
      <w:r>
        <w:rPr>
          <w:rFonts w:hint="default"/>
          <w:lang w:val="en-US" w:eastAsia="zh-CN"/>
        </w:rPr>
        <w:t xml:space="preserve"> </w:t>
      </w:r>
      <w:r>
        <w:rPr>
          <w:rFonts w:hint="default"/>
        </w:rPr>
        <w:t>总  则</w:t>
      </w:r>
      <w:bookmarkEnd w:id="2"/>
      <w:bookmarkEnd w:id="3"/>
    </w:p>
    <w:p w14:paraId="3A35EF8B">
      <w:pPr>
        <w:adjustRightInd w:val="0"/>
        <w:snapToGrid w:val="0"/>
        <w:spacing w:line="360" w:lineRule="exact"/>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1.0.1</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color w:val="auto"/>
          <w:sz w:val="24"/>
          <w:szCs w:val="24"/>
        </w:rPr>
        <w:t>为贯彻执行国家有关防震减灾的法律法规，减轻地震破坏，减少损失，对既有建筑的抗震能力进行鉴定</w:t>
      </w:r>
      <w:r>
        <w:rPr>
          <w:rFonts w:hint="default" w:ascii="Times New Roman" w:hAnsi="Times New Roman" w:eastAsia="宋体" w:cs="Times New Roman"/>
          <w:color w:val="auto"/>
          <w:sz w:val="24"/>
          <w:szCs w:val="24"/>
          <w:lang w:val="en-US" w:eastAsia="zh-CN"/>
        </w:rPr>
        <w:t>和</w:t>
      </w:r>
      <w:r>
        <w:rPr>
          <w:rFonts w:hint="default" w:ascii="Times New Roman" w:hAnsi="Times New Roman" w:eastAsia="宋体" w:cs="Times New Roman"/>
          <w:color w:val="auto"/>
          <w:sz w:val="24"/>
          <w:szCs w:val="24"/>
        </w:rPr>
        <w:t>加固，做到安全、经济、科学、合理，制定本规程。</w:t>
      </w:r>
    </w:p>
    <w:p w14:paraId="16475C45">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eastAsia" w:ascii="仿宋" w:hAnsi="仿宋" w:eastAsia="仿宋" w:cs="仿宋"/>
          <w:color w:val="0070C0"/>
          <w:sz w:val="24"/>
          <w:szCs w:val="24"/>
        </w:rPr>
      </w:pPr>
      <w:r>
        <w:rPr>
          <w:rFonts w:hint="eastAsia" w:ascii="仿宋" w:hAnsi="仿宋" w:eastAsia="仿宋" w:cs="仿宋"/>
          <w:b w:val="0"/>
          <w:bCs w:val="0"/>
          <w:color w:val="0070C0"/>
          <w:spacing w:val="0"/>
          <w:sz w:val="24"/>
          <w:szCs w:val="24"/>
          <w:lang w:val="en-US" w:eastAsia="zh-CN"/>
        </w:rPr>
        <w:t>条文说明：</w:t>
      </w:r>
      <w:r>
        <w:rPr>
          <w:rFonts w:hint="eastAsia" w:ascii="仿宋" w:hAnsi="仿宋" w:eastAsia="仿宋" w:cs="仿宋"/>
          <w:b w:val="0"/>
          <w:bCs w:val="0"/>
          <w:color w:val="0070C0"/>
          <w:spacing w:val="0"/>
          <w:sz w:val="24"/>
          <w:szCs w:val="24"/>
        </w:rPr>
        <w:t>符合</w:t>
      </w:r>
      <w:r>
        <w:rPr>
          <w:rFonts w:hint="eastAsia" w:ascii="仿宋" w:hAnsi="仿宋" w:eastAsia="仿宋" w:cs="仿宋"/>
          <w:b w:val="0"/>
          <w:bCs w:val="0"/>
          <w:color w:val="0070C0"/>
          <w:spacing w:val="0"/>
          <w:sz w:val="24"/>
          <w:szCs w:val="24"/>
          <w:lang w:eastAsia="zh-CN"/>
        </w:rPr>
        <w:t>本规程</w:t>
      </w:r>
      <w:r>
        <w:rPr>
          <w:rFonts w:hint="eastAsia" w:ascii="仿宋" w:hAnsi="仿宋" w:eastAsia="仿宋" w:cs="仿宋"/>
          <w:b w:val="0"/>
          <w:bCs w:val="0"/>
          <w:color w:val="0070C0"/>
          <w:spacing w:val="0"/>
          <w:sz w:val="24"/>
          <w:szCs w:val="24"/>
        </w:rPr>
        <w:t>要求的</w:t>
      </w:r>
      <w:r>
        <w:rPr>
          <w:rFonts w:hint="eastAsia" w:ascii="仿宋" w:hAnsi="仿宋" w:eastAsia="仿宋" w:cs="仿宋"/>
          <w:b w:val="0"/>
          <w:bCs w:val="0"/>
          <w:color w:val="0070C0"/>
          <w:spacing w:val="0"/>
          <w:sz w:val="24"/>
          <w:szCs w:val="24"/>
          <w:lang w:val="en-US" w:eastAsia="zh-CN"/>
        </w:rPr>
        <w:t>既有</w:t>
      </w:r>
      <w:r>
        <w:rPr>
          <w:rFonts w:hint="eastAsia" w:ascii="仿宋" w:hAnsi="仿宋" w:eastAsia="仿宋" w:cs="仿宋"/>
          <w:b w:val="0"/>
          <w:bCs w:val="0"/>
          <w:color w:val="0070C0"/>
          <w:spacing w:val="0"/>
          <w:sz w:val="24"/>
          <w:szCs w:val="24"/>
        </w:rPr>
        <w:t>建筑，在预期的后续工作年限内具有相应的抗震设防目标：后续工作年限50年的</w:t>
      </w:r>
      <w:r>
        <w:rPr>
          <w:rFonts w:hint="eastAsia" w:ascii="仿宋" w:hAnsi="仿宋" w:eastAsia="仿宋" w:cs="仿宋"/>
          <w:b w:val="0"/>
          <w:bCs w:val="0"/>
          <w:color w:val="0070C0"/>
          <w:spacing w:val="0"/>
          <w:sz w:val="24"/>
          <w:szCs w:val="24"/>
          <w:lang w:val="en-US" w:eastAsia="zh-CN"/>
        </w:rPr>
        <w:t>既有</w:t>
      </w:r>
      <w:r>
        <w:rPr>
          <w:rFonts w:hint="eastAsia" w:ascii="仿宋" w:hAnsi="仿宋" w:eastAsia="仿宋" w:cs="仿宋"/>
          <w:b w:val="0"/>
          <w:bCs w:val="0"/>
          <w:color w:val="0070C0"/>
          <w:spacing w:val="0"/>
          <w:sz w:val="24"/>
          <w:szCs w:val="24"/>
        </w:rPr>
        <w:t>建筑，具有与现行国家标准《建筑抗震设计</w:t>
      </w:r>
      <w:r>
        <w:rPr>
          <w:rFonts w:hint="eastAsia" w:ascii="仿宋" w:hAnsi="仿宋" w:eastAsia="仿宋" w:cs="仿宋"/>
          <w:b w:val="0"/>
          <w:bCs w:val="0"/>
          <w:color w:val="0070C0"/>
          <w:spacing w:val="0"/>
          <w:sz w:val="24"/>
          <w:szCs w:val="24"/>
          <w:lang w:val="en-US" w:eastAsia="zh-CN"/>
        </w:rPr>
        <w:t>标准</w:t>
      </w:r>
      <w:r>
        <w:rPr>
          <w:rFonts w:hint="eastAsia" w:ascii="仿宋" w:hAnsi="仿宋" w:eastAsia="仿宋" w:cs="仿宋"/>
          <w:b w:val="0"/>
          <w:bCs w:val="0"/>
          <w:color w:val="0070C0"/>
          <w:spacing w:val="0"/>
          <w:sz w:val="24"/>
          <w:szCs w:val="24"/>
        </w:rPr>
        <w:t>》GB</w:t>
      </w:r>
      <w:r>
        <w:rPr>
          <w:rFonts w:hint="eastAsia" w:ascii="仿宋" w:hAnsi="仿宋" w:eastAsia="仿宋" w:cs="仿宋"/>
          <w:b w:val="0"/>
          <w:bCs w:val="0"/>
          <w:color w:val="0070C0"/>
          <w:spacing w:val="0"/>
          <w:sz w:val="24"/>
          <w:szCs w:val="24"/>
          <w:lang w:val="en-US" w:eastAsia="zh-CN"/>
        </w:rPr>
        <w:t>/T</w:t>
      </w:r>
      <w:r>
        <w:rPr>
          <w:rFonts w:hint="eastAsia" w:ascii="仿宋" w:hAnsi="仿宋" w:eastAsia="仿宋" w:cs="仿宋"/>
          <w:b w:val="0"/>
          <w:bCs w:val="0"/>
          <w:color w:val="0070C0"/>
          <w:spacing w:val="0"/>
          <w:sz w:val="24"/>
          <w:szCs w:val="24"/>
        </w:rPr>
        <w:t xml:space="preserve"> 50011相同的设防目标；后续工作年限少于50年的</w:t>
      </w:r>
      <w:r>
        <w:rPr>
          <w:rFonts w:hint="eastAsia" w:ascii="仿宋" w:hAnsi="仿宋" w:eastAsia="仿宋" w:cs="仿宋"/>
          <w:b w:val="0"/>
          <w:bCs w:val="0"/>
          <w:color w:val="0070C0"/>
          <w:spacing w:val="0"/>
          <w:sz w:val="24"/>
          <w:szCs w:val="24"/>
          <w:lang w:val="en-US" w:eastAsia="zh-CN"/>
        </w:rPr>
        <w:t>既有</w:t>
      </w:r>
      <w:r>
        <w:rPr>
          <w:rFonts w:hint="eastAsia" w:ascii="仿宋" w:hAnsi="仿宋" w:eastAsia="仿宋" w:cs="仿宋"/>
          <w:b w:val="0"/>
          <w:bCs w:val="0"/>
          <w:color w:val="0070C0"/>
          <w:spacing w:val="0"/>
          <w:sz w:val="24"/>
          <w:szCs w:val="24"/>
        </w:rPr>
        <w:t>建筑，在遭遇同样的地震影响时，其损坏程度略大于按后续工作年限50年鉴定的建筑</w:t>
      </w:r>
      <w:r>
        <w:rPr>
          <w:rFonts w:hint="eastAsia" w:ascii="仿宋" w:hAnsi="仿宋" w:eastAsia="仿宋" w:cs="仿宋"/>
          <w:b w:val="0"/>
          <w:bCs w:val="0"/>
          <w:color w:val="0070C0"/>
          <w:spacing w:val="0"/>
          <w:sz w:val="24"/>
          <w:szCs w:val="24"/>
          <w:lang w:eastAsia="zh-CN"/>
        </w:rPr>
        <w:t>，</w:t>
      </w:r>
      <w:r>
        <w:rPr>
          <w:rFonts w:hint="eastAsia" w:ascii="仿宋" w:hAnsi="仿宋" w:eastAsia="仿宋" w:cs="仿宋"/>
          <w:b w:val="0"/>
          <w:bCs w:val="0"/>
          <w:color w:val="0070C0"/>
          <w:spacing w:val="0"/>
          <w:sz w:val="24"/>
          <w:szCs w:val="24"/>
          <w:lang w:val="en-US" w:eastAsia="zh-CN"/>
        </w:rPr>
        <w:t>但应满足“大震不倒”的设防目标</w:t>
      </w:r>
      <w:r>
        <w:rPr>
          <w:rFonts w:hint="eastAsia" w:ascii="仿宋" w:hAnsi="仿宋" w:eastAsia="仿宋" w:cs="仿宋"/>
          <w:b w:val="0"/>
          <w:bCs w:val="0"/>
          <w:color w:val="0070C0"/>
          <w:spacing w:val="0"/>
          <w:sz w:val="24"/>
          <w:szCs w:val="24"/>
        </w:rPr>
        <w:t>。</w:t>
      </w:r>
    </w:p>
    <w:p w14:paraId="26C3488D">
      <w:pPr>
        <w:spacing w:line="360" w:lineRule="exac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rPr>
        <w:t>1.0.2</w:t>
      </w:r>
      <w:r>
        <w:rPr>
          <w:rFonts w:hint="default" w:ascii="Times New Roman" w:hAnsi="Times New Roman" w:eastAsia="宋体" w:cs="Times New Roman"/>
          <w:color w:val="auto"/>
          <w:sz w:val="24"/>
          <w:szCs w:val="24"/>
        </w:rPr>
        <w:t xml:space="preserve"> 本规程适用于</w:t>
      </w:r>
      <w:r>
        <w:rPr>
          <w:rFonts w:hint="default" w:ascii="Times New Roman" w:hAnsi="Times New Roman" w:eastAsia="宋体" w:cs="Times New Roman"/>
          <w:color w:val="auto"/>
          <w:sz w:val="24"/>
          <w:szCs w:val="24"/>
          <w:lang w:val="en-US" w:eastAsia="zh-CN"/>
        </w:rPr>
        <w:t>我</w:t>
      </w:r>
      <w:r>
        <w:rPr>
          <w:rFonts w:hint="default" w:ascii="Times New Roman" w:hAnsi="Times New Roman" w:eastAsia="宋体" w:cs="Times New Roman"/>
          <w:color w:val="auto"/>
          <w:sz w:val="24"/>
          <w:szCs w:val="24"/>
        </w:rPr>
        <w:t>省既有建筑的抗震鉴定、加固设计及施工</w:t>
      </w:r>
      <w:r>
        <w:rPr>
          <w:rFonts w:hint="default" w:ascii="Times New Roman" w:hAnsi="Times New Roman" w:eastAsia="宋体" w:cs="Times New Roman"/>
          <w:color w:val="auto"/>
          <w:sz w:val="24"/>
          <w:szCs w:val="24"/>
          <w:lang w:val="en-US" w:eastAsia="zh-CN"/>
        </w:rPr>
        <w:t>。</w:t>
      </w:r>
    </w:p>
    <w:p w14:paraId="766C75A6">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strike/>
          <w:dstrike w:val="0"/>
          <w:color w:val="FF000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尚未竣工验收的在建建筑的抗震设计变更、加固和施工质量评定，以及地震灾后建筑抗震安全的应急评估不在本规程适用范围之内。古建筑和行业有特殊要求的建筑，应按专门的规定进行抗震鉴定、加固设计及施工。</w:t>
      </w:r>
    </w:p>
    <w:p w14:paraId="2996607B">
      <w:pPr>
        <w:spacing w:line="360" w:lineRule="exact"/>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1.0.</w:t>
      </w:r>
      <w:r>
        <w:rPr>
          <w:rFonts w:hint="eastAsia"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color w:val="auto"/>
          <w:sz w:val="24"/>
          <w:szCs w:val="24"/>
        </w:rPr>
        <w:t>既有建筑的抗震鉴定与加固，除应满足本规程的要求外，尚应符合国家现行有关标准、规范的规定。对于创新性的技术方法和措施，应进行论证并符合国家标准中相关性能的要求。</w:t>
      </w:r>
    </w:p>
    <w:p w14:paraId="27214352">
      <w:pPr>
        <w:spacing w:line="276" w:lineRule="auto"/>
        <w:rPr>
          <w:rFonts w:hint="default" w:ascii="Times New Roman" w:hAnsi="Times New Roman" w:eastAsia="宋体" w:cs="Times New Roman"/>
          <w:color w:val="auto"/>
          <w:sz w:val="24"/>
          <w:szCs w:val="24"/>
        </w:rPr>
      </w:pPr>
    </w:p>
    <w:p w14:paraId="76CE311D">
      <w:pPr>
        <w:widowControl/>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br w:type="page"/>
      </w:r>
    </w:p>
    <w:p w14:paraId="64E5750C">
      <w:pPr>
        <w:pStyle w:val="2"/>
        <w:bidi w:val="0"/>
        <w:rPr>
          <w:rFonts w:hint="default"/>
        </w:rPr>
      </w:pPr>
      <w:bookmarkStart w:id="4" w:name="_Toc16088"/>
      <w:bookmarkStart w:id="5" w:name="_Toc26683"/>
      <w:r>
        <w:rPr>
          <w:rFonts w:hint="default"/>
        </w:rPr>
        <w:t>2  术语和符号</w:t>
      </w:r>
      <w:bookmarkEnd w:id="4"/>
      <w:bookmarkEnd w:id="5"/>
    </w:p>
    <w:p w14:paraId="25F0C18A">
      <w:pPr>
        <w:pStyle w:val="3"/>
        <w:bidi w:val="0"/>
        <w:rPr>
          <w:rFonts w:hint="default"/>
        </w:rPr>
      </w:pPr>
      <w:bookmarkStart w:id="6" w:name="_Toc10232"/>
      <w:bookmarkStart w:id="7" w:name="_Toc11528"/>
      <w:r>
        <w:rPr>
          <w:rFonts w:hint="default"/>
        </w:rPr>
        <w:t>2.1 术语</w:t>
      </w:r>
      <w:bookmarkEnd w:id="6"/>
      <w:bookmarkEnd w:id="7"/>
    </w:p>
    <w:p w14:paraId="0A696E78">
      <w:pPr>
        <w:bidi w:val="0"/>
        <w:rPr>
          <w:rFonts w:hint="default" w:ascii="Times New Roman" w:hAnsi="Times New Roman" w:eastAsia="宋体" w:cs="Times New Roman"/>
          <w:sz w:val="24"/>
          <w:szCs w:val="24"/>
          <w:lang w:eastAsia="zh-CN"/>
        </w:rPr>
      </w:pPr>
      <w:r>
        <w:rPr>
          <w:rFonts w:hint="default" w:ascii="Times New Roman" w:hAnsi="Times New Roman" w:eastAsia="宋体" w:cs="Times New Roman"/>
          <w:b/>
          <w:bCs/>
          <w:color w:val="auto"/>
          <w:sz w:val="24"/>
          <w:szCs w:val="24"/>
        </w:rPr>
        <w:t xml:space="preserve">2.1.1 </w:t>
      </w:r>
      <w:r>
        <w:rPr>
          <w:rFonts w:hint="default" w:ascii="Times New Roman" w:hAnsi="Times New Roman" w:eastAsia="宋体" w:cs="Times New Roman"/>
          <w:sz w:val="24"/>
          <w:szCs w:val="24"/>
        </w:rPr>
        <w:t>既有建筑 existing buildings</w:t>
      </w:r>
    </w:p>
    <w:p w14:paraId="5AC10BA6">
      <w:pPr>
        <w:bidi w:val="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已建成可以验收的和已投入使用的建筑。</w:t>
      </w:r>
    </w:p>
    <w:p w14:paraId="0302B69F">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条文说明：已建成可验收的建筑，指完成工程设计和合同约定的全部内容，具备竣工验收条件但尚未完成验收程序的建筑。已投入使用的建筑，指无论是否经过竣工验收实际已投入使用的建筑。</w:t>
      </w:r>
    </w:p>
    <w:p w14:paraId="3EB6FEF0">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 xml:space="preserve">2.1.2 </w:t>
      </w:r>
      <w:r>
        <w:rPr>
          <w:rFonts w:hint="default" w:ascii="Times New Roman" w:hAnsi="Times New Roman" w:eastAsia="宋体" w:cs="Times New Roman"/>
          <w:color w:val="auto"/>
          <w:sz w:val="24"/>
          <w:szCs w:val="24"/>
          <w:lang w:val="en-US" w:eastAsia="zh-CN"/>
        </w:rPr>
        <w:t>既有建筑结构改造 structrural renovation of existing buildings</w:t>
      </w:r>
    </w:p>
    <w:p w14:paraId="6293B6FC">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既有建筑结构改造是个广义的工程活动的总称，包含因改变使用功能、延长工作年限、加层（竖向的扩建）、扩建（仅指水平方向扩建）、改建、加固（含抗震加固）、平移、纠倾等，需对既有建筑结构进行相应处理及变化，导致结构体系、结构布置或构件改变。</w:t>
      </w:r>
    </w:p>
    <w:p w14:paraId="30C1B189">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条文说明：扩建一般是指增加建筑面积的改造，“加层”特指竖向的扩建，包括顶部的加层和中间部位的插层。</w:t>
      </w:r>
    </w:p>
    <w:p w14:paraId="5DEEE2CC">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rPr>
        <w:t>2.1.</w:t>
      </w:r>
      <w:r>
        <w:rPr>
          <w:rFonts w:hint="default"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color w:val="auto"/>
          <w:sz w:val="24"/>
          <w:szCs w:val="24"/>
          <w:lang w:val="en-US" w:eastAsia="zh-CN"/>
        </w:rPr>
        <w:t>抗震鉴定 seismic appraisal</w:t>
      </w:r>
    </w:p>
    <w:p w14:paraId="1F287EA4">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通过检查既有建筑的设计、施工质量和现状，按规定的抗震设防要求，对其在地震作用下的安全性进行评估。</w:t>
      </w:r>
    </w:p>
    <w:p w14:paraId="77204281">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rPr>
        <w:t>2.1.</w:t>
      </w:r>
      <w:r>
        <w:rPr>
          <w:rFonts w:hint="default"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z w:val="24"/>
          <w:szCs w:val="24"/>
          <w:lang w:val="en-US" w:eastAsia="zh-CN"/>
        </w:rPr>
        <w:t>抗震加固 seismic strengthening of building</w:t>
      </w:r>
    </w:p>
    <w:p w14:paraId="48FBC37D">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使既有建筑达到规定的抗震设防要求而进行的设计及施工。</w:t>
      </w:r>
    </w:p>
    <w:p w14:paraId="1D0C79B7">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2.1.5</w:t>
      </w:r>
      <w:r>
        <w:rPr>
          <w:rFonts w:hint="default" w:ascii="Times New Roman" w:hAnsi="Times New Roman" w:eastAsia="宋体" w:cs="Times New Roman"/>
          <w:color w:val="auto"/>
          <w:sz w:val="24"/>
          <w:szCs w:val="24"/>
          <w:lang w:val="en-US" w:eastAsia="zh-CN"/>
        </w:rPr>
        <w:t xml:space="preserve"> 后续工作年限 design working life after strengthening of existing structure or its member </w:t>
      </w:r>
    </w:p>
    <w:p w14:paraId="3D0ACB5A">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鉴定和加固设计规定的结构、构件不需要进行大修即可按其预定目的使用的时间。</w:t>
      </w:r>
    </w:p>
    <w:p w14:paraId="01DD2755">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2.1.6</w:t>
      </w:r>
      <w:r>
        <w:rPr>
          <w:rFonts w:hint="default" w:ascii="Times New Roman" w:hAnsi="Times New Roman" w:eastAsia="宋体" w:cs="Times New Roman"/>
          <w:color w:val="auto"/>
          <w:sz w:val="24"/>
          <w:szCs w:val="24"/>
          <w:lang w:val="en-US" w:eastAsia="zh-CN"/>
        </w:rPr>
        <w:t xml:space="preserve"> 加固设计工作年限 design working life for rehabilitation</w:t>
      </w:r>
    </w:p>
    <w:p w14:paraId="2C0E8753">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加固设计规定结构、构件加固后无需重新进行检测、鉴定即可按其预定的使用的时间。</w:t>
      </w:r>
    </w:p>
    <w:p w14:paraId="7A1ABE1F">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2.1.7</w:t>
      </w:r>
      <w:r>
        <w:rPr>
          <w:rFonts w:hint="default" w:ascii="Times New Roman" w:hAnsi="Times New Roman" w:eastAsia="宋体" w:cs="Times New Roman"/>
          <w:color w:val="auto"/>
          <w:sz w:val="24"/>
          <w:szCs w:val="24"/>
          <w:lang w:val="en-US" w:eastAsia="zh-CN"/>
        </w:rPr>
        <w:t xml:space="preserve"> 结构适修性 repair-suitability of structure</w:t>
      </w:r>
    </w:p>
    <w:p w14:paraId="70543241">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残损的或承载能力不足的结构适于采取修复措施所应具备的技术可行性与经济合理性的总称。</w:t>
      </w:r>
    </w:p>
    <w:p w14:paraId="6697C0F0">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2.1.8</w:t>
      </w:r>
      <w:r>
        <w:rPr>
          <w:rFonts w:hint="default" w:ascii="Times New Roman" w:hAnsi="Times New Roman" w:eastAsia="宋体" w:cs="Times New Roman"/>
          <w:color w:val="auto"/>
          <w:sz w:val="24"/>
          <w:szCs w:val="24"/>
          <w:lang w:val="en-US" w:eastAsia="zh-CN"/>
        </w:rPr>
        <w:t xml:space="preserve"> 综合抗震能力 compound seismic capability</w:t>
      </w:r>
    </w:p>
    <w:p w14:paraId="60CEA642">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整个建筑结构综合考虑其构造和承载力等因素所具有的抵抗地震作用的能力。</w:t>
      </w:r>
    </w:p>
    <w:p w14:paraId="2265F969">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2.1.9</w:t>
      </w:r>
      <w:r>
        <w:rPr>
          <w:rFonts w:hint="default" w:ascii="Times New Roman" w:hAnsi="Times New Roman" w:eastAsia="宋体" w:cs="Times New Roman"/>
          <w:color w:val="auto"/>
          <w:sz w:val="24"/>
          <w:szCs w:val="24"/>
          <w:lang w:val="en-US" w:eastAsia="zh-CN"/>
        </w:rPr>
        <w:t xml:space="preserve"> 结构构件既有承载力 existing capacity of structural member</w:t>
      </w:r>
    </w:p>
    <w:p w14:paraId="1F9EA997">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既有结构构件由材料强度标准值、结构构件(包括钢筋)实有的截面面积和对应于重力荷载代表值的轴向力所确定的结构构件承载力，包括既有受弯承载力和既有受剪承载力等。</w:t>
      </w:r>
    </w:p>
    <w:p w14:paraId="7BF1537F">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2.1.10</w:t>
      </w:r>
      <w:r>
        <w:rPr>
          <w:rFonts w:hint="default" w:ascii="Times New Roman" w:hAnsi="Times New Roman" w:eastAsia="宋体" w:cs="Times New Roman"/>
          <w:color w:val="auto"/>
          <w:sz w:val="24"/>
          <w:szCs w:val="24"/>
          <w:lang w:val="en-US" w:eastAsia="zh-CN"/>
        </w:rPr>
        <w:t xml:space="preserve"> 黄土地基病害 loess foundation disaster</w:t>
      </w:r>
    </w:p>
    <w:p w14:paraId="26B33B20">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黄土地区建筑物因地基不均匀、浸水湿陷、处理缺陷等原因引起的地基不均匀沉降和建筑物裂缝等灾害。</w:t>
      </w:r>
    </w:p>
    <w:p w14:paraId="7E801106">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2.1.11</w:t>
      </w:r>
      <w:r>
        <w:rPr>
          <w:rFonts w:hint="default" w:ascii="Times New Roman" w:hAnsi="Times New Roman" w:eastAsia="宋体" w:cs="Times New Roman"/>
          <w:color w:val="auto"/>
          <w:sz w:val="24"/>
          <w:szCs w:val="24"/>
          <w:lang w:val="en-US" w:eastAsia="zh-CN"/>
        </w:rPr>
        <w:t xml:space="preserve"> 消能减震加固 seismic strengthening of buildings by energy dissipation method</w:t>
      </w:r>
    </w:p>
    <w:p w14:paraId="488F64A4">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在既有建筑中安装消能部件，使其达到抗震鉴定要求所进行的设计与施工。</w:t>
      </w:r>
    </w:p>
    <w:p w14:paraId="519615BF">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2.1.12</w:t>
      </w:r>
      <w:r>
        <w:rPr>
          <w:rFonts w:hint="default" w:ascii="Times New Roman" w:hAnsi="Times New Roman" w:eastAsia="宋体" w:cs="Times New Roman"/>
          <w:color w:val="auto"/>
          <w:sz w:val="24"/>
          <w:szCs w:val="24"/>
          <w:lang w:val="en-US" w:eastAsia="zh-CN"/>
        </w:rPr>
        <w:t xml:space="preserve"> 结构抗震加固性能化设计 performance-based seismic rehabilitation design of structure</w:t>
      </w:r>
    </w:p>
    <w:p w14:paraId="0138F7FB">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以结构抗震性能目标为基准的结构抗震加固设计。</w:t>
      </w:r>
    </w:p>
    <w:p w14:paraId="1C1F2657">
      <w:pP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br w:type="page"/>
      </w:r>
    </w:p>
    <w:p w14:paraId="5FA0D6EE">
      <w:pPr>
        <w:spacing w:line="276" w:lineRule="auto"/>
        <w:rPr>
          <w:rFonts w:hint="default" w:ascii="Times New Roman" w:hAnsi="Times New Roman" w:eastAsia="宋体" w:cs="Times New Roman"/>
          <w:color w:val="auto"/>
          <w:sz w:val="24"/>
          <w:szCs w:val="24"/>
        </w:rPr>
      </w:pPr>
    </w:p>
    <w:p w14:paraId="605E48BD">
      <w:pPr>
        <w:pStyle w:val="3"/>
        <w:bidi w:val="0"/>
        <w:rPr>
          <w:rFonts w:hint="default"/>
        </w:rPr>
      </w:pPr>
      <w:bookmarkStart w:id="8" w:name="_Toc16130"/>
      <w:bookmarkStart w:id="9" w:name="_Toc7523"/>
      <w:r>
        <w:rPr>
          <w:rFonts w:hint="default"/>
        </w:rPr>
        <w:t>2.2 主要符号</w:t>
      </w:r>
      <w:bookmarkEnd w:id="8"/>
      <w:bookmarkEnd w:id="9"/>
    </w:p>
    <w:p w14:paraId="48264B1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heme="majorEastAsia" w:hAnsiTheme="majorEastAsia" w:eastAsiaTheme="majorEastAsia" w:cstheme="majorEastAsia"/>
          <w:color w:val="000000"/>
          <w:sz w:val="24"/>
          <w:szCs w:val="24"/>
          <w:lang w:eastAsia="zh-CN"/>
        </w:rPr>
      </w:pPr>
      <w:r>
        <w:rPr>
          <w:rFonts w:hint="eastAsia" w:asciiTheme="majorEastAsia" w:hAnsiTheme="majorEastAsia" w:eastAsiaTheme="majorEastAsia" w:cstheme="majorEastAsia"/>
          <w:b/>
          <w:bCs/>
          <w:color w:val="000000"/>
          <w:sz w:val="24"/>
          <w:szCs w:val="24"/>
        </w:rPr>
        <w:t>2.2.1</w:t>
      </w:r>
      <w:r>
        <w:rPr>
          <w:rFonts w:hint="eastAsia" w:asciiTheme="majorEastAsia" w:hAnsiTheme="majorEastAsia" w:eastAsiaTheme="majorEastAsia" w:cstheme="majorEastAsia"/>
          <w:color w:val="000000"/>
          <w:sz w:val="24"/>
          <w:szCs w:val="24"/>
        </w:rPr>
        <w:t xml:space="preserve"> 作用和作用效应</w:t>
      </w:r>
    </w:p>
    <w:p w14:paraId="13468A5D">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i/>
          <w:iCs/>
          <w:color w:val="000000"/>
          <w:sz w:val="24"/>
          <w:szCs w:val="24"/>
        </w:rPr>
        <w:t>N</w:t>
      </w:r>
      <w:r>
        <w:rPr>
          <w:rFonts w:hint="eastAsia" w:asciiTheme="majorEastAsia" w:hAnsiTheme="majorEastAsia" w:eastAsiaTheme="majorEastAsia" w:cstheme="majorEastAsia"/>
          <w:color w:val="000000"/>
          <w:sz w:val="24"/>
          <w:szCs w:val="24"/>
          <w:vertAlign w:val="subscript"/>
        </w:rPr>
        <w:t>G</w:t>
      </w:r>
      <w:r>
        <w:rPr>
          <w:rFonts w:hint="eastAsia" w:asciiTheme="majorEastAsia" w:hAnsiTheme="majorEastAsia" w:eastAsiaTheme="majorEastAsia" w:cstheme="majorEastAsia"/>
          <w:color w:val="000000"/>
          <w:sz w:val="24"/>
          <w:szCs w:val="24"/>
        </w:rPr>
        <w:t>——对应于重力荷载代表值的轴向压力；</w:t>
      </w:r>
    </w:p>
    <w:p w14:paraId="0FE85C0E">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i/>
          <w:iCs/>
          <w:color w:val="000000"/>
          <w:sz w:val="24"/>
          <w:szCs w:val="24"/>
        </w:rPr>
        <w:t>V</w:t>
      </w:r>
      <w:r>
        <w:rPr>
          <w:rFonts w:hint="eastAsia" w:asciiTheme="majorEastAsia" w:hAnsiTheme="majorEastAsia" w:eastAsiaTheme="majorEastAsia" w:cstheme="majorEastAsia"/>
          <w:color w:val="000000"/>
          <w:sz w:val="24"/>
          <w:szCs w:val="24"/>
          <w:vertAlign w:val="subscript"/>
        </w:rPr>
        <w:t>e</w:t>
      </w:r>
      <w:r>
        <w:rPr>
          <w:rFonts w:hint="eastAsia" w:asciiTheme="majorEastAsia" w:hAnsiTheme="majorEastAsia" w:eastAsiaTheme="majorEastAsia" w:cstheme="majorEastAsia"/>
          <w:color w:val="000000"/>
          <w:sz w:val="24"/>
          <w:szCs w:val="24"/>
        </w:rPr>
        <w:t>——楼层的弹性地震剪力；</w:t>
      </w:r>
    </w:p>
    <w:p w14:paraId="74D81648">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i/>
          <w:iCs/>
          <w:color w:val="000000"/>
          <w:sz w:val="24"/>
          <w:szCs w:val="24"/>
        </w:rPr>
        <w:t>S</w:t>
      </w:r>
      <w:r>
        <w:rPr>
          <w:rFonts w:hint="eastAsia" w:asciiTheme="majorEastAsia" w:hAnsiTheme="majorEastAsia" w:eastAsiaTheme="majorEastAsia" w:cstheme="majorEastAsia"/>
          <w:color w:val="000000"/>
          <w:sz w:val="24"/>
          <w:szCs w:val="24"/>
        </w:rPr>
        <w:sym w:font="Symbol" w:char="F020"/>
      </w:r>
      <w:r>
        <w:rPr>
          <w:rFonts w:hint="eastAsia" w:asciiTheme="majorEastAsia" w:hAnsiTheme="majorEastAsia" w:eastAsiaTheme="majorEastAsia" w:cstheme="majorEastAsia"/>
          <w:color w:val="000000"/>
          <w:sz w:val="24"/>
          <w:szCs w:val="24"/>
        </w:rPr>
        <w:t>——结构构件地震基本组合的作用效应设计值；</w:t>
      </w:r>
    </w:p>
    <w:p w14:paraId="5A55779E">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i/>
          <w:iCs/>
          <w:color w:val="000000"/>
          <w:sz w:val="24"/>
          <w:szCs w:val="24"/>
        </w:rPr>
        <w:t>P</w:t>
      </w:r>
      <w:r>
        <w:rPr>
          <w:rFonts w:hint="eastAsia" w:asciiTheme="majorEastAsia" w:hAnsiTheme="majorEastAsia" w:eastAsiaTheme="majorEastAsia" w:cstheme="majorEastAsia"/>
          <w:color w:val="000000"/>
          <w:sz w:val="24"/>
          <w:szCs w:val="24"/>
          <w:vertAlign w:val="subscript"/>
        </w:rPr>
        <w:t>0</w:t>
      </w:r>
      <w:r>
        <w:rPr>
          <w:rFonts w:hint="eastAsia" w:asciiTheme="majorEastAsia" w:hAnsiTheme="majorEastAsia" w:eastAsiaTheme="majorEastAsia" w:cstheme="majorEastAsia"/>
          <w:color w:val="000000"/>
          <w:sz w:val="24"/>
          <w:szCs w:val="24"/>
        </w:rPr>
        <w:t>——基础底面实际平均压力。</w:t>
      </w:r>
    </w:p>
    <w:p w14:paraId="7DD98F8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heme="majorEastAsia" w:hAnsiTheme="majorEastAsia" w:eastAsiaTheme="majorEastAsia" w:cstheme="majorEastAsia"/>
          <w:color w:val="000000"/>
          <w:sz w:val="24"/>
          <w:szCs w:val="24"/>
          <w:lang w:eastAsia="zh-CN"/>
        </w:rPr>
      </w:pPr>
      <w:r>
        <w:rPr>
          <w:rFonts w:hint="eastAsia" w:asciiTheme="majorEastAsia" w:hAnsiTheme="majorEastAsia" w:eastAsiaTheme="majorEastAsia" w:cstheme="majorEastAsia"/>
          <w:b/>
          <w:bCs/>
          <w:color w:val="000000"/>
          <w:sz w:val="24"/>
          <w:szCs w:val="24"/>
        </w:rPr>
        <w:t>2.2.2</w:t>
      </w:r>
      <w:r>
        <w:rPr>
          <w:rFonts w:hint="eastAsia" w:asciiTheme="majorEastAsia" w:hAnsiTheme="majorEastAsia" w:eastAsiaTheme="majorEastAsia" w:cstheme="majorEastAsia"/>
          <w:color w:val="000000"/>
          <w:sz w:val="24"/>
          <w:szCs w:val="24"/>
        </w:rPr>
        <w:t xml:space="preserve"> 材料性能和抗力</w:t>
      </w:r>
    </w:p>
    <w:p w14:paraId="64BC2AD0">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i/>
          <w:iCs/>
          <w:color w:val="000000"/>
          <w:sz w:val="24"/>
          <w:szCs w:val="24"/>
        </w:rPr>
        <w:t>M</w:t>
      </w:r>
      <w:r>
        <w:rPr>
          <w:rFonts w:hint="eastAsia" w:asciiTheme="majorEastAsia" w:hAnsiTheme="majorEastAsia" w:eastAsiaTheme="majorEastAsia" w:cstheme="majorEastAsia"/>
          <w:color w:val="000000"/>
          <w:sz w:val="24"/>
          <w:szCs w:val="24"/>
          <w:vertAlign w:val="subscript"/>
        </w:rPr>
        <w:t>y</w:t>
      </w:r>
      <w:r>
        <w:rPr>
          <w:rFonts w:hint="eastAsia" w:asciiTheme="majorEastAsia" w:hAnsiTheme="majorEastAsia" w:eastAsiaTheme="majorEastAsia" w:cstheme="majorEastAsia"/>
          <w:color w:val="000000"/>
          <w:sz w:val="24"/>
          <w:szCs w:val="24"/>
        </w:rPr>
        <w:t>——构件现有受弯承载力；</w:t>
      </w:r>
    </w:p>
    <w:p w14:paraId="3060C921">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i/>
          <w:iCs/>
          <w:color w:val="000000"/>
          <w:sz w:val="24"/>
          <w:szCs w:val="24"/>
        </w:rPr>
        <w:t>V</w:t>
      </w:r>
      <w:r>
        <w:rPr>
          <w:rFonts w:hint="eastAsia" w:asciiTheme="majorEastAsia" w:hAnsiTheme="majorEastAsia" w:eastAsiaTheme="majorEastAsia" w:cstheme="majorEastAsia"/>
          <w:color w:val="000000"/>
          <w:sz w:val="24"/>
          <w:szCs w:val="24"/>
          <w:vertAlign w:val="subscript"/>
        </w:rPr>
        <w:t>y</w:t>
      </w:r>
      <w:r>
        <w:rPr>
          <w:rFonts w:hint="eastAsia" w:asciiTheme="majorEastAsia" w:hAnsiTheme="majorEastAsia" w:eastAsiaTheme="majorEastAsia" w:cstheme="majorEastAsia"/>
          <w:color w:val="000000"/>
          <w:sz w:val="24"/>
          <w:szCs w:val="24"/>
        </w:rPr>
        <w:t>——构件或楼层现有受剪承载力；</w:t>
      </w:r>
    </w:p>
    <w:p w14:paraId="22A7A347">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i/>
          <w:iCs/>
          <w:color w:val="000000"/>
          <w:sz w:val="24"/>
          <w:szCs w:val="24"/>
        </w:rPr>
        <w:t>R</w:t>
      </w:r>
      <w:r>
        <w:rPr>
          <w:rFonts w:hint="eastAsia" w:asciiTheme="majorEastAsia" w:hAnsiTheme="majorEastAsia" w:eastAsiaTheme="majorEastAsia" w:cstheme="majorEastAsia"/>
          <w:color w:val="000000"/>
          <w:sz w:val="24"/>
          <w:szCs w:val="24"/>
        </w:rPr>
        <w:sym w:font="Symbol" w:char="F020"/>
      </w:r>
      <w:r>
        <w:rPr>
          <w:rFonts w:hint="eastAsia" w:asciiTheme="majorEastAsia" w:hAnsiTheme="majorEastAsia" w:eastAsiaTheme="majorEastAsia" w:cstheme="majorEastAsia"/>
          <w:color w:val="000000"/>
          <w:sz w:val="24"/>
          <w:szCs w:val="24"/>
        </w:rPr>
        <w:t>——结构构件承载力设计值；</w:t>
      </w:r>
    </w:p>
    <w:p w14:paraId="4DA440ED">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i/>
          <w:iCs/>
          <w:color w:val="000000"/>
          <w:sz w:val="24"/>
          <w:szCs w:val="24"/>
        </w:rPr>
        <w:t>f</w:t>
      </w:r>
      <w:r>
        <w:rPr>
          <w:rFonts w:hint="eastAsia" w:asciiTheme="majorEastAsia" w:hAnsiTheme="majorEastAsia" w:eastAsiaTheme="majorEastAsia" w:cstheme="majorEastAsia"/>
          <w:color w:val="000000"/>
          <w:sz w:val="24"/>
          <w:szCs w:val="24"/>
          <w:vertAlign w:val="subscript"/>
        </w:rPr>
        <w:t>k0</w:t>
      </w:r>
      <w:r>
        <w:rPr>
          <w:rFonts w:hint="eastAsia" w:asciiTheme="majorEastAsia" w:hAnsiTheme="majorEastAsia" w:eastAsiaTheme="majorEastAsia" w:cstheme="majorEastAsia"/>
          <w:color w:val="000000"/>
          <w:sz w:val="24"/>
          <w:szCs w:val="24"/>
        </w:rPr>
        <w:t>——原材料的强度设计值；</w:t>
      </w:r>
    </w:p>
    <w:p w14:paraId="2983B4A2">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i/>
          <w:iCs/>
          <w:color w:val="000000"/>
          <w:sz w:val="24"/>
          <w:szCs w:val="24"/>
        </w:rPr>
        <w:t>f</w:t>
      </w:r>
      <w:r>
        <w:rPr>
          <w:rFonts w:hint="eastAsia" w:asciiTheme="majorEastAsia" w:hAnsiTheme="majorEastAsia" w:eastAsiaTheme="majorEastAsia" w:cstheme="majorEastAsia"/>
          <w:color w:val="000000"/>
          <w:sz w:val="24"/>
          <w:szCs w:val="24"/>
          <w:vertAlign w:val="subscript"/>
        </w:rPr>
        <w:t>k</w:t>
      </w:r>
      <w:r>
        <w:rPr>
          <w:rFonts w:hint="eastAsia" w:asciiTheme="majorEastAsia" w:hAnsiTheme="majorEastAsia" w:eastAsiaTheme="majorEastAsia" w:cstheme="majorEastAsia"/>
          <w:color w:val="000000"/>
          <w:sz w:val="24"/>
          <w:szCs w:val="24"/>
        </w:rPr>
        <w:t>——加固材料的强度标准值。</w:t>
      </w:r>
    </w:p>
    <w:p w14:paraId="4298BE7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b/>
          <w:bCs/>
          <w:color w:val="000000"/>
          <w:sz w:val="24"/>
          <w:szCs w:val="24"/>
        </w:rPr>
        <w:t>2.2.3</w:t>
      </w:r>
      <w:r>
        <w:rPr>
          <w:rFonts w:hint="eastAsia" w:asciiTheme="majorEastAsia" w:hAnsiTheme="majorEastAsia" w:eastAsiaTheme="majorEastAsia" w:cstheme="majorEastAsia"/>
          <w:color w:val="000000"/>
          <w:sz w:val="24"/>
          <w:szCs w:val="24"/>
        </w:rPr>
        <w:t xml:space="preserve"> 几何参数</w:t>
      </w:r>
    </w:p>
    <w:p w14:paraId="4279157C">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i/>
          <w:iCs/>
          <w:color w:val="000000"/>
          <w:sz w:val="24"/>
          <w:szCs w:val="24"/>
        </w:rPr>
        <w:t>A</w:t>
      </w:r>
      <w:r>
        <w:rPr>
          <w:rFonts w:hint="eastAsia" w:asciiTheme="majorEastAsia" w:hAnsiTheme="majorEastAsia" w:eastAsiaTheme="majorEastAsia" w:cstheme="majorEastAsia"/>
          <w:color w:val="000000"/>
          <w:sz w:val="24"/>
          <w:szCs w:val="24"/>
          <w:vertAlign w:val="subscript"/>
        </w:rPr>
        <w:t>s</w:t>
      </w:r>
      <w:r>
        <w:rPr>
          <w:rFonts w:hint="eastAsia" w:asciiTheme="majorEastAsia" w:hAnsiTheme="majorEastAsia" w:eastAsiaTheme="majorEastAsia" w:cstheme="majorEastAsia"/>
          <w:color w:val="000000"/>
          <w:sz w:val="24"/>
          <w:szCs w:val="24"/>
        </w:rPr>
        <w:t>——实有钢筋截面面积；</w:t>
      </w:r>
    </w:p>
    <w:p w14:paraId="6002C0C7">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Aw——加固后抗震墙截面面积；</w:t>
      </w:r>
    </w:p>
    <w:p w14:paraId="147DBB78">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Acor——箍筋环向围束内混凝土面积；</w:t>
      </w:r>
    </w:p>
    <w:p w14:paraId="32D4BD6B">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B</w:t>
      </w:r>
      <w:r>
        <w:rPr>
          <w:rFonts w:hint="eastAsia" w:asciiTheme="majorEastAsia" w:hAnsiTheme="majorEastAsia" w:eastAsiaTheme="majorEastAsia" w:cstheme="majorEastAsia"/>
          <w:color w:val="000000"/>
          <w:sz w:val="24"/>
          <w:szCs w:val="24"/>
        </w:rPr>
        <w:sym w:font="Symbol" w:char="F020"/>
      </w:r>
      <w:r>
        <w:rPr>
          <w:rFonts w:hint="eastAsia" w:asciiTheme="majorEastAsia" w:hAnsiTheme="majorEastAsia" w:eastAsiaTheme="majorEastAsia" w:cstheme="majorEastAsia"/>
          <w:color w:val="000000"/>
          <w:sz w:val="24"/>
          <w:szCs w:val="24"/>
        </w:rPr>
        <w:t>——房屋宽度；</w:t>
      </w:r>
    </w:p>
    <w:p w14:paraId="40CAC246">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L</w:t>
      </w:r>
      <w:r>
        <w:rPr>
          <w:rFonts w:hint="eastAsia" w:asciiTheme="majorEastAsia" w:hAnsiTheme="majorEastAsia" w:eastAsiaTheme="majorEastAsia" w:cstheme="majorEastAsia"/>
          <w:color w:val="000000"/>
          <w:sz w:val="24"/>
          <w:szCs w:val="24"/>
        </w:rPr>
        <w:sym w:font="Symbol" w:char="F020"/>
      </w:r>
      <w:r>
        <w:rPr>
          <w:rFonts w:hint="eastAsia" w:asciiTheme="majorEastAsia" w:hAnsiTheme="majorEastAsia" w:eastAsiaTheme="majorEastAsia" w:cstheme="majorEastAsia"/>
          <w:color w:val="000000"/>
          <w:sz w:val="24"/>
          <w:szCs w:val="24"/>
        </w:rPr>
        <w:t>——抗震墙之间楼板长度、抗震墙间距，房屋长度；</w:t>
      </w:r>
    </w:p>
    <w:p w14:paraId="29C8044E">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b</w:t>
      </w:r>
      <w:r>
        <w:rPr>
          <w:rFonts w:hint="eastAsia" w:asciiTheme="majorEastAsia" w:hAnsiTheme="majorEastAsia" w:eastAsiaTheme="majorEastAsia" w:cstheme="majorEastAsia"/>
          <w:color w:val="000000"/>
          <w:sz w:val="24"/>
          <w:szCs w:val="24"/>
        </w:rPr>
        <w:sym w:font="Symbol" w:char="F020"/>
      </w:r>
      <w:r>
        <w:rPr>
          <w:rFonts w:hint="eastAsia" w:asciiTheme="majorEastAsia" w:hAnsiTheme="majorEastAsia" w:eastAsiaTheme="majorEastAsia" w:cstheme="majorEastAsia"/>
          <w:color w:val="000000"/>
          <w:sz w:val="24"/>
          <w:szCs w:val="24"/>
        </w:rPr>
        <w:t>——构件截面宽度；</w:t>
      </w:r>
    </w:p>
    <w:p w14:paraId="5B077887">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h</w:t>
      </w:r>
      <w:r>
        <w:rPr>
          <w:rFonts w:hint="eastAsia" w:asciiTheme="majorEastAsia" w:hAnsiTheme="majorEastAsia" w:eastAsiaTheme="majorEastAsia" w:cstheme="majorEastAsia"/>
          <w:color w:val="000000"/>
          <w:sz w:val="24"/>
          <w:szCs w:val="24"/>
        </w:rPr>
        <w:sym w:font="Symbol" w:char="F020"/>
      </w:r>
      <w:r>
        <w:rPr>
          <w:rFonts w:hint="eastAsia" w:asciiTheme="majorEastAsia" w:hAnsiTheme="majorEastAsia" w:eastAsiaTheme="majorEastAsia" w:cstheme="majorEastAsia"/>
          <w:color w:val="000000"/>
          <w:sz w:val="24"/>
          <w:szCs w:val="24"/>
        </w:rPr>
        <w:t>——构件截面高度；</w:t>
      </w:r>
    </w:p>
    <w:p w14:paraId="537E887C">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l</w:t>
      </w:r>
      <w:r>
        <w:rPr>
          <w:rFonts w:hint="eastAsia" w:asciiTheme="majorEastAsia" w:hAnsiTheme="majorEastAsia" w:eastAsiaTheme="majorEastAsia" w:cstheme="majorEastAsia"/>
          <w:color w:val="000000"/>
          <w:sz w:val="24"/>
          <w:szCs w:val="24"/>
        </w:rPr>
        <w:sym w:font="Symbol" w:char="F020"/>
      </w:r>
      <w:r>
        <w:rPr>
          <w:rFonts w:hint="eastAsia" w:asciiTheme="majorEastAsia" w:hAnsiTheme="majorEastAsia" w:eastAsiaTheme="majorEastAsia" w:cstheme="majorEastAsia"/>
          <w:color w:val="000000"/>
          <w:sz w:val="24"/>
          <w:szCs w:val="24"/>
        </w:rPr>
        <w:t>——构件长度、屋架跨度；</w:t>
      </w:r>
    </w:p>
    <w:p w14:paraId="236FF944">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t</w:t>
      </w:r>
      <w:r>
        <w:rPr>
          <w:rFonts w:hint="eastAsia" w:asciiTheme="majorEastAsia" w:hAnsiTheme="majorEastAsia" w:eastAsiaTheme="majorEastAsia" w:cstheme="majorEastAsia"/>
          <w:color w:val="000000"/>
          <w:sz w:val="24"/>
          <w:szCs w:val="24"/>
        </w:rPr>
        <w:sym w:font="Symbol" w:char="F020"/>
      </w:r>
      <w:r>
        <w:rPr>
          <w:rFonts w:hint="eastAsia" w:asciiTheme="majorEastAsia" w:hAnsiTheme="majorEastAsia" w:eastAsiaTheme="majorEastAsia" w:cstheme="majorEastAsia"/>
          <w:color w:val="000000"/>
          <w:sz w:val="24"/>
          <w:szCs w:val="24"/>
        </w:rPr>
        <w:t>——抗震墙厚度。</w:t>
      </w:r>
    </w:p>
    <w:p w14:paraId="3FF11F6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b/>
          <w:bCs/>
          <w:color w:val="000000"/>
          <w:sz w:val="24"/>
          <w:szCs w:val="24"/>
        </w:rPr>
        <w:t>2.2.4</w:t>
      </w:r>
      <w:r>
        <w:rPr>
          <w:rFonts w:hint="eastAsia" w:asciiTheme="majorEastAsia" w:hAnsiTheme="majorEastAsia" w:eastAsiaTheme="majorEastAsia" w:cstheme="majorEastAsia"/>
          <w:color w:val="000000"/>
          <w:sz w:val="24"/>
          <w:szCs w:val="24"/>
        </w:rPr>
        <w:t xml:space="preserve"> 计算系数</w:t>
      </w:r>
    </w:p>
    <w:p w14:paraId="0372609D">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position w:val="-12"/>
          <w:sz w:val="24"/>
          <w:szCs w:val="24"/>
        </w:rPr>
        <w:object>
          <v:shape id="_x0000_i1025" o:spt="75" type="#_x0000_t75" style="height:18pt;width:15pt;" o:ole="t" filled="f" o:preferrelative="t" stroked="f" coordsize="21600,21600">
            <v:path/>
            <v:fill on="f" focussize="0,0"/>
            <v:stroke on="f" joinstyle="miter"/>
            <v:imagedata r:id="rId15" o:title=""/>
            <o:lock v:ext="edit" aspectratio="t"/>
            <w10:wrap type="none"/>
            <w10:anchorlock/>
          </v:shape>
          <o:OLEObject Type="Embed" ProgID="Equation.DSMT4" ShapeID="_x0000_i1025" DrawAspect="Content" ObjectID="_1468075725" r:id="rId14">
            <o:LockedField>false</o:LockedField>
          </o:OLEObject>
        </w:object>
      </w:r>
      <w:r>
        <w:rPr>
          <w:rFonts w:hint="eastAsia" w:asciiTheme="majorEastAsia" w:hAnsiTheme="majorEastAsia" w:eastAsiaTheme="majorEastAsia" w:cstheme="majorEastAsia"/>
          <w:color w:val="000000"/>
          <w:sz w:val="24"/>
          <w:szCs w:val="24"/>
        </w:rPr>
        <w:t>——原综合抗震承载力指数；</w:t>
      </w:r>
    </w:p>
    <w:p w14:paraId="11ADFEE2">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object>
          <v:shape id="_x0000_i1026" o:spt="75" type="#_x0000_t75" style="height:18pt;width:14.25pt;" o:ole="t" filled="f" o:preferrelative="t" stroked="f" coordsize="21600,21600">
            <v:path/>
            <v:fill on="f" focussize="0,0"/>
            <v:stroke on="f" joinstyle="miter"/>
            <v:imagedata r:id="rId17" o:title=""/>
            <o:lock v:ext="edit" aspectratio="t"/>
            <w10:wrap type="none"/>
            <w10:anchorlock/>
          </v:shape>
          <o:OLEObject Type="Embed" ProgID="Equation.DSMT4" ShapeID="_x0000_i1026" DrawAspect="Content" ObjectID="_1468075726" r:id="rId16">
            <o:LockedField>false</o:LockedField>
          </o:OLEObject>
        </w:object>
      </w:r>
      <w:r>
        <w:rPr>
          <w:rFonts w:hint="eastAsia" w:asciiTheme="majorEastAsia" w:hAnsiTheme="majorEastAsia" w:eastAsiaTheme="majorEastAsia" w:cstheme="majorEastAsia"/>
          <w:color w:val="000000"/>
          <w:sz w:val="24"/>
          <w:szCs w:val="24"/>
        </w:rPr>
        <w:t>——加固后的综合抗震承载力指数；</w:t>
      </w:r>
    </w:p>
    <w:p w14:paraId="53B7DFAA">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object>
          <v:shape id="_x0000_i1027" o:spt="75" type="#_x0000_t75" style="height:18pt;width:18pt;" o:ole="t" filled="f" o:preferrelative="t" stroked="f" coordsize="21600,21600">
            <v:path/>
            <v:fill on="f" focussize="0,0"/>
            <v:stroke on="f" joinstyle="miter"/>
            <v:imagedata r:id="rId19" o:title=""/>
            <o:lock v:ext="edit" aspectratio="t"/>
            <w10:wrap type="none"/>
            <w10:anchorlock/>
          </v:shape>
          <o:OLEObject Type="Embed" ProgID="Equation.DSMT4" ShapeID="_x0000_i1027" DrawAspect="Content" ObjectID="_1468075727" r:id="rId18">
            <o:LockedField>false</o:LockedField>
          </o:OLEObject>
        </w:object>
      </w:r>
      <w:r>
        <w:rPr>
          <w:rFonts w:hint="eastAsia" w:asciiTheme="majorEastAsia" w:hAnsiTheme="majorEastAsia" w:eastAsiaTheme="majorEastAsia" w:cstheme="majorEastAsia"/>
          <w:color w:val="000000"/>
          <w:sz w:val="24"/>
          <w:szCs w:val="24"/>
        </w:rPr>
        <w:t>——抗震鉴定的承载力调整系数；</w:t>
      </w:r>
    </w:p>
    <w:p w14:paraId="355E84C9">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object>
          <v:shape id="_x0000_i1028" o:spt="75" type="#_x0000_t75" style="height:18pt;width:18pt;" o:ole="t" filled="f" o:preferrelative="t" stroked="f" coordsize="21600,21600">
            <v:path/>
            <v:fill on="f" focussize="0,0"/>
            <v:stroke on="f" joinstyle="miter"/>
            <v:imagedata r:id="rId21" o:title=""/>
            <o:lock v:ext="edit" aspectratio="t"/>
            <w10:wrap type="none"/>
            <w10:anchorlock/>
          </v:shape>
          <o:OLEObject Type="Embed" ProgID="Equation.DSMT4" ShapeID="_x0000_i1028" DrawAspect="Content" ObjectID="_1468075728" r:id="rId20">
            <o:LockedField>false</o:LockedField>
          </o:OLEObject>
        </w:object>
      </w:r>
      <w:r>
        <w:rPr>
          <w:rFonts w:hint="eastAsia" w:asciiTheme="majorEastAsia" w:hAnsiTheme="majorEastAsia" w:eastAsiaTheme="majorEastAsia" w:cstheme="majorEastAsia"/>
          <w:color w:val="000000"/>
          <w:sz w:val="24"/>
          <w:szCs w:val="24"/>
        </w:rPr>
        <w:t>——抗震加固的承载力调整系数；</w:t>
      </w:r>
    </w:p>
    <w:p w14:paraId="69505A6D">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sym w:font="Symbol" w:char="F068"/>
      </w:r>
      <w:r>
        <w:rPr>
          <w:rFonts w:hint="eastAsia" w:asciiTheme="majorEastAsia" w:hAnsiTheme="majorEastAsia" w:eastAsiaTheme="majorEastAsia" w:cstheme="majorEastAsia"/>
          <w:color w:val="000000"/>
          <w:sz w:val="24"/>
          <w:szCs w:val="24"/>
        </w:rPr>
        <w:t>——加固后抗震能力的增强系数；</w:t>
      </w:r>
    </w:p>
    <w:p w14:paraId="6AD730AC">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object>
          <v:shape id="_x0000_i1029" o:spt="75" type="#_x0000_t75" style="height:18pt;width:12.75pt;" o:ole="t" filled="f" o:preferrelative="t" stroked="f" coordsize="21600,21600">
            <v:path/>
            <v:fill on="f" focussize="0,0"/>
            <v:stroke on="f" joinstyle="miter"/>
            <v:imagedata r:id="rId23" o:title=""/>
            <o:lock v:ext="edit" aspectratio="t"/>
            <w10:wrap type="none"/>
            <w10:anchorlock/>
          </v:shape>
          <o:OLEObject Type="Embed" ProgID="Equation.DSMT4" ShapeID="_x0000_i1029" DrawAspect="Content" ObjectID="_1468075729" r:id="rId22">
            <o:LockedField>false</o:LockedField>
          </o:OLEObject>
        </w:object>
      </w:r>
      <w:r>
        <w:rPr>
          <w:rFonts w:hint="eastAsia" w:asciiTheme="majorEastAsia" w:hAnsiTheme="majorEastAsia" w:eastAsiaTheme="majorEastAsia" w:cstheme="majorEastAsia"/>
          <w:color w:val="000000"/>
          <w:sz w:val="24"/>
          <w:szCs w:val="24"/>
        </w:rPr>
        <w:t>——砖房抗震墙的基准面积率；</w:t>
      </w:r>
    </w:p>
    <w:p w14:paraId="5C7B30E3">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object>
          <v:shape id="_x0000_i1030" o:spt="75" type="#_x0000_t75" style="height:19.5pt;width:12.75pt;" o:ole="t" filled="f" o:preferrelative="t" stroked="f" coordsize="21600,21600">
            <v:path/>
            <v:fill on="f" focussize="0,0"/>
            <v:stroke on="f" joinstyle="miter"/>
            <v:imagedata r:id="rId25" o:title=""/>
            <o:lock v:ext="edit" aspectratio="t"/>
            <w10:wrap type="none"/>
            <w10:anchorlock/>
          </v:shape>
          <o:OLEObject Type="Embed" ProgID="Equation.DSMT4" ShapeID="_x0000_i1030" DrawAspect="Content" ObjectID="_1468075730" r:id="rId24">
            <o:LockedField>false</o:LockedField>
          </o:OLEObject>
        </w:object>
      </w:r>
      <w:r>
        <w:rPr>
          <w:rFonts w:hint="eastAsia" w:asciiTheme="majorEastAsia" w:hAnsiTheme="majorEastAsia" w:eastAsiaTheme="majorEastAsia" w:cstheme="majorEastAsia"/>
          <w:color w:val="000000"/>
          <w:sz w:val="24"/>
          <w:szCs w:val="24"/>
        </w:rPr>
        <w:t>——楼层屈服强度系数；</w:t>
      </w:r>
    </w:p>
    <w:p w14:paraId="0EF57A78">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object>
          <v:shape id="_x0000_i1031" o:spt="75" type="#_x0000_t75" style="height:18pt;width:14.25pt;" o:ole="t" filled="f" o:preferrelative="t" stroked="f" coordsize="21600,21600">
            <v:path/>
            <v:fill on="f" focussize="0,0"/>
            <v:stroke on="f" joinstyle="miter"/>
            <v:imagedata r:id="rId27" o:title=""/>
            <o:lock v:ext="edit" aspectratio="t"/>
            <w10:wrap type="none"/>
            <w10:anchorlock/>
          </v:shape>
          <o:OLEObject Type="Embed" ProgID="Equation.DSMT4" ShapeID="_x0000_i1031" DrawAspect="Content" ObjectID="_1468075731" r:id="rId26">
            <o:LockedField>false</o:LockedField>
          </o:OLEObject>
        </w:object>
      </w:r>
      <w:r>
        <w:rPr>
          <w:rFonts w:hint="eastAsia" w:asciiTheme="majorEastAsia" w:hAnsiTheme="majorEastAsia" w:eastAsiaTheme="majorEastAsia" w:cstheme="majorEastAsia"/>
          <w:color w:val="000000"/>
          <w:sz w:val="24"/>
          <w:szCs w:val="24"/>
        </w:rPr>
        <w:t>——结构构造的体系影响系数；</w:t>
      </w:r>
    </w:p>
    <w:p w14:paraId="2010EBC7">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default"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object>
          <v:shape id="_x0000_i1032" o:spt="75" type="#_x0000_t75" style="height:18pt;width:15pt;" o:ole="t" filled="f" o:preferrelative="t" stroked="f" coordsize="21600,21600">
            <v:path/>
            <v:fill on="f" focussize="0,0"/>
            <v:stroke on="f" joinstyle="miter"/>
            <v:imagedata r:id="rId29" o:title=""/>
            <o:lock v:ext="edit" aspectratio="t"/>
            <w10:wrap type="none"/>
            <w10:anchorlock/>
          </v:shape>
          <o:OLEObject Type="Embed" ProgID="Equation.DSMT4" ShapeID="_x0000_i1032" DrawAspect="Content" ObjectID="_1468075732" r:id="rId28">
            <o:LockedField>false</o:LockedField>
          </o:OLEObject>
        </w:object>
      </w:r>
      <w:r>
        <w:rPr>
          <w:rFonts w:hint="eastAsia" w:asciiTheme="majorEastAsia" w:hAnsiTheme="majorEastAsia" w:eastAsiaTheme="majorEastAsia" w:cstheme="majorEastAsia"/>
          <w:color w:val="000000"/>
          <w:sz w:val="24"/>
          <w:szCs w:val="24"/>
        </w:rPr>
        <w:t>——结构构造的局部影响系数。</w:t>
      </w:r>
    </w:p>
    <w:p w14:paraId="7114D002">
      <w:pP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br w:type="page"/>
      </w:r>
    </w:p>
    <w:p w14:paraId="2ADCCF31">
      <w:pPr>
        <w:pStyle w:val="2"/>
        <w:bidi w:val="0"/>
        <w:rPr>
          <w:rFonts w:hint="default"/>
        </w:rPr>
      </w:pPr>
      <w:bookmarkStart w:id="10" w:name="_Toc31185"/>
      <w:bookmarkStart w:id="11" w:name="_Toc32060"/>
      <w:r>
        <w:rPr>
          <w:rFonts w:hint="default"/>
        </w:rPr>
        <w:t>3  基本规定</w:t>
      </w:r>
      <w:bookmarkEnd w:id="10"/>
      <w:bookmarkEnd w:id="11"/>
    </w:p>
    <w:p w14:paraId="29B726F3">
      <w:pPr>
        <w:pStyle w:val="3"/>
        <w:bidi w:val="0"/>
        <w:rPr>
          <w:rFonts w:hint="default"/>
          <w:lang w:val="en-US" w:eastAsia="zh-CN"/>
        </w:rPr>
      </w:pPr>
      <w:bookmarkStart w:id="12" w:name="_Toc26082"/>
      <w:r>
        <w:rPr>
          <w:rFonts w:hint="default"/>
          <w:lang w:val="en-US" w:eastAsia="zh-CN"/>
        </w:rPr>
        <w:t>3.1 一般规定</w:t>
      </w:r>
      <w:bookmarkEnd w:id="12"/>
    </w:p>
    <w:p w14:paraId="6809686A">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3.1.1 既有建筑改造、加固宜结合绿色建筑、降碳减排等要求，实施全面加固改造和性能提升，实现建筑整体寿命提升，确立合理的设计标准，并宜符合现行相关的规范和标准。</w:t>
      </w:r>
    </w:p>
    <w:p w14:paraId="5CD5D774">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既有建筑改造、加固，鼓励采用更长的后续工作年限。从后续工作年限内具有相同的超越概率的角度出发，针对A、B、C三类建筑提出相应的抗震鉴定标准，并鼓励有条件时应采用更高的标准，尽可能提高既有建筑的抗震能力。同时鼓励创新成果在建设工程中的应用，当拟采用的新技术在工程建设强制性规范或推荐性标准中没有相关规定时，应进行论证，确保建设工程达到工程建设强制性规范规定的工程性能要求，确保建设工程质量和安全，并满足国家对建设工程环境保护、能源资源节约与合理利用等相关基本要求。</w:t>
      </w:r>
    </w:p>
    <w:p w14:paraId="6F2A31B2">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3.1.2 既有建筑修缮、改造、加固应根据产权人或委托方的具体要求，结合既有建筑的实际情况，明确改造、加固的内容、范围及设计标准。</w:t>
      </w:r>
    </w:p>
    <w:p w14:paraId="1F9113EA">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条文说明：一般认为可加固改造利用的既有建筑具备以下三点：规划上允许，技术上能做，经济上可行。需与产权人或委托方沟通明确加固的原因和目的，主要分为以下几个方面：</w:t>
      </w:r>
    </w:p>
    <w:p w14:paraId="5FBE8F60">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勘察、设计和施工中的问题：由于勘察资料不准确或不齐全，设计考虑不周，施工管理不严，施工质量欠佳以及建筑材料不符合规范和设计要求等原因而造成的工程质量问题及工程事故需要进行加固补强；</w:t>
      </w:r>
    </w:p>
    <w:p w14:paraId="00FE26DE">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使用功能改变：随着时代的发展，建筑业态、用途、功能改变，设备更新，城市功能升级改造等，需要对既有建筑进行改扩建；</w:t>
      </w:r>
    </w:p>
    <w:p w14:paraId="1475A8F8">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自然灾害与偶然事故：如地震、风灾、火灾、水灾、爆炸、滑坡、塌陷和其他事故引起的影响建筑安全的建筑损伤，需要加固补强；</w:t>
      </w:r>
    </w:p>
    <w:p w14:paraId="694D30D5">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结构的耐久性降低：由于建筑物所处环境条件影响，导致构件开裂、锈蚀、碳化和冻融、材料老化等，特别是20世纪70年代以前基本没有关注耐久性的问题的建筑，影响结构后续使用安全，也应进行维护或加固补强；</w:t>
      </w:r>
    </w:p>
    <w:p w14:paraId="4A1E8C5F">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达到设计工作年限的建筑，不论是否改变使用功能，需要继续使用的；</w:t>
      </w:r>
    </w:p>
    <w:p w14:paraId="56C8C799">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因需提高抗震性能的既有建筑。</w:t>
      </w:r>
    </w:p>
    <w:p w14:paraId="594AFE5B">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3.1.3 既有建筑结构经鉴定或设计确认需要加固时，应根据鉴定结论，并结合产权人或委托方提出的要求，按相关规范和标准的要求进行加固设计。加固设计的范围，可按整幢建筑物或其中某独立区段确定，也可按指定的结构、构件或连接确定，但均应满足防倒塌的整体牢固性。</w:t>
      </w:r>
    </w:p>
    <w:p w14:paraId="2A9D1A2A">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结构是否需要加固，应经鉴定或设计确认。既有建筑改造工程所面临的不确定因素远比新建工程多而复杂，还需考虑产权人或委托方的种种要求。众多的工程实践经验表明，承重结构的加固效果，除了与其所采用的方法有关，还与该建筑物现状密切相关。一般而言，结构经局部加固后，虽然能提高被加固构件的安全性，但这并不意味着该承重结构的整体一定是安全的。因为就整个结构而言，其安全性还取决于原结构方案及其布置是否合理，结构构件之间的支撑、连接、拉结、锚固是否系统、可靠，其原有的构造措施是否得当、有效等，这些就是结构整体牢固性的内涵，其所起到的综合作用就是使结构具有足够的延性和冗余度。因此，要求专业技术人员在承担结构加固设计时，应对承重结构的整体牢固性进行检查与评估，以确定是否需作相应的加强。</w:t>
      </w:r>
    </w:p>
    <w:p w14:paraId="1229DFAE">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既有建筑加固改造的范围，应综合检测鉴定结果、产权人或委托方需求、踏勘现场情况、加固改造成本、施工难度以及对生产生活的影响等因素，对既有建筑整体结构、局部结构或构件进行加固改造设计。</w:t>
      </w:r>
    </w:p>
    <w:p w14:paraId="4B1F4084">
      <w:pPr>
        <w:keepNext w:val="0"/>
        <w:keepLines w:val="0"/>
        <w:pageBreakBefore w:val="0"/>
        <w:wordWrap/>
        <w:overflowPunct/>
        <w:topLinePunct w:val="0"/>
        <w:bidi w:val="0"/>
        <w:spacing w:line="360" w:lineRule="exact"/>
        <w:ind w:left="0" w:right="0" w:firstLine="1"/>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3.1.4</w:t>
      </w:r>
      <w:r>
        <w:rPr>
          <w:rFonts w:hint="default" w:ascii="Times New Roman" w:hAnsi="Times New Roman" w:eastAsia="宋体" w:cs="Times New Roman"/>
          <w:color w:val="auto"/>
          <w:spacing w:val="-1"/>
          <w:sz w:val="24"/>
          <w:szCs w:val="24"/>
        </w:rPr>
        <w:t xml:space="preserve"> 既有建筑加固后结构的安全等级，应</w:t>
      </w:r>
      <w:r>
        <w:rPr>
          <w:rFonts w:hint="default" w:ascii="Times New Roman" w:hAnsi="Times New Roman" w:eastAsia="宋体" w:cs="Times New Roman"/>
          <w:color w:val="auto"/>
          <w:spacing w:val="-2"/>
          <w:sz w:val="24"/>
          <w:szCs w:val="24"/>
        </w:rPr>
        <w:t>根据结构破坏后果的严重性、结构的重要性和后续工作年限，由产权人或委托方与设计方按实际情况共同商定，且不低于《工程结构通用规</w:t>
      </w:r>
      <w:r>
        <w:rPr>
          <w:rFonts w:hint="default" w:ascii="Times New Roman" w:hAnsi="Times New Roman" w:eastAsia="宋体" w:cs="Times New Roman"/>
          <w:color w:val="auto"/>
          <w:spacing w:val="-5"/>
          <w:sz w:val="24"/>
          <w:szCs w:val="24"/>
        </w:rPr>
        <w:t>范》GB</w:t>
      </w:r>
      <w:r>
        <w:rPr>
          <w:rFonts w:hint="default" w:ascii="Times New Roman" w:hAnsi="Times New Roman" w:eastAsia="宋体" w:cs="Times New Roman"/>
          <w:color w:val="auto"/>
          <w:spacing w:val="-5"/>
          <w:sz w:val="24"/>
          <w:szCs w:val="24"/>
          <w:lang w:val="en-US" w:eastAsia="zh-CN"/>
        </w:rPr>
        <w:t xml:space="preserve"> </w:t>
      </w:r>
      <w:r>
        <w:rPr>
          <w:rFonts w:hint="default" w:ascii="Times New Roman" w:hAnsi="Times New Roman" w:eastAsia="宋体" w:cs="Times New Roman"/>
          <w:color w:val="auto"/>
          <w:spacing w:val="-5"/>
          <w:sz w:val="24"/>
          <w:szCs w:val="24"/>
        </w:rPr>
        <w:t>55001的要求。</w:t>
      </w:r>
    </w:p>
    <w:p w14:paraId="46236B2D">
      <w:pPr>
        <w:keepNext w:val="0"/>
        <w:keepLines w:val="0"/>
        <w:pageBreakBefore w:val="0"/>
        <w:wordWrap/>
        <w:overflowPunct/>
        <w:topLinePunct w:val="0"/>
        <w:bidi w:val="0"/>
        <w:spacing w:line="360" w:lineRule="exact"/>
        <w:ind w:left="0" w:right="0" w:firstLine="3"/>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3.1.5</w:t>
      </w:r>
      <w:r>
        <w:rPr>
          <w:rFonts w:hint="default" w:ascii="Times New Roman" w:hAnsi="Times New Roman" w:eastAsia="宋体" w:cs="Times New Roman"/>
          <w:color w:val="auto"/>
          <w:spacing w:val="4"/>
          <w:sz w:val="24"/>
          <w:szCs w:val="24"/>
        </w:rPr>
        <w:t xml:space="preserve"> 下列改造工程</w:t>
      </w:r>
      <w:r>
        <w:rPr>
          <w:rFonts w:hint="default" w:ascii="Times New Roman" w:hAnsi="Times New Roman" w:eastAsia="宋体" w:cs="Times New Roman"/>
          <w:color w:val="auto"/>
          <w:spacing w:val="4"/>
          <w:sz w:val="24"/>
          <w:szCs w:val="24"/>
          <w:lang w:val="en-US" w:eastAsia="zh-CN"/>
        </w:rPr>
        <w:t>宜</w:t>
      </w:r>
      <w:r>
        <w:rPr>
          <w:rFonts w:hint="default" w:ascii="Times New Roman" w:hAnsi="Times New Roman" w:eastAsia="宋体" w:cs="Times New Roman"/>
          <w:color w:val="auto"/>
          <w:spacing w:val="4"/>
          <w:sz w:val="24"/>
          <w:szCs w:val="24"/>
        </w:rPr>
        <w:t>对结构加固改造方案和检</w:t>
      </w:r>
      <w:r>
        <w:rPr>
          <w:rFonts w:hint="default" w:ascii="Times New Roman" w:hAnsi="Times New Roman" w:eastAsia="宋体" w:cs="Times New Roman"/>
          <w:color w:val="auto"/>
          <w:spacing w:val="-3"/>
          <w:sz w:val="24"/>
          <w:szCs w:val="24"/>
        </w:rPr>
        <w:t>测鉴定报告进行专门研究和论证。</w:t>
      </w:r>
    </w:p>
    <w:p w14:paraId="4B72B785">
      <w:pPr>
        <w:keepNext w:val="0"/>
        <w:keepLines w:val="0"/>
        <w:pageBreakBefore w:val="0"/>
        <w:widowControl w:val="0"/>
        <w:kinsoku/>
        <w:wordWrap/>
        <w:overflowPunct/>
        <w:topLinePunct w:val="0"/>
        <w:autoSpaceDE/>
        <w:autoSpaceDN/>
        <w:bidi w:val="0"/>
        <w:adjustRightInd/>
        <w:snapToGrid/>
        <w:spacing w:line="360" w:lineRule="exact"/>
        <w:ind w:left="0" w:right="0" w:firstLine="464" w:firstLineChars="200"/>
        <w:textAlignment w:val="auto"/>
        <w:rPr>
          <w:rFonts w:hint="default" w:ascii="Times New Roman" w:hAnsi="Times New Roman" w:eastAsia="宋体" w:cs="Times New Roman"/>
          <w:strike w:val="0"/>
          <w:dstrike w:val="0"/>
          <w:color w:val="auto"/>
          <w:sz w:val="24"/>
          <w:szCs w:val="24"/>
        </w:rPr>
      </w:pPr>
      <w:r>
        <w:rPr>
          <w:rFonts w:hint="default" w:ascii="Times New Roman" w:hAnsi="Times New Roman" w:eastAsia="宋体" w:cs="Times New Roman"/>
          <w:strike w:val="0"/>
          <w:dstrike w:val="0"/>
          <w:color w:val="auto"/>
          <w:spacing w:val="-4"/>
          <w:sz w:val="24"/>
          <w:szCs w:val="24"/>
        </w:rPr>
        <w:t>1 抗震设防类别提高的改造工程。</w:t>
      </w:r>
    </w:p>
    <w:p w14:paraId="08EF711D">
      <w:pPr>
        <w:keepNext w:val="0"/>
        <w:keepLines w:val="0"/>
        <w:pageBreakBefore w:val="0"/>
        <w:widowControl w:val="0"/>
        <w:kinsoku/>
        <w:wordWrap/>
        <w:overflowPunct/>
        <w:topLinePunct w:val="0"/>
        <w:autoSpaceDE/>
        <w:autoSpaceDN/>
        <w:bidi w:val="0"/>
        <w:adjustRightInd/>
        <w:snapToGrid/>
        <w:spacing w:line="360" w:lineRule="exact"/>
        <w:ind w:left="0" w:right="0" w:firstLine="468"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3"/>
          <w:sz w:val="24"/>
          <w:szCs w:val="24"/>
        </w:rPr>
        <w:t>2 原结构体系混杂的改造工程。</w:t>
      </w:r>
    </w:p>
    <w:p w14:paraId="520DD65B">
      <w:pPr>
        <w:keepNext w:val="0"/>
        <w:keepLines w:val="0"/>
        <w:pageBreakBefore w:val="0"/>
        <w:widowControl w:val="0"/>
        <w:kinsoku/>
        <w:wordWrap/>
        <w:overflowPunct/>
        <w:topLinePunct w:val="0"/>
        <w:autoSpaceDE/>
        <w:autoSpaceDN/>
        <w:bidi w:val="0"/>
        <w:adjustRightInd/>
        <w:snapToGrid/>
        <w:spacing w:line="360" w:lineRule="exact"/>
        <w:ind w:left="0" w:right="0" w:firstLine="47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3 经过多次维修、改建、扩建、加层、插层的改造工程。</w:t>
      </w:r>
    </w:p>
    <w:p w14:paraId="25AD6CFA">
      <w:pPr>
        <w:keepNext w:val="0"/>
        <w:keepLines w:val="0"/>
        <w:pageBreakBefore w:val="0"/>
        <w:widowControl w:val="0"/>
        <w:kinsoku/>
        <w:wordWrap/>
        <w:overflowPunct/>
        <w:topLinePunct w:val="0"/>
        <w:autoSpaceDE/>
        <w:autoSpaceDN/>
        <w:bidi w:val="0"/>
        <w:adjustRightInd/>
        <w:snapToGrid/>
        <w:spacing w:line="360" w:lineRule="exact"/>
        <w:ind w:left="0" w:right="0" w:firstLine="47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4 具有历史文化价值的既有建筑的改造工程。</w:t>
      </w:r>
    </w:p>
    <w:p w14:paraId="43727604">
      <w:pPr>
        <w:keepNext w:val="0"/>
        <w:keepLines w:val="0"/>
        <w:pageBreakBefore w:val="0"/>
        <w:widowControl w:val="0"/>
        <w:kinsoku/>
        <w:wordWrap/>
        <w:overflowPunct/>
        <w:topLinePunct w:val="0"/>
        <w:autoSpaceDE/>
        <w:autoSpaceDN/>
        <w:bidi w:val="0"/>
        <w:adjustRightInd/>
        <w:snapToGrid/>
        <w:spacing w:line="360" w:lineRule="exact"/>
        <w:ind w:left="0" w:right="0" w:firstLine="47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5 采用抗震性能化设计方法进行抗震加固的改造工程。</w:t>
      </w:r>
    </w:p>
    <w:p w14:paraId="0CB6E866">
      <w:pPr>
        <w:keepNext w:val="0"/>
        <w:keepLines w:val="0"/>
        <w:pageBreakBefore w:val="0"/>
        <w:widowControl w:val="0"/>
        <w:kinsoku/>
        <w:wordWrap/>
        <w:overflowPunct/>
        <w:topLinePunct w:val="0"/>
        <w:autoSpaceDE/>
        <w:autoSpaceDN/>
        <w:bidi w:val="0"/>
        <w:adjustRightInd/>
        <w:snapToGrid/>
        <w:spacing w:line="360" w:lineRule="exact"/>
        <w:ind w:left="0" w:right="0" w:firstLine="47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6 采用新技术、新材料、新结构体系的改造工程。</w:t>
      </w:r>
    </w:p>
    <w:p w14:paraId="50A25707">
      <w:pPr>
        <w:keepNext w:val="0"/>
        <w:keepLines w:val="0"/>
        <w:pageBreakBefore w:val="0"/>
        <w:widowControl w:val="0"/>
        <w:kinsoku/>
        <w:wordWrap/>
        <w:overflowPunct/>
        <w:topLinePunct w:val="0"/>
        <w:autoSpaceDE/>
        <w:autoSpaceDN/>
        <w:bidi w:val="0"/>
        <w:adjustRightInd/>
        <w:snapToGrid/>
        <w:spacing w:line="360" w:lineRule="exact"/>
        <w:ind w:left="0" w:right="0" w:firstLine="47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7 原设计资料严重缺失、失真，需要进行现场测绘的改造工程。</w:t>
      </w:r>
    </w:p>
    <w:p w14:paraId="77999F10">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条文说明：抗震设防类别提高的改造工程，如因客观实际需要降低构造措施鉴定标准的需进行专门研究和论证。</w:t>
      </w:r>
    </w:p>
    <w:p w14:paraId="5AC675FD">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结构体系混杂指砌体结构、混凝土结构、钢结构等不同结构体系混合使用的一种特殊的结构类型。既有建筑加固改造边界条件复杂，合理的加固改造方案，需在确保结构安全的基础上，同步为产权人或委托方实现资金与时间成本的有效节约。</w:t>
      </w:r>
    </w:p>
    <w:p w14:paraId="7E551733">
      <w:pPr>
        <w:keepNext w:val="0"/>
        <w:keepLines w:val="0"/>
        <w:pageBreakBefore w:val="0"/>
        <w:wordWrap/>
        <w:overflowPunct/>
        <w:topLinePunct w:val="0"/>
        <w:bidi w:val="0"/>
        <w:spacing w:line="360" w:lineRule="exact"/>
        <w:ind w:left="0" w:right="0"/>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3.1.6</w:t>
      </w:r>
      <w:r>
        <w:rPr>
          <w:rFonts w:hint="default" w:ascii="Times New Roman" w:hAnsi="Times New Roman" w:eastAsia="宋体" w:cs="Times New Roman"/>
          <w:color w:val="auto"/>
          <w:spacing w:val="-4"/>
          <w:sz w:val="24"/>
          <w:szCs w:val="24"/>
        </w:rPr>
        <w:t xml:space="preserve"> 既有建筑结构加固改造应明确改造后的用途、使用环境和后续工作年</w:t>
      </w:r>
      <w:r>
        <w:rPr>
          <w:rFonts w:hint="default" w:ascii="Times New Roman" w:hAnsi="Times New Roman" w:eastAsia="宋体" w:cs="Times New Roman"/>
          <w:color w:val="auto"/>
          <w:spacing w:val="-5"/>
          <w:sz w:val="24"/>
          <w:szCs w:val="24"/>
        </w:rPr>
        <w:t>限，可按下列原</w:t>
      </w:r>
      <w:r>
        <w:rPr>
          <w:rFonts w:hint="default" w:ascii="Times New Roman" w:hAnsi="Times New Roman" w:eastAsia="宋体" w:cs="Times New Roman"/>
          <w:color w:val="auto"/>
          <w:spacing w:val="-14"/>
          <w:sz w:val="24"/>
          <w:szCs w:val="24"/>
        </w:rPr>
        <w:t>则确定：</w:t>
      </w:r>
    </w:p>
    <w:p w14:paraId="2434FEB3">
      <w:pPr>
        <w:keepNext w:val="0"/>
        <w:keepLines w:val="0"/>
        <w:pageBreakBefore w:val="0"/>
        <w:wordWrap/>
        <w:overflowPunct/>
        <w:topLinePunct w:val="0"/>
        <w:bidi w:val="0"/>
        <w:spacing w:line="360" w:lineRule="exact"/>
        <w:ind w:left="0" w:right="0" w:firstLine="496"/>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1 结构加固改造后的后续工作年限，应由产权人或委托方和设计单位共同商定，后续工</w:t>
      </w:r>
      <w:r>
        <w:rPr>
          <w:rFonts w:hint="default" w:ascii="Times New Roman" w:hAnsi="Times New Roman" w:eastAsia="宋体" w:cs="Times New Roman"/>
          <w:color w:val="auto"/>
          <w:spacing w:val="-1"/>
          <w:sz w:val="24"/>
          <w:szCs w:val="24"/>
        </w:rPr>
        <w:t>作年限不应低于剩余设计工作年限，整体加固改造的工程后续工作年</w:t>
      </w:r>
      <w:r>
        <w:rPr>
          <w:rFonts w:hint="default" w:ascii="Times New Roman" w:hAnsi="Times New Roman" w:eastAsia="宋体" w:cs="Times New Roman"/>
          <w:color w:val="auto"/>
          <w:spacing w:val="-2"/>
          <w:sz w:val="24"/>
          <w:szCs w:val="24"/>
        </w:rPr>
        <w:t>限不宜小于30年。</w:t>
      </w:r>
    </w:p>
    <w:p w14:paraId="7E2031D1">
      <w:pPr>
        <w:keepNext w:val="0"/>
        <w:keepLines w:val="0"/>
        <w:pageBreakBefore w:val="0"/>
        <w:wordWrap/>
        <w:overflowPunct/>
        <w:topLinePunct w:val="0"/>
        <w:bidi w:val="0"/>
        <w:spacing w:line="360" w:lineRule="exact"/>
        <w:ind w:left="0" w:right="0"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2 结构的加固材料中使用结构胶粘剂或其他聚合物成分时，其后续工作年限的确定及材料性能检验、工作状态检查应符合现行规范要求。</w:t>
      </w:r>
    </w:p>
    <w:p w14:paraId="18604265">
      <w:pPr>
        <w:keepNext w:val="0"/>
        <w:keepLines w:val="0"/>
        <w:pageBreakBefore w:val="0"/>
        <w:wordWrap/>
        <w:overflowPunct/>
        <w:topLinePunct w:val="0"/>
        <w:bidi w:val="0"/>
        <w:spacing w:line="360" w:lineRule="exact"/>
        <w:ind w:left="0" w:right="0" w:firstLine="483"/>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3 在后续工作年限内，未经技术鉴定或设计许可，不得改变加固后结构的用途和使用环境；后续工作年限到期后，当重新进行的鉴定认为该结构工作正常，仍可继续延长其工作年</w:t>
      </w:r>
      <w:r>
        <w:rPr>
          <w:rFonts w:hint="default" w:ascii="Times New Roman" w:hAnsi="Times New Roman" w:eastAsia="宋体" w:cs="Times New Roman"/>
          <w:color w:val="auto"/>
          <w:spacing w:val="-12"/>
          <w:sz w:val="24"/>
          <w:szCs w:val="24"/>
        </w:rPr>
        <w:t>限。</w:t>
      </w:r>
    </w:p>
    <w:p w14:paraId="3167F4CF">
      <w:pPr>
        <w:keepNext w:val="0"/>
        <w:keepLines w:val="0"/>
        <w:pageBreakBefore w:val="0"/>
        <w:wordWrap/>
        <w:overflowPunct/>
        <w:topLinePunct w:val="0"/>
        <w:bidi w:val="0"/>
        <w:spacing w:line="360" w:lineRule="exact"/>
        <w:ind w:left="0" w:right="0" w:firstLine="478"/>
        <w:rPr>
          <w:rFonts w:hint="default" w:ascii="Times New Roman" w:hAnsi="Times New Roman" w:eastAsia="宋体" w:cs="Times New Roman"/>
          <w:color w:val="auto"/>
          <w:spacing w:val="-6"/>
          <w:sz w:val="24"/>
          <w:szCs w:val="24"/>
        </w:rPr>
      </w:pPr>
      <w:r>
        <w:rPr>
          <w:rFonts w:hint="default" w:ascii="Times New Roman" w:hAnsi="Times New Roman" w:eastAsia="宋体" w:cs="Times New Roman"/>
          <w:color w:val="auto"/>
          <w:spacing w:val="-1"/>
          <w:sz w:val="24"/>
          <w:szCs w:val="24"/>
        </w:rPr>
        <w:t>4 既有建筑结构改造中新加结构或构件，宜按后续</w:t>
      </w:r>
      <w:r>
        <w:rPr>
          <w:rFonts w:hint="default" w:ascii="Times New Roman" w:hAnsi="Times New Roman" w:eastAsia="宋体" w:cs="Times New Roman"/>
          <w:color w:val="auto"/>
          <w:spacing w:val="-2"/>
          <w:sz w:val="24"/>
          <w:szCs w:val="24"/>
        </w:rPr>
        <w:t>工作年限50年确定其材料强度、荷</w:t>
      </w:r>
      <w:r>
        <w:rPr>
          <w:rFonts w:hint="default" w:ascii="Times New Roman" w:hAnsi="Times New Roman" w:eastAsia="宋体" w:cs="Times New Roman"/>
          <w:color w:val="auto"/>
          <w:spacing w:val="-6"/>
          <w:sz w:val="24"/>
          <w:szCs w:val="24"/>
        </w:rPr>
        <w:t>载、耐久性等。</w:t>
      </w:r>
    </w:p>
    <w:p w14:paraId="7B3906D0">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条文说明：整体加固改造当涉及延长后续工作年限，应对原结构主要材料及构件耐久性进行评估。</w:t>
      </w:r>
    </w:p>
    <w:p w14:paraId="1B543F70">
      <w:pPr>
        <w:keepNext w:val="0"/>
        <w:keepLines w:val="0"/>
        <w:pageBreakBefore w:val="0"/>
        <w:wordWrap/>
        <w:overflowPunct/>
        <w:topLinePunct w:val="0"/>
        <w:bidi w:val="0"/>
        <w:spacing w:line="360" w:lineRule="exact"/>
        <w:ind w:left="0" w:right="0" w:firstLine="4"/>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3.1.7</w:t>
      </w:r>
      <w:r>
        <w:rPr>
          <w:rFonts w:hint="default" w:ascii="Times New Roman" w:hAnsi="Times New Roman" w:eastAsia="宋体" w:cs="Times New Roman"/>
          <w:color w:val="auto"/>
          <w:spacing w:val="-2"/>
          <w:sz w:val="24"/>
          <w:szCs w:val="24"/>
        </w:rPr>
        <w:t xml:space="preserve"> 既有建筑的抗震能力应进行综合评估，结构加固改造应结</w:t>
      </w:r>
      <w:r>
        <w:rPr>
          <w:rFonts w:hint="default" w:ascii="Times New Roman" w:hAnsi="Times New Roman" w:eastAsia="宋体" w:cs="Times New Roman"/>
          <w:color w:val="auto"/>
          <w:spacing w:val="-3"/>
          <w:sz w:val="24"/>
          <w:szCs w:val="24"/>
        </w:rPr>
        <w:t>合抗震能力的提升同时进行。</w:t>
      </w:r>
      <w:r>
        <w:rPr>
          <w:rFonts w:hint="default" w:ascii="Times New Roman" w:hAnsi="Times New Roman" w:eastAsia="宋体" w:cs="Times New Roman"/>
          <w:color w:val="auto"/>
          <w:spacing w:val="-1"/>
          <w:sz w:val="24"/>
          <w:szCs w:val="24"/>
        </w:rPr>
        <w:t>抗震设计应根据结构安全性鉴定及抗震鉴定的结</w:t>
      </w:r>
      <w:r>
        <w:rPr>
          <w:rFonts w:hint="default" w:ascii="Times New Roman" w:hAnsi="Times New Roman" w:eastAsia="宋体" w:cs="Times New Roman"/>
          <w:color w:val="auto"/>
          <w:spacing w:val="-2"/>
          <w:sz w:val="24"/>
          <w:szCs w:val="24"/>
        </w:rPr>
        <w:t>果，结合建筑后续使用功能确定，并应符合</w:t>
      </w:r>
      <w:r>
        <w:rPr>
          <w:rFonts w:hint="default" w:ascii="Times New Roman" w:hAnsi="Times New Roman" w:eastAsia="宋体" w:cs="Times New Roman"/>
          <w:color w:val="auto"/>
          <w:spacing w:val="-11"/>
          <w:sz w:val="24"/>
          <w:szCs w:val="24"/>
        </w:rPr>
        <w:t>下列规定：</w:t>
      </w:r>
    </w:p>
    <w:p w14:paraId="01684747">
      <w:pPr>
        <w:keepNext w:val="0"/>
        <w:keepLines w:val="0"/>
        <w:pageBreakBefore w:val="0"/>
        <w:wordWrap/>
        <w:overflowPunct/>
        <w:topLinePunct w:val="0"/>
        <w:bidi w:val="0"/>
        <w:spacing w:line="360" w:lineRule="exact"/>
        <w:ind w:left="0" w:right="0" w:firstLine="49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4"/>
          <w:sz w:val="24"/>
          <w:szCs w:val="24"/>
        </w:rPr>
        <w:t>1 应根据既有建筑的后续使用功能和重要性</w:t>
      </w:r>
      <w:r>
        <w:rPr>
          <w:rFonts w:hint="default" w:ascii="Times New Roman" w:hAnsi="Times New Roman" w:eastAsia="宋体" w:cs="Times New Roman"/>
          <w:color w:val="auto"/>
          <w:spacing w:val="-5"/>
          <w:sz w:val="24"/>
          <w:szCs w:val="24"/>
        </w:rPr>
        <w:t>依据现行《建筑抗震设防分类标准》GB</w:t>
      </w:r>
      <w:r>
        <w:rPr>
          <w:rFonts w:hint="default" w:ascii="Times New Roman" w:hAnsi="Times New Roman" w:eastAsia="宋体" w:cs="Times New Roman"/>
          <w:color w:val="auto"/>
          <w:spacing w:val="-5"/>
          <w:sz w:val="24"/>
          <w:szCs w:val="24"/>
          <w:lang w:val="en-US" w:eastAsia="zh-CN"/>
        </w:rPr>
        <w:t xml:space="preserve"> </w:t>
      </w:r>
      <w:r>
        <w:rPr>
          <w:rFonts w:hint="default" w:ascii="Times New Roman" w:hAnsi="Times New Roman" w:eastAsia="宋体" w:cs="Times New Roman"/>
          <w:color w:val="auto"/>
          <w:spacing w:val="-5"/>
          <w:sz w:val="24"/>
          <w:szCs w:val="24"/>
        </w:rPr>
        <w:t>50223</w:t>
      </w:r>
      <w:r>
        <w:rPr>
          <w:rFonts w:hint="default" w:ascii="Times New Roman" w:hAnsi="Times New Roman" w:eastAsia="宋体" w:cs="Times New Roman"/>
          <w:color w:val="auto"/>
          <w:spacing w:val="-7"/>
          <w:sz w:val="24"/>
          <w:szCs w:val="24"/>
        </w:rPr>
        <w:t>确定抗震设防分类；</w:t>
      </w:r>
    </w:p>
    <w:p w14:paraId="627CF206">
      <w:pPr>
        <w:keepNext w:val="0"/>
        <w:keepLines w:val="0"/>
        <w:pageBreakBefore w:val="0"/>
        <w:wordWrap/>
        <w:overflowPunct/>
        <w:topLinePunct w:val="0"/>
        <w:bidi w:val="0"/>
        <w:spacing w:line="360" w:lineRule="exact"/>
        <w:ind w:left="0" w:right="0" w:firstLine="46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3"/>
          <w:sz w:val="24"/>
          <w:szCs w:val="24"/>
        </w:rPr>
        <w:t>2 应根据现行规范确定抗震设防烈度及设计地震分组，考虑到抗震加固实施的可操作性，</w:t>
      </w:r>
      <w:r>
        <w:rPr>
          <w:rFonts w:hint="default" w:ascii="Times New Roman" w:hAnsi="Times New Roman" w:eastAsia="宋体" w:cs="Times New Roman"/>
          <w:color w:val="auto"/>
          <w:spacing w:val="1"/>
          <w:sz w:val="24"/>
          <w:szCs w:val="24"/>
        </w:rPr>
        <w:t>出于政策、技术等原因，必要时允许经专项论证，采用调整前</w:t>
      </w:r>
      <w:r>
        <w:rPr>
          <w:rFonts w:hint="default" w:ascii="Times New Roman" w:hAnsi="Times New Roman" w:eastAsia="宋体" w:cs="Times New Roman"/>
          <w:color w:val="auto"/>
          <w:sz w:val="24"/>
          <w:szCs w:val="24"/>
        </w:rPr>
        <w:t>的地震动参数进行抗震鉴定；</w:t>
      </w:r>
    </w:p>
    <w:p w14:paraId="029FA16C">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抗震鉴定一般情况下应按新的地震动参数区划图要求进行抗震鉴定，考虑到陕西地区地震动参数提高后抗震加固实施的可操作性，出于政策、技术等原因，必要时允许经专项论证，采用调整前的地震动参数进行抗震鉴定，以体现既有建筑抗震鉴定与新工程抗震设计的差异。</w:t>
      </w:r>
    </w:p>
    <w:p w14:paraId="41B12366">
      <w:pPr>
        <w:keepNext w:val="0"/>
        <w:keepLines w:val="0"/>
        <w:pageBreakBefore w:val="0"/>
        <w:wordWrap/>
        <w:overflowPunct/>
        <w:topLinePunct w:val="0"/>
        <w:bidi w:val="0"/>
        <w:spacing w:line="360" w:lineRule="exact"/>
        <w:ind w:left="0" w:right="0" w:firstLine="46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3 应根据实际需要和改造预期的后续工作年限确定相应的抗震鉴</w:t>
      </w:r>
      <w:r>
        <w:rPr>
          <w:rFonts w:hint="default" w:ascii="Times New Roman" w:hAnsi="Times New Roman" w:eastAsia="宋体" w:cs="Times New Roman"/>
          <w:color w:val="auto"/>
          <w:spacing w:val="-3"/>
          <w:sz w:val="24"/>
          <w:szCs w:val="24"/>
        </w:rPr>
        <w:t>定方法；</w:t>
      </w:r>
    </w:p>
    <w:p w14:paraId="2883E664">
      <w:pPr>
        <w:keepNext w:val="0"/>
        <w:keepLines w:val="0"/>
        <w:pageBreakBefore w:val="0"/>
        <w:wordWrap/>
        <w:overflowPunct/>
        <w:topLinePunct w:val="0"/>
        <w:bidi w:val="0"/>
        <w:spacing w:line="360" w:lineRule="exact"/>
        <w:ind w:left="0" w:right="0" w:firstLine="473"/>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
          <w:sz w:val="24"/>
          <w:szCs w:val="24"/>
        </w:rPr>
        <w:t>4 应按照结构改造后的状态建立计算模型，</w:t>
      </w:r>
      <w:r>
        <w:rPr>
          <w:rFonts w:hint="default" w:ascii="Times New Roman" w:hAnsi="Times New Roman" w:eastAsia="宋体" w:cs="Times New Roman"/>
          <w:color w:val="auto"/>
          <w:spacing w:val="-2"/>
          <w:sz w:val="24"/>
          <w:szCs w:val="24"/>
        </w:rPr>
        <w:t>进行结构分析和抗震鉴定，不满足要求的原</w:t>
      </w:r>
      <w:r>
        <w:rPr>
          <w:rFonts w:hint="default" w:ascii="Times New Roman" w:hAnsi="Times New Roman" w:eastAsia="宋体" w:cs="Times New Roman"/>
          <w:color w:val="auto"/>
          <w:spacing w:val="-5"/>
          <w:sz w:val="24"/>
          <w:szCs w:val="24"/>
        </w:rPr>
        <w:t>结构应进行针对性的抗震加固；</w:t>
      </w:r>
    </w:p>
    <w:p w14:paraId="78C1F44D">
      <w:pPr>
        <w:keepNext w:val="0"/>
        <w:keepLines w:val="0"/>
        <w:pageBreakBefore w:val="0"/>
        <w:wordWrap/>
        <w:overflowPunct/>
        <w:topLinePunct w:val="0"/>
        <w:bidi w:val="0"/>
        <w:spacing w:line="360" w:lineRule="exact"/>
        <w:ind w:left="0" w:right="0"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5 应根据改造预期的后续工作年限，确定相应的设计参数和设防水准，在条件许可的情况下应适当提高房屋的抗震能力和耐久性；新增部分结构的抗震构造措施应满足现行抗震规</w:t>
      </w:r>
      <w:r>
        <w:rPr>
          <w:rFonts w:hint="default" w:ascii="Times New Roman" w:hAnsi="Times New Roman" w:eastAsia="宋体" w:cs="Times New Roman"/>
          <w:color w:val="auto"/>
          <w:spacing w:val="-8"/>
          <w:sz w:val="24"/>
          <w:szCs w:val="24"/>
        </w:rPr>
        <w:t>范的要求。</w:t>
      </w:r>
    </w:p>
    <w:p w14:paraId="1B3BB8CE">
      <w:pPr>
        <w:keepNext w:val="0"/>
        <w:keepLines w:val="0"/>
        <w:pageBreakBefore w:val="0"/>
        <w:wordWrap/>
        <w:overflowPunct/>
        <w:topLinePunct w:val="0"/>
        <w:bidi w:val="0"/>
        <w:spacing w:line="360" w:lineRule="exact"/>
        <w:ind w:left="0" w:right="0" w:hanging="1"/>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3.1.8</w:t>
      </w:r>
      <w:r>
        <w:rPr>
          <w:rFonts w:hint="default" w:ascii="Times New Roman" w:hAnsi="Times New Roman" w:eastAsia="宋体" w:cs="Times New Roman"/>
          <w:color w:val="auto"/>
          <w:spacing w:val="-2"/>
          <w:sz w:val="24"/>
          <w:szCs w:val="24"/>
        </w:rPr>
        <w:t xml:space="preserve"> 既有建筑抗震鉴定、设计应根据后续工作年限分为三类：后续工作年限为30年以内</w:t>
      </w:r>
      <w:r>
        <w:rPr>
          <w:rFonts w:hint="default" w:ascii="Times New Roman" w:hAnsi="Times New Roman" w:eastAsia="宋体" w:cs="Times New Roman"/>
          <w:color w:val="auto"/>
          <w:spacing w:val="-4"/>
          <w:sz w:val="24"/>
          <w:szCs w:val="24"/>
        </w:rPr>
        <w:t>（含30年）的建筑，简称A类建筑；后续工作年限为</w:t>
      </w:r>
      <w:r>
        <w:rPr>
          <w:rFonts w:hint="default" w:ascii="Times New Roman" w:hAnsi="Times New Roman" w:eastAsia="宋体" w:cs="Times New Roman"/>
          <w:color w:val="auto"/>
          <w:spacing w:val="-5"/>
          <w:sz w:val="24"/>
          <w:szCs w:val="24"/>
        </w:rPr>
        <w:t>30年以上40年以内（含40年）的建</w:t>
      </w:r>
      <w:r>
        <w:rPr>
          <w:rFonts w:hint="default" w:ascii="Times New Roman" w:hAnsi="Times New Roman" w:eastAsia="宋体" w:cs="Times New Roman"/>
          <w:color w:val="auto"/>
          <w:spacing w:val="-3"/>
          <w:sz w:val="24"/>
          <w:szCs w:val="24"/>
        </w:rPr>
        <w:t>筑，简称B类建筑；后续工作年限为40年以上50年以内（含50年）的建筑，简称C类建</w:t>
      </w:r>
      <w:r>
        <w:rPr>
          <w:rFonts w:hint="default" w:ascii="Times New Roman" w:hAnsi="Times New Roman" w:eastAsia="宋体" w:cs="Times New Roman"/>
          <w:color w:val="auto"/>
          <w:spacing w:val="-12"/>
          <w:sz w:val="24"/>
          <w:szCs w:val="24"/>
        </w:rPr>
        <w:t>筑。</w:t>
      </w:r>
    </w:p>
    <w:p w14:paraId="0892AF87">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条文说明：本条文的后续工作年限规定同《既有建筑鉴定与加固通用规范》GB 55021-2021第5.1.3条。《建筑抗震鉴定标准》GB 50023-2009中的“后续使用年限”是以其建造年代来确定的：1990年代之前的既有建筑其后续使用年限为30年，1990年代至2001年之间为40年，2001年之后为50年，其分别对应鉴定标准中的A类建筑（78系列抗规及其在鉴定标准中的补充）、B类建筑（89系列抗规及其在鉴定标准中的补充）、C类建筑（01系列抗规或10系列抗规）。2022年4月1日《既有建筑鉴定与加固通用规范》GB 55021-2021实施后，A、B、C类建筑的含义变化为仅包含后续工作年限的信息，不包含应选用抗震规范版本的信息。本规程建议既有建筑的后续工作年限和抗震鉴定选用抗震规范版本应分开来考虑。</w:t>
      </w:r>
    </w:p>
    <w:p w14:paraId="553161DE">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1 既有建筑加固后的后续工作年限宜由产权人或委托方和设计单位依据实际需要和实施可行性确定，不得低于剩余设计工作年限：</w:t>
      </w:r>
    </w:p>
    <w:p w14:paraId="31990AE9">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2 抗震鉴定选用抗震规范版本应根据原建造年代及其原建造时的抗震规范，按照《既有建筑鉴定与加固通用规范》GB 55021-2021、《建筑抗震鉴定标准》GB 50023-2009中的要求进行选用，根据其后续工作年限和原设计标准，可细分为二级分类，现阶段建议按以下原则采用：</w:t>
      </w:r>
    </w:p>
    <w:p w14:paraId="00EFB034">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1）1990年之前的既有建筑（按照78系列抗规及其之前设计的），后续工作年限为30年以内（含30年）（《既有建筑鉴定与加固通用规范》GB 55021的A类），对应《建筑抗震鉴定标准》GB 50023-2009中的A类建筑，可采用抗震鉴定标准中A类建筑的规定进行抗震鉴定，称为AA类建筑；后续工作年限为30年以上40年以内（不含30年、含40年）（《既有建筑鉴定与加固通用规范》GB 55021的B类），对应《建筑抗震鉴定标准》GB 50023-2009中的B类建筑，可采用抗震鉴定标准中B类建筑的规定进行抗震鉴定，称为BA类建筑；</w:t>
      </w:r>
    </w:p>
    <w:p w14:paraId="3C20BD60">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注：细分分类AA中第一个字母A表示根据后续工作年限进行的分类，第二个字母A表示根据原设计标准进行的分类。</w:t>
      </w:r>
    </w:p>
    <w:p w14:paraId="66BFD49A">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2）1990（含1990年）年至2001（含2001年）年之间的既有建筑（按照89系列抗规设计的），后续工作年限为30年以内（含30年）（《既有建筑鉴定与加固通用规范》GB 55021的A类），对应《建筑抗震鉴定标准》GB 50023-2009中的B类建筑，可采用抗震鉴定标准中B类建筑的规定进行抗震鉴定，可称为AB类建筑；后续工作年限为30年以上40年以内（不含30年、含40年）（《既有建筑鉴定与加固通用规范》GB 55021的B类），对应《建筑抗震鉴定标准》GB 50023-2009中的B类建筑，可采用抗震鉴定标准中B类建筑的规定进行抗震鉴定，可称为BB类建筑；</w:t>
      </w:r>
    </w:p>
    <w:p w14:paraId="65EA50E4">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注：抗震鉴定标准B类建筑的地震作用与现行标准水平地震影响系数最大值的0.9倍接近，且抗震措施的最低鉴定标准为B类，当最低鉴定类别和较高鉴定类别的要求接近时，宜采用较高类别进行抗震鉴定。一般情况下，抗震鉴定标准B类建筑的后续工作年限不采用30年。</w:t>
      </w:r>
    </w:p>
    <w:p w14:paraId="46DAD5CF">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3）2002（含2002年）年至2010（含2010年）年之间的既有建筑（按照01系列抗规设计的），后续工作年限为30年以内（含30年）（《既有建筑鉴定与加固通用规范》GB 55021的A类），称为AC1类建筑，以及后续工作年限为30年以上40年以内（不含30年、含40年）（《既有建筑鉴定与加固通用规范》GB 55021的B类），称为BC1类建筑，对应《建筑抗震鉴定标准》GB 50023-2009中的C类建筑，可采用01系列抗震规范进行抗震鉴定；</w:t>
      </w:r>
    </w:p>
    <w:p w14:paraId="125D3515">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注：细分分类AC1中小标1表示建造标准为01系列抗震规范，2表示10系列抗震规范。</w:t>
      </w:r>
    </w:p>
    <w:p w14:paraId="7DD4E74E">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4）2011（含2011年）年以后的既有建筑（按照10系列抗规设计的），后续工作年限为30年以上40年以内（不含30年、含40年）（《既有建筑鉴定与加固通用规范》GB 55021的B类），称为BC2类建筑，以及后续工作年限为40年以上50年以内（不含40年、不含50年）（《既有建筑鉴定与加固通用规范》GB 55021的C类），称为CC2类建筑，对应《建筑抗震鉴定标准》GB 50023-2009中的C类建筑，可采用10系列抗震规范进行抗震鉴定；</w:t>
      </w:r>
    </w:p>
    <w:p w14:paraId="43F97BD6">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注：当后续工作年限为50年时，应按国家现行有关标准的要求进行抗震鉴定；后续工作年限少于50年时，允许调低其后续工作年限，可按原建造时采用的设计标准要求进行抗震鉴定，并从严进行处理。</w:t>
      </w:r>
    </w:p>
    <w:p w14:paraId="34181863">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5）后续工作年限采用50年（《既有建筑鉴定与加固通用规范》GB 55021的C类）的既有建筑，应按现行抗震规范（《建筑抗震设计标准》GB/T 50011-2010（2024年版）和《建筑与市政工程抗震通用规范》GB 55002-2021）进行抗震鉴定。</w:t>
      </w:r>
    </w:p>
    <w:p w14:paraId="25586FAD">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3 自01系列抗震规范以后，抗规关于设防烈度的改变相对较小，会出现按照现行规范折减后的地震作用小于建造标准的情况。所以，建造标准为89规范及以前的建筑，建议根据建造年代确定后续工作年限；建造标准为01规范及以后的建筑，建议先确定地震作用和抗震措施鉴定标准后，再确定后续工作年限。</w:t>
      </w:r>
    </w:p>
    <w:p w14:paraId="4C80FD7E">
      <w:pPr>
        <w:keepNext w:val="0"/>
        <w:keepLines w:val="0"/>
        <w:pageBreakBefore w:val="0"/>
        <w:wordWrap/>
        <w:overflowPunct/>
        <w:topLinePunct w:val="0"/>
        <w:bidi w:val="0"/>
        <w:spacing w:line="360" w:lineRule="exact"/>
        <w:ind w:left="0" w:right="0" w:firstLine="5"/>
        <w:jc w:val="both"/>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3.1.9</w:t>
      </w:r>
      <w:r>
        <w:rPr>
          <w:rFonts w:hint="default" w:ascii="Times New Roman" w:hAnsi="Times New Roman" w:eastAsia="宋体" w:cs="Times New Roman"/>
          <w:color w:val="auto"/>
          <w:spacing w:val="-2"/>
          <w:sz w:val="24"/>
          <w:szCs w:val="24"/>
          <w:lang w:val="en-US" w:eastAsia="zh-CN"/>
        </w:rPr>
        <w:t xml:space="preserve"> </w:t>
      </w:r>
      <w:r>
        <w:rPr>
          <w:rFonts w:hint="default" w:ascii="Times New Roman" w:hAnsi="Times New Roman" w:eastAsia="宋体" w:cs="Times New Roman"/>
          <w:color w:val="auto"/>
          <w:spacing w:val="-2"/>
          <w:sz w:val="24"/>
          <w:szCs w:val="24"/>
        </w:rPr>
        <w:t>A类和B类建筑的抗震鉴定，可采用折减的地震作用进行抗震承载力和变形验算</w:t>
      </w:r>
      <w:r>
        <w:rPr>
          <w:rFonts w:hint="default" w:ascii="Times New Roman" w:hAnsi="Times New Roman" w:eastAsia="宋体" w:cs="Times New Roman"/>
          <w:color w:val="auto"/>
          <w:spacing w:val="-3"/>
          <w:sz w:val="24"/>
          <w:szCs w:val="24"/>
        </w:rPr>
        <w:t>，可</w:t>
      </w:r>
      <w:r>
        <w:rPr>
          <w:rFonts w:hint="default" w:ascii="Times New Roman" w:hAnsi="Times New Roman" w:eastAsia="宋体" w:cs="Times New Roman"/>
          <w:color w:val="auto"/>
          <w:sz w:val="24"/>
          <w:szCs w:val="24"/>
        </w:rPr>
        <w:t>采用现行标准调低的要求进行抗震措施的核查，但不</w:t>
      </w:r>
      <w:r>
        <w:rPr>
          <w:rFonts w:hint="default" w:ascii="Times New Roman" w:hAnsi="Times New Roman" w:eastAsia="宋体" w:cs="Times New Roman"/>
          <w:color w:val="auto"/>
          <w:spacing w:val="-1"/>
          <w:sz w:val="24"/>
          <w:szCs w:val="24"/>
        </w:rPr>
        <w:t>应低于原建造时的抗震规范要求。C类建筑，应按现行标准的要求进行抗震鉴定；当限于</w:t>
      </w:r>
      <w:r>
        <w:rPr>
          <w:rFonts w:hint="default" w:ascii="Times New Roman" w:hAnsi="Times New Roman" w:eastAsia="宋体" w:cs="Times New Roman"/>
          <w:color w:val="auto"/>
          <w:spacing w:val="-2"/>
          <w:sz w:val="24"/>
          <w:szCs w:val="24"/>
        </w:rPr>
        <w:t>技术条件，难以按现行标准执行时，允许调低其后续工作年限，并按B类建筑的要求从严进行</w:t>
      </w:r>
      <w:r>
        <w:rPr>
          <w:rFonts w:hint="default" w:ascii="Times New Roman" w:hAnsi="Times New Roman" w:eastAsia="宋体" w:cs="Times New Roman"/>
          <w:color w:val="auto"/>
          <w:spacing w:val="-3"/>
          <w:sz w:val="24"/>
          <w:szCs w:val="24"/>
        </w:rPr>
        <w:t>处理。</w:t>
      </w:r>
    </w:p>
    <w:p w14:paraId="16EB255B">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对于C类建筑，“当限于技术条件，难以按现行标准执行时，允许调低其后续工作年限，并按B类建筑的要求从严进行处理”，本规程建议后续工作年限可允许略小于50年，主体结构抗震能力验算和抗震措施鉴定按照10系列抗震规范执行，主要抗侧力构件（墙、柱、支撑等）抗震承载力可以降低5%以内，其他次要抗侧力构件（框架梁、连梁等）可以降低10%以内。但对于设防分类提高的C类建筑，一般情况下，应按现行规范执行，加固到位。</w:t>
      </w:r>
    </w:p>
    <w:p w14:paraId="639BA5AE">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本规程中出现的例如：“原建造时的抗震规范”、“原建造时的标准”等用语，是指当年设计时需执行的设计规范、标准版本（抗震规范、荷载规范等）。抗震设防烈度及地震分组应按现行抗震规范确定。</w:t>
      </w:r>
    </w:p>
    <w:p w14:paraId="0C022E91">
      <w:pPr>
        <w:keepNext w:val="0"/>
        <w:keepLines w:val="0"/>
        <w:pageBreakBefore w:val="0"/>
        <w:wordWrap/>
        <w:overflowPunct/>
        <w:topLinePunct w:val="0"/>
        <w:bidi w:val="0"/>
        <w:spacing w:line="360" w:lineRule="exact"/>
        <w:ind w:left="0" w:right="0" w:firstLine="6"/>
        <w:jc w:val="both"/>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3.1.10</w:t>
      </w:r>
      <w:r>
        <w:rPr>
          <w:rFonts w:hint="default" w:ascii="Times New Roman" w:hAnsi="Times New Roman" w:eastAsia="宋体" w:cs="Times New Roman"/>
          <w:color w:val="auto"/>
          <w:spacing w:val="1"/>
          <w:sz w:val="24"/>
          <w:szCs w:val="24"/>
        </w:rPr>
        <w:t xml:space="preserve"> 既有建筑的局部改造，应对原结构安全的影响进行综合研判，可对结构局部改造部</w:t>
      </w:r>
      <w:r>
        <w:rPr>
          <w:rFonts w:hint="default" w:ascii="Times New Roman" w:hAnsi="Times New Roman" w:eastAsia="宋体" w:cs="Times New Roman"/>
          <w:color w:val="auto"/>
          <w:spacing w:val="-1"/>
          <w:sz w:val="24"/>
          <w:szCs w:val="24"/>
        </w:rPr>
        <w:t>位及其相关结构进行安全性鉴定，加固设计不影响剩</w:t>
      </w:r>
      <w:r>
        <w:rPr>
          <w:rFonts w:hint="default" w:ascii="Times New Roman" w:hAnsi="Times New Roman" w:eastAsia="宋体" w:cs="Times New Roman"/>
          <w:color w:val="auto"/>
          <w:spacing w:val="-2"/>
          <w:sz w:val="24"/>
          <w:szCs w:val="24"/>
        </w:rPr>
        <w:t>余设计工作年限，并可按不低于原建造</w:t>
      </w:r>
      <w:r>
        <w:rPr>
          <w:rFonts w:hint="default" w:ascii="Times New Roman" w:hAnsi="Times New Roman" w:eastAsia="宋体" w:cs="Times New Roman"/>
          <w:color w:val="auto"/>
          <w:spacing w:val="-1"/>
          <w:sz w:val="24"/>
          <w:szCs w:val="24"/>
        </w:rPr>
        <w:t>时的标准进行，应确保主体结构整体牢固性，且</w:t>
      </w:r>
      <w:r>
        <w:rPr>
          <w:rFonts w:hint="default" w:ascii="Times New Roman" w:hAnsi="Times New Roman" w:eastAsia="宋体" w:cs="Times New Roman"/>
          <w:color w:val="auto"/>
          <w:spacing w:val="-2"/>
          <w:sz w:val="24"/>
          <w:szCs w:val="24"/>
        </w:rPr>
        <w:t>承载能力和抗震性能不因改造而降低。不得</w:t>
      </w:r>
      <w:r>
        <w:rPr>
          <w:rFonts w:hint="default" w:ascii="Times New Roman" w:hAnsi="Times New Roman" w:eastAsia="宋体" w:cs="Times New Roman"/>
          <w:color w:val="auto"/>
          <w:spacing w:val="-3"/>
          <w:sz w:val="24"/>
          <w:szCs w:val="24"/>
        </w:rPr>
        <w:t>将加固改造工程拆解成多个局部改造。</w:t>
      </w:r>
    </w:p>
    <w:p w14:paraId="359E11BF">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既有建筑的局部改造，一般指局部楼面水平构件增减、个别构件承载能力提升等。结合既有建筑结构的现状，经综合研判确定对原有结构的抗震能力影响很小，可仅进行结构安全性鉴定。本条文所指的局部改造，还需满足下列条件：1 不影响剩余设计工作年限；2 抗震设防类别未提高；3 主体结构体系不变；4 不涉及竖向抗侧力构件拆改、不涉及重要水平抗侧力构件（例如转换梁）拆改；5 不涉及加层、插层及扩建；6 加固后抗震单元内结构刚度和重力荷载代表值的变化分别不超过原来的10%和5%；7 房屋建设资料需齐全，与建筑结构的现状符合性较好。总之，鉴于既有建筑局部改造的不确定性和复杂性，需谨慎研判，必须对房屋建筑防倒塌的整体牢固性进行判定，并应进行专门研究和论证。</w:t>
      </w:r>
    </w:p>
    <w:p w14:paraId="631AFB77">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对于已经经历过多次改造和加固的既有建筑，其抗震单元内结构刚度和重力荷载代表值的变化应与原始结构进行比较。在设计中应充分重视多次局部加固改造对结构的不利影响，不得将加固改造工程拆解成多个局部改造，以规避对主体结构整体抗震鉴定和加固。</w:t>
      </w:r>
    </w:p>
    <w:p w14:paraId="0AD5E826">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既有建筑的局部改造，可仅取改造范围内的结构及其相关结构作为加固改造设计范围。“相关结构”是指内力可能因改造范围内的结构或荷载发生变化而随之变化的结构或构件。改造范围以外的至少不少于相邻一跨楼面结构、改造范围内的各层墙柱（至少包括改造所在楼层、相邻上一层以及下面各层的墙柱）和对应的基础均应考虑作为“相关结构”，必要时对地基承载力进行复核。</w:t>
      </w:r>
    </w:p>
    <w:p w14:paraId="36AA8EBB">
      <w:pPr>
        <w:keepNext w:val="0"/>
        <w:keepLines w:val="0"/>
        <w:pageBreakBefore w:val="0"/>
        <w:wordWrap/>
        <w:overflowPunct/>
        <w:topLinePunct w:val="0"/>
        <w:bidi w:val="0"/>
        <w:spacing w:line="360" w:lineRule="exact"/>
        <w:ind w:left="0" w:right="0"/>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3.1.11</w:t>
      </w:r>
      <w:r>
        <w:rPr>
          <w:rFonts w:hint="default" w:ascii="Times New Roman" w:hAnsi="Times New Roman" w:eastAsia="宋体" w:cs="Times New Roman"/>
          <w:color w:val="auto"/>
          <w:spacing w:val="-1"/>
          <w:sz w:val="24"/>
          <w:szCs w:val="24"/>
        </w:rPr>
        <w:t xml:space="preserve"> 城市更新中的既有建筑加固改造项目根据省市城市更新相关文件确定执</w:t>
      </w:r>
      <w:r>
        <w:rPr>
          <w:rFonts w:hint="default" w:ascii="Times New Roman" w:hAnsi="Times New Roman" w:eastAsia="宋体" w:cs="Times New Roman"/>
          <w:color w:val="auto"/>
          <w:spacing w:val="-2"/>
          <w:sz w:val="24"/>
          <w:szCs w:val="24"/>
        </w:rPr>
        <w:t>行标准。</w:t>
      </w:r>
    </w:p>
    <w:p w14:paraId="1E56F103">
      <w:pPr>
        <w:keepNext w:val="0"/>
        <w:keepLines w:val="0"/>
        <w:pageBreakBefore w:val="0"/>
        <w:wordWrap/>
        <w:overflowPunct/>
        <w:topLinePunct w:val="0"/>
        <w:bidi w:val="0"/>
        <w:spacing w:line="360" w:lineRule="exact"/>
        <w:ind w:left="0" w:right="0" w:firstLine="4"/>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3.1.12</w:t>
      </w:r>
      <w:r>
        <w:rPr>
          <w:rFonts w:hint="default" w:ascii="Times New Roman" w:hAnsi="Times New Roman" w:eastAsia="宋体" w:cs="Times New Roman"/>
          <w:color w:val="auto"/>
          <w:spacing w:val="1"/>
          <w:sz w:val="24"/>
          <w:szCs w:val="24"/>
        </w:rPr>
        <w:t xml:space="preserve"> 既有建筑为超限高层，改造后涉及新增不规则项或加重了原不规则项程度，需判断</w:t>
      </w:r>
      <w:r>
        <w:rPr>
          <w:rFonts w:hint="default" w:ascii="Times New Roman" w:hAnsi="Times New Roman" w:eastAsia="宋体" w:cs="Times New Roman"/>
          <w:color w:val="auto"/>
          <w:spacing w:val="-1"/>
          <w:sz w:val="24"/>
          <w:szCs w:val="24"/>
        </w:rPr>
        <w:t>其对结构的影响程度，影响较大时应进行超限高</w:t>
      </w:r>
      <w:r>
        <w:rPr>
          <w:rFonts w:hint="default" w:ascii="Times New Roman" w:hAnsi="Times New Roman" w:eastAsia="宋体" w:cs="Times New Roman"/>
          <w:color w:val="auto"/>
          <w:spacing w:val="-2"/>
          <w:sz w:val="24"/>
          <w:szCs w:val="24"/>
        </w:rPr>
        <w:t>层抗震设防专项审查。对于未经过超限高层</w:t>
      </w:r>
      <w:r>
        <w:rPr>
          <w:rFonts w:hint="default" w:ascii="Times New Roman" w:hAnsi="Times New Roman" w:eastAsia="宋体" w:cs="Times New Roman"/>
          <w:color w:val="auto"/>
          <w:spacing w:val="-1"/>
          <w:sz w:val="24"/>
          <w:szCs w:val="24"/>
        </w:rPr>
        <w:t>抗震专项审查的高层既有建筑，按改造后方</w:t>
      </w:r>
      <w:r>
        <w:rPr>
          <w:rFonts w:hint="default" w:ascii="Times New Roman" w:hAnsi="Times New Roman" w:eastAsia="宋体" w:cs="Times New Roman"/>
          <w:color w:val="auto"/>
          <w:spacing w:val="-2"/>
          <w:sz w:val="24"/>
          <w:szCs w:val="24"/>
        </w:rPr>
        <w:t>案进行超限判定，当界定属于超限高层时，应进</w:t>
      </w:r>
      <w:r>
        <w:rPr>
          <w:rFonts w:hint="default" w:ascii="Times New Roman" w:hAnsi="Times New Roman" w:eastAsia="宋体" w:cs="Times New Roman"/>
          <w:color w:val="auto"/>
          <w:spacing w:val="-3"/>
          <w:sz w:val="24"/>
          <w:szCs w:val="24"/>
        </w:rPr>
        <w:t>行超限高层抗震设防专项审查。</w:t>
      </w:r>
    </w:p>
    <w:p w14:paraId="094A2130">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1997年12月23日建设部颁布《超限高层建筑工程抗震设防管理暂行规定》（建设部令第59号)，并于2002年9月1日正式实施《超限高层建筑工程抗震设防管理规定》（建设部令第111号），要求超限高层在初步设计阶段进行抗震设防专项审查行政许可。</w:t>
      </w:r>
    </w:p>
    <w:p w14:paraId="154F53C4">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1998年之前建造的、没有经过超限高层抗震专项审查的高层既有建筑，改造后方案如界定为超限高层，在施工图审查之前应进行超限高层抗震设防专项审查。既有建筑原非超限高层，改造后方案如出现高度超限或规则性超限，在施工图审查之前也应进行超限高层抗震设防专项审查。</w:t>
      </w:r>
    </w:p>
    <w:p w14:paraId="1861C2C2">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1998年及以后建造的高层建筑，应按照现行规范规定的抗震设防烈度及房屋高度，根据建造年代实施的超限高层建筑工程抗震设防管理和技术文件分别依照表3.1.1</w:t>
      </w:r>
      <w:r>
        <w:rPr>
          <w:rFonts w:hint="eastAsia" w:ascii="仿宋" w:hAnsi="仿宋" w:eastAsia="仿宋" w:cs="仿宋"/>
          <w:b w:val="0"/>
          <w:bCs w:val="0"/>
          <w:color w:val="0070C0"/>
          <w:spacing w:val="0"/>
          <w:sz w:val="24"/>
          <w:szCs w:val="24"/>
          <w:lang w:val="en-US" w:eastAsia="zh-CN"/>
        </w:rPr>
        <w:t>2</w:t>
      </w:r>
      <w:r>
        <w:rPr>
          <w:rFonts w:hint="default" w:ascii="仿宋" w:hAnsi="仿宋" w:eastAsia="仿宋" w:cs="仿宋"/>
          <w:b w:val="0"/>
          <w:bCs w:val="0"/>
          <w:color w:val="0070C0"/>
          <w:spacing w:val="0"/>
          <w:sz w:val="24"/>
          <w:szCs w:val="24"/>
          <w:lang w:val="en-US" w:eastAsia="zh-CN"/>
        </w:rPr>
        <w:t>中的相关规定，结合所采用的结构体系，判断其是否属于高度超限高层建筑工程。</w:t>
      </w:r>
    </w:p>
    <w:p w14:paraId="1C909470">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对于是否需要进行超限高层抗震设防专项审查无法把握时，设计单位可以咨询省级行政主管部门，以省级行政主管部门的意见为准。</w:t>
      </w:r>
    </w:p>
    <w:p w14:paraId="2BD8855A">
      <w:pPr>
        <w:keepNext w:val="0"/>
        <w:keepLines w:val="0"/>
        <w:pageBreakBefore w:val="0"/>
        <w:wordWrap/>
        <w:overflowPunct/>
        <w:topLinePunct w:val="0"/>
        <w:bidi w:val="0"/>
        <w:spacing w:line="360" w:lineRule="exact"/>
        <w:ind w:left="0" w:right="0"/>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3.1.13</w:t>
      </w:r>
      <w:r>
        <w:rPr>
          <w:rFonts w:hint="default" w:ascii="Times New Roman" w:hAnsi="Times New Roman" w:eastAsia="宋体" w:cs="Times New Roman"/>
          <w:color w:val="auto"/>
          <w:spacing w:val="-2"/>
          <w:sz w:val="24"/>
          <w:szCs w:val="24"/>
        </w:rPr>
        <w:t xml:space="preserve"> 对于下列情形的既有建筑，</w:t>
      </w:r>
      <w:r>
        <w:rPr>
          <w:rFonts w:hint="default" w:ascii="Times New Roman" w:hAnsi="Times New Roman" w:eastAsia="宋体" w:cs="Times New Roman"/>
          <w:color w:val="auto"/>
          <w:spacing w:val="-3"/>
          <w:sz w:val="24"/>
          <w:szCs w:val="24"/>
        </w:rPr>
        <w:t>不适合进行改造设计：</w:t>
      </w:r>
    </w:p>
    <w:p w14:paraId="77864007">
      <w:pPr>
        <w:keepNext w:val="0"/>
        <w:keepLines w:val="0"/>
        <w:pageBreakBefore w:val="0"/>
        <w:widowControl w:val="0"/>
        <w:kinsoku/>
        <w:wordWrap/>
        <w:overflowPunct/>
        <w:topLinePunct w:val="0"/>
        <w:autoSpaceDE/>
        <w:autoSpaceDN/>
        <w:bidi w:val="0"/>
        <w:adjustRightInd/>
        <w:snapToGrid/>
        <w:spacing w:line="360" w:lineRule="exact"/>
        <w:ind w:left="0" w:right="0" w:firstLine="47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1 既有结构的承载力严重不足，且可能导致改造过程中</w:t>
      </w:r>
      <w:r>
        <w:rPr>
          <w:rFonts w:hint="default" w:ascii="Times New Roman" w:hAnsi="Times New Roman" w:eastAsia="宋体" w:cs="Times New Roman"/>
          <w:color w:val="auto"/>
          <w:spacing w:val="-3"/>
          <w:sz w:val="24"/>
          <w:szCs w:val="24"/>
        </w:rPr>
        <w:t>难以预防的失稳或坍塌；</w:t>
      </w:r>
    </w:p>
    <w:p w14:paraId="6592224A">
      <w:pPr>
        <w:keepNext w:val="0"/>
        <w:keepLines w:val="0"/>
        <w:pageBreakBefore w:val="0"/>
        <w:widowControl w:val="0"/>
        <w:kinsoku/>
        <w:wordWrap/>
        <w:overflowPunct/>
        <w:topLinePunct w:val="0"/>
        <w:autoSpaceDE/>
        <w:autoSpaceDN/>
        <w:bidi w:val="0"/>
        <w:adjustRightInd/>
        <w:snapToGrid/>
        <w:spacing w:line="360" w:lineRule="exact"/>
        <w:ind w:left="0" w:right="0" w:firstLine="47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2 既有结构由于受损严重而出现随时倒塌的险情，且险情</w:t>
      </w:r>
      <w:r>
        <w:rPr>
          <w:rFonts w:hint="default" w:ascii="Times New Roman" w:hAnsi="Times New Roman" w:eastAsia="宋体" w:cs="Times New Roman"/>
          <w:color w:val="auto"/>
          <w:spacing w:val="-3"/>
          <w:sz w:val="24"/>
          <w:szCs w:val="24"/>
        </w:rPr>
        <w:t>尚未排除；</w:t>
      </w:r>
    </w:p>
    <w:p w14:paraId="2E193651">
      <w:pPr>
        <w:keepNext w:val="0"/>
        <w:keepLines w:val="0"/>
        <w:pageBreakBefore w:val="0"/>
        <w:widowControl w:val="0"/>
        <w:kinsoku/>
        <w:wordWrap/>
        <w:overflowPunct/>
        <w:topLinePunct w:val="0"/>
        <w:autoSpaceDE/>
        <w:autoSpaceDN/>
        <w:bidi w:val="0"/>
        <w:adjustRightInd/>
        <w:snapToGrid/>
        <w:spacing w:line="360" w:lineRule="exact"/>
        <w:ind w:left="0" w:right="0" w:firstLine="47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3 既有结构由于地基基础变形而开裂或倾斜、存在倒塌的危险，且险情尚未排除；</w:t>
      </w:r>
    </w:p>
    <w:p w14:paraId="409B0FCD">
      <w:pPr>
        <w:keepNext w:val="0"/>
        <w:keepLines w:val="0"/>
        <w:pageBreakBefore w:val="0"/>
        <w:widowControl w:val="0"/>
        <w:kinsoku/>
        <w:wordWrap/>
        <w:overflowPunct/>
        <w:topLinePunct w:val="0"/>
        <w:autoSpaceDE/>
        <w:autoSpaceDN/>
        <w:bidi w:val="0"/>
        <w:adjustRightInd/>
        <w:snapToGrid/>
        <w:spacing w:line="360" w:lineRule="exact"/>
        <w:ind w:left="0" w:right="0" w:firstLine="47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4 可能在改造过程中发生难以预防的失稳或坍塌的其它情形。</w:t>
      </w:r>
    </w:p>
    <w:p w14:paraId="5FE0D552">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条文说明：有些建筑物不具备基本的改造条件、改造过程的安全风险太高。从改造过程的结构安全考虑，本条提出不适合改造设计的几种情形。</w:t>
      </w:r>
    </w:p>
    <w:p w14:paraId="2552F884">
      <w:pPr>
        <w:keepNext w:val="0"/>
        <w:keepLines w:val="0"/>
        <w:pageBreakBefore w:val="0"/>
        <w:wordWrap/>
        <w:overflowPunct/>
        <w:topLinePunct w:val="0"/>
        <w:bidi w:val="0"/>
        <w:spacing w:line="360" w:lineRule="exact"/>
        <w:ind w:left="0" w:right="0" w:firstLine="1"/>
        <w:jc w:val="both"/>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3.1.14</w:t>
      </w:r>
      <w:r>
        <w:rPr>
          <w:rFonts w:hint="default" w:ascii="Times New Roman" w:hAnsi="Times New Roman" w:eastAsia="宋体" w:cs="Times New Roman"/>
          <w:color w:val="auto"/>
          <w:spacing w:val="1"/>
          <w:sz w:val="24"/>
          <w:szCs w:val="24"/>
        </w:rPr>
        <w:t xml:space="preserve"> 既有结构的加固设计应紧密结合现场条件，比选确定加固方法和施工工法，采取有</w:t>
      </w:r>
      <w:r>
        <w:rPr>
          <w:rFonts w:hint="default" w:ascii="Times New Roman" w:hAnsi="Times New Roman" w:eastAsia="宋体" w:cs="Times New Roman"/>
          <w:color w:val="auto"/>
          <w:spacing w:val="-2"/>
          <w:sz w:val="24"/>
          <w:szCs w:val="24"/>
        </w:rPr>
        <w:t>效措施保证新增构件及部件与原结构连接可靠，新增截面与原截面结合牢固，形成整体共同</w:t>
      </w:r>
      <w:r>
        <w:rPr>
          <w:rFonts w:hint="default" w:ascii="Times New Roman" w:hAnsi="Times New Roman" w:eastAsia="宋体" w:cs="Times New Roman"/>
          <w:color w:val="auto"/>
          <w:spacing w:val="-1"/>
          <w:sz w:val="24"/>
          <w:szCs w:val="24"/>
        </w:rPr>
        <w:t>工作；不应对未加固部分，以及相关的结构、构件和</w:t>
      </w:r>
      <w:r>
        <w:rPr>
          <w:rFonts w:hint="default" w:ascii="Times New Roman" w:hAnsi="Times New Roman" w:eastAsia="宋体" w:cs="Times New Roman"/>
          <w:color w:val="auto"/>
          <w:spacing w:val="-2"/>
          <w:sz w:val="24"/>
          <w:szCs w:val="24"/>
        </w:rPr>
        <w:t>地基基础造成不利的影响。</w:t>
      </w:r>
    </w:p>
    <w:p w14:paraId="34FC2EDB">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设计人员也应现场踏勘，结合现场条件，比选确定符合现场实际情况的加固方法和施工工法。设计人员如果仅仅是“照本宣科”完全依据检测鉴定报告和原始图纸资料进行建模计算，在不熟悉现场实际情况下，会导致加固施工图设计图纸对现场施工的指导作用产生较大偏差，与现场实际情况存在脱节，也不能因地制宜提出最合理的加固方法，造成设计反复和大量变更。</w:t>
      </w:r>
    </w:p>
    <w:p w14:paraId="484D2B3C">
      <w:pPr>
        <w:keepNext w:val="0"/>
        <w:keepLines w:val="0"/>
        <w:pageBreakBefore w:val="0"/>
        <w:wordWrap/>
        <w:overflowPunct/>
        <w:topLinePunct w:val="0"/>
        <w:bidi w:val="0"/>
        <w:spacing w:line="360" w:lineRule="exact"/>
        <w:ind w:left="0" w:right="0"/>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3.1.15</w:t>
      </w:r>
      <w:r>
        <w:rPr>
          <w:rFonts w:hint="default" w:ascii="Times New Roman" w:hAnsi="Times New Roman" w:eastAsia="宋体" w:cs="Times New Roman"/>
          <w:color w:val="auto"/>
          <w:sz w:val="24"/>
          <w:szCs w:val="24"/>
        </w:rPr>
        <w:t xml:space="preserve"> 既有建筑结构改造时，新设基础应考虑其对原基础及相邻周边既有建筑基础的影响。</w:t>
      </w:r>
      <w:r>
        <w:rPr>
          <w:rFonts w:hint="default" w:ascii="Times New Roman" w:hAnsi="Times New Roman" w:eastAsia="宋体" w:cs="Times New Roman"/>
          <w:color w:val="auto"/>
          <w:spacing w:val="-2"/>
          <w:sz w:val="24"/>
          <w:szCs w:val="24"/>
        </w:rPr>
        <w:t>除应满足地基承载力要求外，必要时还应按变形协调原则进行地基变形验算，同时应评估新</w:t>
      </w:r>
      <w:r>
        <w:rPr>
          <w:rFonts w:hint="default" w:ascii="Times New Roman" w:hAnsi="Times New Roman" w:eastAsia="宋体" w:cs="Times New Roman"/>
          <w:color w:val="auto"/>
          <w:spacing w:val="-3"/>
          <w:sz w:val="24"/>
          <w:szCs w:val="24"/>
        </w:rPr>
        <w:t>设基础施工对既有建筑地基的影响。</w:t>
      </w:r>
    </w:p>
    <w:p w14:paraId="6A261DA2">
      <w:pPr>
        <w:keepNext w:val="0"/>
        <w:keepLines w:val="0"/>
        <w:pageBreakBefore w:val="0"/>
        <w:wordWrap/>
        <w:overflowPunct/>
        <w:topLinePunct w:val="0"/>
        <w:bidi w:val="0"/>
        <w:spacing w:line="360" w:lineRule="exact"/>
        <w:ind w:left="0" w:right="0" w:firstLine="4"/>
        <w:jc w:val="both"/>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3.1.16</w:t>
      </w:r>
      <w:r>
        <w:rPr>
          <w:rFonts w:hint="default" w:ascii="Times New Roman" w:hAnsi="Times New Roman" w:eastAsia="宋体" w:cs="Times New Roman"/>
          <w:color w:val="auto"/>
          <w:spacing w:val="1"/>
          <w:sz w:val="24"/>
          <w:szCs w:val="24"/>
        </w:rPr>
        <w:t xml:space="preserve"> 对高温、高湿、低温、冻融、化学腐蚀、振动、温度应力、收缩应力、地基不均匀</w:t>
      </w:r>
      <w:r>
        <w:rPr>
          <w:rFonts w:hint="default" w:ascii="Times New Roman" w:hAnsi="Times New Roman" w:eastAsia="宋体" w:cs="Times New Roman"/>
          <w:color w:val="auto"/>
          <w:spacing w:val="-3"/>
          <w:sz w:val="24"/>
          <w:szCs w:val="24"/>
        </w:rPr>
        <w:t>沉降等影响因素引起的原结构损坏，应在加固设计中根据检测鉴定结果提出有效的整治对策，并应按设计规定的顺序进行治理和加固。</w:t>
      </w:r>
    </w:p>
    <w:p w14:paraId="1F673734">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由高温、高湿、冻融、冷脆、腐蚀、振动、温度应力、收缩应力、地基不均匀沉降等原因造成的结构损坏，在加固时，应采取有效的治理对策，从源头上消除或限制其有害的作用。与此同时，尚应正确把握处理的时机，使之不致对加固后的结构重新造成损坏。就一般概念而言，通常应先治理后加固，但也有一些治理措施可能需在加固后采取。因此，在加固设计时，应合理地安排好治理与加固的工作顺序，以使这些有害因素不至于复萌，保证加固后结构的安全和正常使用。</w:t>
      </w:r>
    </w:p>
    <w:p w14:paraId="67783FE4">
      <w:pPr>
        <w:keepNext w:val="0"/>
        <w:keepLines w:val="0"/>
        <w:pageBreakBefore w:val="0"/>
        <w:wordWrap/>
        <w:overflowPunct/>
        <w:topLinePunct w:val="0"/>
        <w:bidi w:val="0"/>
        <w:spacing w:line="360" w:lineRule="exact"/>
        <w:ind w:left="0" w:right="0" w:firstLine="3"/>
        <w:rPr>
          <w:rFonts w:hint="default" w:ascii="Times New Roman" w:hAnsi="Times New Roman" w:eastAsia="宋体" w:cs="Times New Roman"/>
          <w:color w:val="auto"/>
          <w:spacing w:val="-2"/>
          <w:sz w:val="24"/>
          <w:szCs w:val="24"/>
        </w:rPr>
      </w:pPr>
      <w:r>
        <w:rPr>
          <w:rFonts w:hint="default" w:ascii="Times New Roman" w:hAnsi="Times New Roman" w:eastAsia="宋体" w:cs="Times New Roman"/>
          <w:b/>
          <w:bCs/>
          <w:color w:val="auto"/>
          <w:sz w:val="24"/>
          <w:szCs w:val="24"/>
          <w:lang w:val="en-US" w:eastAsia="zh-CN"/>
        </w:rPr>
        <w:t>3.1.17</w:t>
      </w:r>
      <w:r>
        <w:rPr>
          <w:rFonts w:hint="default" w:ascii="Times New Roman" w:hAnsi="Times New Roman" w:eastAsia="宋体" w:cs="Times New Roman"/>
          <w:color w:val="auto"/>
          <w:spacing w:val="1"/>
          <w:sz w:val="24"/>
          <w:szCs w:val="24"/>
        </w:rPr>
        <w:t xml:space="preserve"> 对加固过程中可能出现倾斜、失稳、过大变形或坍塌的结构，应在加固设计文件中</w:t>
      </w:r>
      <w:r>
        <w:rPr>
          <w:rFonts w:hint="default" w:ascii="Times New Roman" w:hAnsi="Times New Roman" w:eastAsia="宋体" w:cs="Times New Roman"/>
          <w:color w:val="auto"/>
          <w:spacing w:val="-2"/>
          <w:sz w:val="24"/>
          <w:szCs w:val="24"/>
        </w:rPr>
        <w:t>提出相应的临时性安全措施，并明确要求施工单位应严格执行。</w:t>
      </w:r>
    </w:p>
    <w:p w14:paraId="23112B20">
      <w:pPr>
        <w:keepNext w:val="0"/>
        <w:keepLines w:val="0"/>
        <w:pageBreakBefore w:val="0"/>
        <w:wordWrap/>
        <w:overflowPunct/>
        <w:topLinePunct w:val="0"/>
        <w:bidi w:val="0"/>
        <w:spacing w:line="360" w:lineRule="exact"/>
        <w:ind w:left="0" w:right="0" w:firstLine="3"/>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b/>
          <w:bCs/>
          <w:color w:val="auto"/>
          <w:sz w:val="24"/>
          <w:szCs w:val="24"/>
          <w:lang w:val="en-US" w:eastAsia="zh-CN"/>
        </w:rPr>
        <w:t>3.1.18</w:t>
      </w:r>
      <w:r>
        <w:rPr>
          <w:rFonts w:hint="default" w:ascii="Times New Roman" w:hAnsi="Times New Roman" w:eastAsia="宋体" w:cs="Times New Roman"/>
          <w:color w:val="auto"/>
          <w:spacing w:val="-2"/>
          <w:sz w:val="24"/>
          <w:szCs w:val="24"/>
          <w:lang w:val="en-US" w:eastAsia="zh-CN"/>
        </w:rPr>
        <w:t xml:space="preserve"> 既有建筑结构修缮，是对存在安全隐患的结构缺陷进行加固、修补等专项处理。经结构修缮后，其承载能力及抗震性能不应因结构修缮而降低。</w:t>
      </w:r>
    </w:p>
    <w:p w14:paraId="7A82197B">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混凝土结构构件出现混凝土疏松、破损、蜂窝麻面、露筋、严重碳化等缺陷应进行修复处理；钢结构构件出现防火、防腐材料脱落、锈蚀、构件缺陷等，砌体结构出现砂浆风化、墙体局部破损、裂缝等，应进行加固、修补等专项处理。构件修缮后不降低其承载能力，不影响整体结构抗震性能。</w:t>
      </w:r>
    </w:p>
    <w:p w14:paraId="79D247D4">
      <w:pPr>
        <w:keepNext w:val="0"/>
        <w:keepLines w:val="0"/>
        <w:pageBreakBefore w:val="0"/>
        <w:wordWrap/>
        <w:overflowPunct/>
        <w:topLinePunct w:val="0"/>
        <w:bidi w:val="0"/>
        <w:spacing w:line="360" w:lineRule="exact"/>
        <w:ind w:left="0" w:right="0" w:firstLine="4"/>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3.1.19</w:t>
      </w:r>
      <w:r>
        <w:rPr>
          <w:rFonts w:hint="default" w:ascii="Times New Roman" w:hAnsi="Times New Roman" w:eastAsia="宋体" w:cs="Times New Roman"/>
          <w:color w:val="auto"/>
          <w:spacing w:val="1"/>
          <w:sz w:val="24"/>
          <w:szCs w:val="24"/>
        </w:rPr>
        <w:t xml:space="preserve"> 设计单位应当在设计文件中注明既有建筑加固改造中涉及危大工程的重点部位和环</w:t>
      </w:r>
      <w:r>
        <w:rPr>
          <w:rFonts w:hint="default" w:ascii="Times New Roman" w:hAnsi="Times New Roman" w:eastAsia="宋体" w:cs="Times New Roman"/>
          <w:color w:val="auto"/>
          <w:spacing w:val="-1"/>
          <w:sz w:val="24"/>
          <w:szCs w:val="24"/>
        </w:rPr>
        <w:t>节，提出保障工程周边环境安全和工程施工安全的意见，必</w:t>
      </w:r>
      <w:r>
        <w:rPr>
          <w:rFonts w:hint="default" w:ascii="Times New Roman" w:hAnsi="Times New Roman" w:eastAsia="宋体" w:cs="Times New Roman"/>
          <w:color w:val="auto"/>
          <w:spacing w:val="-2"/>
          <w:sz w:val="24"/>
          <w:szCs w:val="24"/>
        </w:rPr>
        <w:t>要时进行专项设计。</w:t>
      </w:r>
    </w:p>
    <w:p w14:paraId="281736E8">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根据《危险性较大的分部分项工程安全管理规定》（2018年建设部令第37号公布、2019年建设部令第47号修改）、《住房城乡建设部办公厅关于实施&lt;危险性较大的分部分项工程安全管理规定&gt;有关问题的通知》（建办质〔2018〕31号文）的相关规定制定本条款。</w:t>
      </w:r>
    </w:p>
    <w:p w14:paraId="612A4C11">
      <w:pPr>
        <w:keepNext w:val="0"/>
        <w:keepLines w:val="0"/>
        <w:pageBreakBefore w:val="0"/>
        <w:wordWrap/>
        <w:overflowPunct/>
        <w:topLinePunct w:val="0"/>
        <w:bidi w:val="0"/>
        <w:spacing w:line="360" w:lineRule="exact"/>
        <w:ind w:left="0" w:right="0" w:firstLine="5"/>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3.1.20</w:t>
      </w:r>
      <w:r>
        <w:rPr>
          <w:rFonts w:hint="default" w:ascii="Times New Roman" w:hAnsi="Times New Roman" w:eastAsia="宋体" w:cs="Times New Roman"/>
          <w:color w:val="auto"/>
          <w:sz w:val="24"/>
          <w:szCs w:val="24"/>
        </w:rPr>
        <w:t xml:space="preserve"> 既有建筑结构的检测、鉴定、设计前，应搜集岩土工程勘察报告、设计技术文件、</w:t>
      </w:r>
      <w:r>
        <w:rPr>
          <w:rFonts w:hint="default" w:ascii="Times New Roman" w:hAnsi="Times New Roman" w:eastAsia="宋体" w:cs="Times New Roman"/>
          <w:color w:val="auto"/>
          <w:spacing w:val="-1"/>
          <w:sz w:val="24"/>
          <w:szCs w:val="24"/>
        </w:rPr>
        <w:t>施工和竣工验收的相关原始资料等；当资料缺</w:t>
      </w:r>
      <w:r>
        <w:rPr>
          <w:rFonts w:hint="default" w:ascii="Times New Roman" w:hAnsi="Times New Roman" w:eastAsia="宋体" w:cs="Times New Roman"/>
          <w:color w:val="auto"/>
          <w:spacing w:val="-2"/>
          <w:sz w:val="24"/>
          <w:szCs w:val="24"/>
        </w:rPr>
        <w:t>失或与现场不符时应根据鉴定和加固设计的需</w:t>
      </w:r>
      <w:r>
        <w:rPr>
          <w:rFonts w:hint="default" w:ascii="Times New Roman" w:hAnsi="Times New Roman" w:eastAsia="宋体" w:cs="Times New Roman"/>
          <w:color w:val="auto"/>
          <w:spacing w:val="-4"/>
          <w:sz w:val="24"/>
          <w:szCs w:val="24"/>
        </w:rPr>
        <w:t>求进行补充实测，补充勘察应满足《岩土工程勘察规范》GB</w:t>
      </w:r>
      <w:r>
        <w:rPr>
          <w:rFonts w:hint="default" w:ascii="Times New Roman" w:hAnsi="Times New Roman" w:eastAsia="宋体" w:cs="Times New Roman"/>
          <w:color w:val="auto"/>
          <w:spacing w:val="-4"/>
          <w:sz w:val="24"/>
          <w:szCs w:val="24"/>
          <w:lang w:val="en-US" w:eastAsia="zh-CN"/>
        </w:rPr>
        <w:t xml:space="preserve"> </w:t>
      </w:r>
      <w:r>
        <w:rPr>
          <w:rFonts w:hint="default" w:ascii="Times New Roman" w:hAnsi="Times New Roman" w:eastAsia="宋体" w:cs="Times New Roman"/>
          <w:color w:val="auto"/>
          <w:spacing w:val="-4"/>
          <w:sz w:val="24"/>
          <w:szCs w:val="24"/>
        </w:rPr>
        <w:t>50021-2001（2009年版）第4.11</w:t>
      </w:r>
      <w:r>
        <w:rPr>
          <w:rFonts w:hint="default" w:ascii="Times New Roman" w:hAnsi="Times New Roman" w:eastAsia="宋体" w:cs="Times New Roman"/>
          <w:color w:val="auto"/>
          <w:spacing w:val="-3"/>
          <w:sz w:val="24"/>
          <w:szCs w:val="24"/>
        </w:rPr>
        <w:t>节“既有建筑物的增载和保护”的相关规定。</w:t>
      </w:r>
    </w:p>
    <w:p w14:paraId="4ADAFBF5">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工程竣工图纸和建筑历次加固改造竣工图纸是鉴定和设计最重要的基础资料和依据，其完整性和准确性对鉴定和设计的过程及其成果、结构安全有直接关系。鉴定、设计人员应在了解需求后及时向产权人或委托方说明所需的基础资料，并在开始鉴定、设计前收集完整。</w:t>
      </w:r>
    </w:p>
    <w:p w14:paraId="2E4A4DCE">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当既有建筑的工程图纸和资料齐全，且不怀疑其真实性和有效性时，可仅进行验证性检查和检测。当结构存在资料缺失或失真现象时，应重点以现场详细核查和检测作为依据绘制既有建筑现状测绘图和复原图，保证结构鉴定与加固设计的可靠性。</w:t>
      </w:r>
    </w:p>
    <w:p w14:paraId="66DB7884">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当加固改造设计涉及地基基础，缺乏岩土工程勘察报告，或者原岩土工程勘察报告不能满足设计要求时，应补充进行岩土工程勘察。</w:t>
      </w:r>
    </w:p>
    <w:p w14:paraId="7A0CB5FE">
      <w:pPr>
        <w:keepNext w:val="0"/>
        <w:keepLines w:val="0"/>
        <w:pageBreakBefore w:val="0"/>
        <w:wordWrap/>
        <w:overflowPunct/>
        <w:topLinePunct w:val="0"/>
        <w:bidi w:val="0"/>
        <w:spacing w:line="360" w:lineRule="exact"/>
        <w:ind w:left="0" w:right="0"/>
        <w:rPr>
          <w:rFonts w:hint="default" w:ascii="Times New Roman" w:hAnsi="Times New Roman" w:eastAsia="宋体" w:cs="Times New Roman"/>
          <w:color w:val="auto"/>
          <w:sz w:val="24"/>
          <w:szCs w:val="24"/>
        </w:rPr>
        <w:sectPr>
          <w:footerReference r:id="rId10" w:type="default"/>
          <w:pgSz w:w="11912" w:h="16841"/>
          <w:pgMar w:top="1431" w:right="977" w:bottom="1297" w:left="1306" w:header="0" w:footer="1137" w:gutter="0"/>
          <w:cols w:space="720" w:num="1"/>
        </w:sectPr>
      </w:pPr>
    </w:p>
    <w:p w14:paraId="20421554">
      <w:pPr>
        <w:pStyle w:val="3"/>
        <w:bidi w:val="0"/>
        <w:rPr>
          <w:rFonts w:hint="default"/>
        </w:rPr>
      </w:pPr>
      <w:bookmarkStart w:id="13" w:name="bookmark10"/>
      <w:bookmarkEnd w:id="13"/>
      <w:bookmarkStart w:id="14" w:name="bookmark9"/>
      <w:bookmarkEnd w:id="14"/>
      <w:bookmarkStart w:id="15" w:name="_Toc651"/>
      <w:r>
        <w:rPr>
          <w:rFonts w:hint="default"/>
        </w:rPr>
        <w:t>3.2 设计原则</w:t>
      </w:r>
      <w:bookmarkEnd w:id="15"/>
    </w:p>
    <w:p w14:paraId="0B87B7D0">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3.2.1</w:t>
      </w:r>
      <w:r>
        <w:rPr>
          <w:rFonts w:hint="default" w:ascii="Times New Roman" w:hAnsi="Times New Roman" w:eastAsia="宋体" w:cs="Times New Roman"/>
          <w:color w:val="auto"/>
          <w:spacing w:val="-3"/>
          <w:sz w:val="24"/>
          <w:szCs w:val="24"/>
        </w:rPr>
        <w:t xml:space="preserve"> 既有建筑的鉴定与加固应符合下列规定：</w:t>
      </w:r>
    </w:p>
    <w:p w14:paraId="76B5598B">
      <w:pPr>
        <w:keepNext w:val="0"/>
        <w:keepLines w:val="0"/>
        <w:pageBreakBefore w:val="0"/>
        <w:widowControl w:val="0"/>
        <w:kinsoku/>
        <w:wordWrap/>
        <w:overflowPunct/>
        <w:topLinePunct w:val="0"/>
        <w:autoSpaceDE/>
        <w:autoSpaceDN/>
        <w:bidi w:val="0"/>
        <w:adjustRightInd/>
        <w:snapToGrid/>
        <w:spacing w:line="360" w:lineRule="exact"/>
        <w:ind w:left="0" w:right="0" w:firstLine="473"/>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1 既有建筑的鉴定，一般情况下，应同时进行安全性鉴定和抗震鉴定。</w:t>
      </w:r>
    </w:p>
    <w:p w14:paraId="50C0034D">
      <w:pPr>
        <w:keepNext w:val="0"/>
        <w:keepLines w:val="0"/>
        <w:pageBreakBefore w:val="0"/>
        <w:widowControl w:val="0"/>
        <w:kinsoku/>
        <w:wordWrap/>
        <w:overflowPunct/>
        <w:topLinePunct w:val="0"/>
        <w:autoSpaceDE/>
        <w:autoSpaceDN/>
        <w:bidi w:val="0"/>
        <w:adjustRightInd/>
        <w:snapToGrid/>
        <w:spacing w:line="360" w:lineRule="exact"/>
        <w:ind w:left="0" w:right="0" w:firstLine="473"/>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2 既有建筑的加固应进行承载能力加固和抗震能力加固，且应以修复建筑物安全使用功</w:t>
      </w:r>
      <w:r>
        <w:rPr>
          <w:rFonts w:hint="default" w:ascii="Times New Roman" w:hAnsi="Times New Roman" w:eastAsia="宋体" w:cs="Times New Roman"/>
          <w:color w:val="auto"/>
          <w:spacing w:val="-4"/>
          <w:sz w:val="24"/>
          <w:szCs w:val="24"/>
        </w:rPr>
        <w:t>能、延长其工作年限为目标。</w:t>
      </w:r>
    </w:p>
    <w:p w14:paraId="673E7C20">
      <w:pPr>
        <w:keepNext w:val="0"/>
        <w:keepLines w:val="0"/>
        <w:pageBreakBefore w:val="0"/>
        <w:widowControl w:val="0"/>
        <w:kinsoku/>
        <w:wordWrap/>
        <w:overflowPunct/>
        <w:topLinePunct w:val="0"/>
        <w:autoSpaceDE/>
        <w:autoSpaceDN/>
        <w:bidi w:val="0"/>
        <w:adjustRightInd/>
        <w:snapToGrid/>
        <w:spacing w:line="360" w:lineRule="exact"/>
        <w:ind w:left="0" w:right="0" w:firstLine="477"/>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3 既有建筑应满足防倒塌的整体牢固性，以及紧急状态时人员从建筑中撤离等安全性应</w:t>
      </w:r>
      <w:r>
        <w:rPr>
          <w:rFonts w:hint="default" w:ascii="Times New Roman" w:hAnsi="Times New Roman" w:eastAsia="宋体" w:cs="Times New Roman"/>
          <w:color w:val="auto"/>
          <w:spacing w:val="-8"/>
          <w:sz w:val="24"/>
          <w:szCs w:val="24"/>
        </w:rPr>
        <w:t>急功能要求。</w:t>
      </w:r>
    </w:p>
    <w:p w14:paraId="6C26D4C7">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本条对既有建筑的鉴定和加固进行了总体规定，将既有建筑鉴定分为在永久荷载和可变荷载作用下承载能力的安全性鉴定和在地震作用下的抗震能力鉴定；将既有建筑加固分为承载能力加固和抗震加固。部分既有建筑可只进行安全性鉴定，详见本规程第4.1.3条。此外，本规程要求专业技术人员在承担结构鉴定与加固时，应对该承重结构的整体牢固性进行检查与评估，以确定是否需作相应加强；同时，应保证既有建筑在紧急状态和灾害作用（如火灾等）下的安全性，以使进出既有建筑的人员安全撤离。</w:t>
      </w:r>
    </w:p>
    <w:p w14:paraId="5DABF84E">
      <w:pPr>
        <w:keepNext w:val="0"/>
        <w:keepLines w:val="0"/>
        <w:pageBreakBefore w:val="0"/>
        <w:widowControl w:val="0"/>
        <w:kinsoku/>
        <w:wordWrap/>
        <w:overflowPunct/>
        <w:topLinePunct w:val="0"/>
        <w:autoSpaceDE/>
        <w:autoSpaceDN/>
        <w:bidi w:val="0"/>
        <w:adjustRightInd/>
        <w:snapToGrid/>
        <w:spacing w:line="360" w:lineRule="exact"/>
        <w:ind w:left="0" w:right="0" w:firstLine="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3.2.2</w:t>
      </w:r>
      <w:r>
        <w:rPr>
          <w:rFonts w:hint="default" w:ascii="Times New Roman" w:hAnsi="Times New Roman" w:eastAsia="宋体" w:cs="Times New Roman"/>
          <w:color w:val="auto"/>
          <w:spacing w:val="-5"/>
          <w:sz w:val="24"/>
          <w:szCs w:val="24"/>
        </w:rPr>
        <w:t xml:space="preserve"> 结构鉴定、加固设计采用的结构分析</w:t>
      </w:r>
      <w:r>
        <w:rPr>
          <w:rFonts w:hint="default" w:ascii="Times New Roman" w:hAnsi="Times New Roman" w:eastAsia="宋体" w:cs="Times New Roman"/>
          <w:color w:val="auto"/>
          <w:spacing w:val="-6"/>
          <w:sz w:val="24"/>
          <w:szCs w:val="24"/>
        </w:rPr>
        <w:t>方法，一般情况下，应符合现行国家相关标准要</w:t>
      </w:r>
      <w:r>
        <w:rPr>
          <w:rFonts w:hint="default" w:ascii="Times New Roman" w:hAnsi="Times New Roman" w:eastAsia="宋体" w:cs="Times New Roman"/>
          <w:color w:val="auto"/>
          <w:spacing w:val="-12"/>
          <w:sz w:val="24"/>
          <w:szCs w:val="24"/>
        </w:rPr>
        <w:t>求。</w:t>
      </w:r>
    </w:p>
    <w:p w14:paraId="265828D4">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条文说明：一般情况下，混凝土结构加固设计应符合现行国家标准《混凝土结构设计标准》GB/T 50010及《混凝土结构加固设计规范》GB 50367的有关规定；钢结构加固设计应符合现行国家标准《钢结构设计标准》GB 50017及《钢结构加固设计标准》GB 51367的有关规定；砌体结构加固设计应符合现行国家标准《砌体结构设计规范》GB 50003及《砌体结构加固设计规范》GB 50702的有关规定。特殊情况下，可以采用不低于原建造时的标准，例如本规程第3.2.3-1、3.2.3-2条中的相关规定。</w:t>
      </w:r>
    </w:p>
    <w:p w14:paraId="6AC278FF">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3.2.3</w:t>
      </w:r>
      <w:r>
        <w:rPr>
          <w:rFonts w:hint="default" w:ascii="Times New Roman" w:hAnsi="Times New Roman" w:eastAsia="宋体" w:cs="Times New Roman"/>
          <w:color w:val="auto"/>
          <w:spacing w:val="-1"/>
          <w:sz w:val="24"/>
          <w:szCs w:val="24"/>
        </w:rPr>
        <w:t xml:space="preserve"> 既有建筑鉴定和加固设计时，构件的</w:t>
      </w:r>
      <w:r>
        <w:rPr>
          <w:rFonts w:hint="default" w:ascii="Times New Roman" w:hAnsi="Times New Roman" w:eastAsia="宋体" w:cs="Times New Roman"/>
          <w:color w:val="auto"/>
          <w:spacing w:val="-2"/>
          <w:sz w:val="24"/>
          <w:szCs w:val="24"/>
        </w:rPr>
        <w:t>承载能力验算和结构的抗震能力验算，应符合下</w:t>
      </w:r>
      <w:r>
        <w:rPr>
          <w:rFonts w:hint="default" w:ascii="Times New Roman" w:hAnsi="Times New Roman" w:eastAsia="宋体" w:cs="Times New Roman"/>
          <w:color w:val="auto"/>
          <w:spacing w:val="-14"/>
          <w:sz w:val="24"/>
          <w:szCs w:val="24"/>
        </w:rPr>
        <w:t>列规定：</w:t>
      </w:r>
    </w:p>
    <w:p w14:paraId="4DBA3EA3">
      <w:pPr>
        <w:keepNext w:val="0"/>
        <w:keepLines w:val="0"/>
        <w:pageBreakBefore w:val="0"/>
        <w:widowControl w:val="0"/>
        <w:kinsoku/>
        <w:wordWrap/>
        <w:overflowPunct/>
        <w:topLinePunct w:val="0"/>
        <w:autoSpaceDE/>
        <w:autoSpaceDN/>
        <w:bidi w:val="0"/>
        <w:adjustRightInd/>
        <w:snapToGrid/>
        <w:spacing w:line="360" w:lineRule="exact"/>
        <w:ind w:left="0" w:right="0" w:firstLine="496"/>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5"/>
          <w:sz w:val="24"/>
          <w:szCs w:val="24"/>
        </w:rPr>
        <w:t>1 当为鉴定原结构、构件在剩余设计工作年限内的安全性时，应按不低于原建造时的荷</w:t>
      </w:r>
      <w:r>
        <w:rPr>
          <w:rFonts w:hint="default" w:ascii="Times New Roman" w:hAnsi="Times New Roman" w:eastAsia="宋体" w:cs="Times New Roman"/>
          <w:color w:val="auto"/>
          <w:spacing w:val="-2"/>
          <w:sz w:val="24"/>
          <w:szCs w:val="24"/>
        </w:rPr>
        <w:t>载规范和设计规范进行验算；如原结构、构件出现过与永久荷载和可变荷载相关的较大变形或损伤，则相关性能指标应按现行规范与标准的规定进行验算。</w:t>
      </w:r>
    </w:p>
    <w:p w14:paraId="4070593A">
      <w:pPr>
        <w:keepNext w:val="0"/>
        <w:keepLines w:val="0"/>
        <w:pageBreakBefore w:val="0"/>
        <w:widowControl w:val="0"/>
        <w:kinsoku/>
        <w:wordWrap/>
        <w:overflowPunct/>
        <w:topLinePunct w:val="0"/>
        <w:autoSpaceDE/>
        <w:autoSpaceDN/>
        <w:bidi w:val="0"/>
        <w:adjustRightInd/>
        <w:snapToGrid/>
        <w:spacing w:line="360" w:lineRule="exact"/>
        <w:ind w:left="0" w:right="0" w:firstLine="483"/>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6"/>
          <w:sz w:val="24"/>
          <w:szCs w:val="24"/>
        </w:rPr>
        <w:t>2 当为结构加固、改变用途或延长工作年限的目的而鉴定原结构、构件的安全性时，应</w:t>
      </w:r>
      <w:r>
        <w:rPr>
          <w:rFonts w:hint="default" w:ascii="Times New Roman" w:hAnsi="Times New Roman" w:eastAsia="宋体" w:cs="Times New Roman"/>
          <w:color w:val="auto"/>
          <w:spacing w:val="-1"/>
          <w:sz w:val="24"/>
          <w:szCs w:val="24"/>
        </w:rPr>
        <w:t>在调查结构上实际作用的荷载及拟新增荷载的</w:t>
      </w:r>
      <w:r>
        <w:rPr>
          <w:rFonts w:hint="default" w:ascii="Times New Roman" w:hAnsi="Times New Roman" w:eastAsia="宋体" w:cs="Times New Roman"/>
          <w:color w:val="auto"/>
          <w:spacing w:val="-2"/>
          <w:sz w:val="24"/>
          <w:szCs w:val="24"/>
        </w:rPr>
        <w:t>基础上，一般情况下，按现行规范与标准的规</w:t>
      </w:r>
      <w:r>
        <w:rPr>
          <w:rFonts w:hint="default" w:ascii="Times New Roman" w:hAnsi="Times New Roman" w:eastAsia="宋体" w:cs="Times New Roman"/>
          <w:color w:val="auto"/>
          <w:spacing w:val="-6"/>
          <w:sz w:val="24"/>
          <w:szCs w:val="24"/>
        </w:rPr>
        <w:t>定进行验算。对于不改变现有使用功能的既有建筑改造项目，为避免对结构构件大量的加固，当条件不具备、执行现行规范确有困难时，应不低于原建造时的标准，并在设计说明中予以</w:t>
      </w:r>
      <w:r>
        <w:rPr>
          <w:rFonts w:hint="default" w:ascii="Times New Roman" w:hAnsi="Times New Roman" w:eastAsia="宋体" w:cs="Times New Roman"/>
          <w:color w:val="auto"/>
          <w:spacing w:val="-7"/>
          <w:sz w:val="24"/>
          <w:szCs w:val="24"/>
        </w:rPr>
        <w:t>明确说明。</w:t>
      </w:r>
    </w:p>
    <w:p w14:paraId="0D9E3AB1">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条文说明：以上两条是在永久荷载和可变荷载作用下承载能力安全性鉴定和承载能力加固的要求。对“改变用途”的理解可以主要关注结构荷载的变化（不含规范升版导致的可变荷载取值的变化）。</w:t>
      </w:r>
    </w:p>
    <w:p w14:paraId="3822F39A">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对“不低于原建造时的荷载规范和设计规范”以及“不低于原建造时的标准”的底线要求，本规程建议同时不低于89系列规范的相关要求。</w:t>
      </w:r>
    </w:p>
    <w:p w14:paraId="13E6E291">
      <w:pPr>
        <w:keepNext w:val="0"/>
        <w:keepLines w:val="0"/>
        <w:pageBreakBefore w:val="0"/>
        <w:widowControl w:val="0"/>
        <w:kinsoku/>
        <w:wordWrap/>
        <w:overflowPunct/>
        <w:topLinePunct w:val="0"/>
        <w:autoSpaceDE/>
        <w:autoSpaceDN/>
        <w:bidi w:val="0"/>
        <w:adjustRightInd/>
        <w:snapToGrid/>
        <w:spacing w:line="360" w:lineRule="exact"/>
        <w:ind w:left="0" w:right="0" w:firstLine="48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3 采用的计算模型，应符合结构的实际受力和构造状况；必要时可计入由温度和变形产</w:t>
      </w:r>
      <w:r>
        <w:rPr>
          <w:rFonts w:hint="default" w:ascii="Times New Roman" w:hAnsi="Times New Roman" w:eastAsia="宋体" w:cs="Times New Roman"/>
          <w:color w:val="auto"/>
          <w:spacing w:val="-3"/>
          <w:sz w:val="24"/>
          <w:szCs w:val="24"/>
        </w:rPr>
        <w:t>生的附加内力，相关参数、系数按下列规定取用：</w:t>
      </w:r>
    </w:p>
    <w:p w14:paraId="2315FC45">
      <w:pPr>
        <w:keepNext w:val="0"/>
        <w:keepLines w:val="0"/>
        <w:pageBreakBefore w:val="0"/>
        <w:widowControl w:val="0"/>
        <w:kinsoku/>
        <w:wordWrap/>
        <w:overflowPunct/>
        <w:topLinePunct w:val="0"/>
        <w:autoSpaceDE/>
        <w:autoSpaceDN/>
        <w:bidi w:val="0"/>
        <w:adjustRightInd/>
        <w:snapToGrid/>
        <w:spacing w:line="360" w:lineRule="exact"/>
        <w:ind w:left="0" w:right="0" w:firstLine="731"/>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7"/>
          <w:sz w:val="24"/>
          <w:szCs w:val="24"/>
        </w:rPr>
        <w:t>1）结构、构件的几何参数，对原有部分应根据检测报告实测值和原设计值综合确定，</w:t>
      </w:r>
      <w:r>
        <w:rPr>
          <w:rFonts w:hint="default" w:ascii="Times New Roman" w:hAnsi="Times New Roman" w:eastAsia="宋体" w:cs="Times New Roman"/>
          <w:color w:val="auto"/>
          <w:spacing w:val="-2"/>
          <w:sz w:val="24"/>
          <w:szCs w:val="24"/>
        </w:rPr>
        <w:t>并应计入相关不利影响；对新增部分，可采用加固设计文件给出</w:t>
      </w:r>
      <w:r>
        <w:rPr>
          <w:rFonts w:hint="default" w:ascii="Times New Roman" w:hAnsi="Times New Roman" w:eastAsia="宋体" w:cs="Times New Roman"/>
          <w:color w:val="auto"/>
          <w:spacing w:val="-3"/>
          <w:sz w:val="24"/>
          <w:szCs w:val="24"/>
        </w:rPr>
        <w:t>的设计值；</w:t>
      </w:r>
    </w:p>
    <w:p w14:paraId="211F5B76">
      <w:pPr>
        <w:keepNext w:val="0"/>
        <w:keepLines w:val="0"/>
        <w:pageBreakBefore w:val="0"/>
        <w:widowControl w:val="0"/>
        <w:kinsoku/>
        <w:wordWrap/>
        <w:overflowPunct/>
        <w:topLinePunct w:val="0"/>
        <w:autoSpaceDE/>
        <w:autoSpaceDN/>
        <w:bidi w:val="0"/>
        <w:adjustRightInd/>
        <w:snapToGrid/>
        <w:spacing w:line="360" w:lineRule="exact"/>
        <w:ind w:left="0" w:right="0" w:firstLine="723"/>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
          <w:sz w:val="24"/>
          <w:szCs w:val="24"/>
        </w:rPr>
        <w:t>2）原结构、构件材料的混凝土强度等级和受力钢筋强度取值应按下列规定取值：当</w:t>
      </w:r>
      <w:r>
        <w:rPr>
          <w:rFonts w:hint="default" w:ascii="Times New Roman" w:hAnsi="Times New Roman" w:eastAsia="宋体" w:cs="Times New Roman"/>
          <w:color w:val="auto"/>
          <w:spacing w:val="-1"/>
          <w:sz w:val="24"/>
          <w:szCs w:val="24"/>
        </w:rPr>
        <w:t>原设计文件有效，且不怀疑结构有严重的性能退</w:t>
      </w:r>
      <w:r>
        <w:rPr>
          <w:rFonts w:hint="default" w:ascii="Times New Roman" w:hAnsi="Times New Roman" w:eastAsia="宋体" w:cs="Times New Roman"/>
          <w:color w:val="auto"/>
          <w:spacing w:val="-2"/>
          <w:sz w:val="24"/>
          <w:szCs w:val="24"/>
        </w:rPr>
        <w:t>化时，可采用原设计的标准值或设计值；当</w:t>
      </w:r>
      <w:r>
        <w:rPr>
          <w:rFonts w:hint="default" w:ascii="Times New Roman" w:hAnsi="Times New Roman" w:eastAsia="宋体" w:cs="Times New Roman"/>
          <w:color w:val="auto"/>
          <w:spacing w:val="-1"/>
          <w:sz w:val="24"/>
          <w:szCs w:val="24"/>
        </w:rPr>
        <w:t>结构鉴定认为应重新进行现场检测时，应采用</w:t>
      </w:r>
      <w:r>
        <w:rPr>
          <w:rFonts w:hint="default" w:ascii="Times New Roman" w:hAnsi="Times New Roman" w:eastAsia="宋体" w:cs="Times New Roman"/>
          <w:color w:val="auto"/>
          <w:spacing w:val="-2"/>
          <w:sz w:val="24"/>
          <w:szCs w:val="24"/>
        </w:rPr>
        <w:t>检测结果推定的标准值或钢材的屈服强度或条</w:t>
      </w:r>
      <w:r>
        <w:rPr>
          <w:rFonts w:hint="default" w:ascii="Times New Roman" w:hAnsi="Times New Roman" w:eastAsia="宋体" w:cs="Times New Roman"/>
          <w:color w:val="auto"/>
          <w:spacing w:val="-2"/>
          <w:sz w:val="24"/>
          <w:szCs w:val="24"/>
          <w:lang w:val="en-US" w:eastAsia="zh-CN"/>
        </w:rPr>
        <w:t>件</w:t>
      </w:r>
      <w:r>
        <w:rPr>
          <w:rFonts w:hint="default" w:ascii="Times New Roman" w:hAnsi="Times New Roman" w:eastAsia="宋体" w:cs="Times New Roman"/>
          <w:color w:val="auto"/>
          <w:spacing w:val="-1"/>
          <w:sz w:val="24"/>
          <w:szCs w:val="24"/>
        </w:rPr>
        <w:t>屈服点进行确定；当原构件混凝土强度等级的检</w:t>
      </w:r>
      <w:r>
        <w:rPr>
          <w:rFonts w:hint="default" w:ascii="Times New Roman" w:hAnsi="Times New Roman" w:eastAsia="宋体" w:cs="Times New Roman"/>
          <w:color w:val="auto"/>
          <w:spacing w:val="-2"/>
          <w:sz w:val="24"/>
          <w:szCs w:val="24"/>
        </w:rPr>
        <w:t>测受实际条件限制而无法取芯时，可采用</w:t>
      </w:r>
      <w:r>
        <w:rPr>
          <w:rFonts w:hint="default" w:ascii="Times New Roman" w:hAnsi="Times New Roman" w:eastAsia="宋体" w:cs="Times New Roman"/>
          <w:color w:val="auto"/>
          <w:spacing w:val="-5"/>
          <w:sz w:val="24"/>
          <w:szCs w:val="24"/>
        </w:rPr>
        <w:t>回弹法检测，但其强度换算值应按《混凝土结构加固设计规范》GB</w:t>
      </w:r>
      <w:r>
        <w:rPr>
          <w:rFonts w:hint="default" w:ascii="Times New Roman" w:hAnsi="Times New Roman" w:eastAsia="宋体" w:cs="Times New Roman"/>
          <w:color w:val="auto"/>
          <w:spacing w:val="-5"/>
          <w:sz w:val="24"/>
          <w:szCs w:val="24"/>
          <w:lang w:val="en-US" w:eastAsia="zh-CN"/>
        </w:rPr>
        <w:t xml:space="preserve"> </w:t>
      </w:r>
      <w:r>
        <w:rPr>
          <w:rFonts w:hint="default" w:ascii="Times New Roman" w:hAnsi="Times New Roman" w:eastAsia="宋体" w:cs="Times New Roman"/>
          <w:color w:val="auto"/>
          <w:spacing w:val="-5"/>
          <w:sz w:val="24"/>
          <w:szCs w:val="24"/>
        </w:rPr>
        <w:t>50367相关规定（附录</w:t>
      </w:r>
      <w:r>
        <w:rPr>
          <w:rFonts w:hint="default" w:ascii="Times New Roman" w:hAnsi="Times New Roman" w:eastAsia="宋体" w:cs="Times New Roman"/>
          <w:color w:val="auto"/>
          <w:spacing w:val="-6"/>
          <w:sz w:val="24"/>
          <w:szCs w:val="24"/>
        </w:rPr>
        <w:t>B）</w:t>
      </w:r>
      <w:r>
        <w:rPr>
          <w:rFonts w:hint="default" w:ascii="Times New Roman" w:hAnsi="Times New Roman" w:eastAsia="宋体" w:cs="Times New Roman"/>
          <w:color w:val="auto"/>
          <w:spacing w:val="-3"/>
          <w:sz w:val="24"/>
          <w:szCs w:val="24"/>
        </w:rPr>
        <w:t>的规定进行龄期修正，且仅可用于结构的加固设计；</w:t>
      </w:r>
    </w:p>
    <w:p w14:paraId="3E67F783">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条文说明：原混凝土强度等级和受力钢筋强度取值，当采用现场检测结果推定时，一般情况下，不应超过原设计取值。</w:t>
      </w:r>
    </w:p>
    <w:p w14:paraId="5157F89A">
      <w:pPr>
        <w:keepNext w:val="0"/>
        <w:keepLines w:val="0"/>
        <w:pageBreakBefore w:val="0"/>
        <w:widowControl w:val="0"/>
        <w:kinsoku/>
        <w:wordWrap/>
        <w:overflowPunct/>
        <w:topLinePunct w:val="0"/>
        <w:autoSpaceDE/>
        <w:autoSpaceDN/>
        <w:bidi w:val="0"/>
        <w:adjustRightInd/>
        <w:snapToGrid/>
        <w:spacing w:line="360" w:lineRule="exact"/>
        <w:ind w:left="0" w:right="0" w:firstLine="72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
          <w:sz w:val="24"/>
          <w:szCs w:val="24"/>
        </w:rPr>
        <w:t>3）结构上的作用，应经调查或检测核实，加固时应按现行国家标准的规定和要求确</w:t>
      </w:r>
      <w:r>
        <w:rPr>
          <w:rFonts w:hint="default" w:ascii="Times New Roman" w:hAnsi="Times New Roman" w:eastAsia="宋体" w:cs="Times New Roman"/>
          <w:color w:val="auto"/>
          <w:spacing w:val="-1"/>
          <w:sz w:val="24"/>
          <w:szCs w:val="24"/>
        </w:rPr>
        <w:t>定其标准值和代表值，对于作用于结构上的可变</w:t>
      </w:r>
      <w:r>
        <w:rPr>
          <w:rFonts w:hint="default" w:ascii="Times New Roman" w:hAnsi="Times New Roman" w:eastAsia="宋体" w:cs="Times New Roman"/>
          <w:color w:val="auto"/>
          <w:spacing w:val="-2"/>
          <w:sz w:val="24"/>
          <w:szCs w:val="24"/>
        </w:rPr>
        <w:t>荷载，可考虑</w:t>
      </w:r>
      <w:r>
        <w:rPr>
          <w:rFonts w:hint="default" w:ascii="Times New Roman" w:hAnsi="Times New Roman" w:eastAsia="宋体" w:cs="Times New Roman"/>
          <w:color w:val="auto"/>
          <w:spacing w:val="-2"/>
          <w:sz w:val="24"/>
          <w:szCs w:val="24"/>
          <w:lang w:eastAsia="zh-CN"/>
        </w:rPr>
        <w:t>后续工作</w:t>
      </w:r>
      <w:r>
        <w:rPr>
          <w:rFonts w:hint="default" w:ascii="Times New Roman" w:hAnsi="Times New Roman" w:eastAsia="宋体" w:cs="Times New Roman"/>
          <w:color w:val="auto"/>
          <w:spacing w:val="-2"/>
          <w:sz w:val="24"/>
          <w:szCs w:val="24"/>
        </w:rPr>
        <w:t>年限对楼面活荷载作</w:t>
      </w:r>
      <w:r>
        <w:rPr>
          <w:rFonts w:hint="default" w:ascii="Times New Roman" w:hAnsi="Times New Roman" w:eastAsia="宋体" w:cs="Times New Roman"/>
          <w:color w:val="auto"/>
          <w:spacing w:val="-4"/>
          <w:sz w:val="24"/>
          <w:szCs w:val="24"/>
        </w:rPr>
        <w:t>调整；</w:t>
      </w:r>
    </w:p>
    <w:p w14:paraId="414BF20A">
      <w:pPr>
        <w:keepNext w:val="0"/>
        <w:keepLines w:val="0"/>
        <w:pageBreakBefore w:val="0"/>
        <w:widowControl w:val="0"/>
        <w:kinsoku/>
        <w:wordWrap/>
        <w:overflowPunct/>
        <w:topLinePunct w:val="0"/>
        <w:autoSpaceDE/>
        <w:autoSpaceDN/>
        <w:bidi w:val="0"/>
        <w:adjustRightInd/>
        <w:snapToGrid/>
        <w:spacing w:line="360" w:lineRule="exact"/>
        <w:ind w:left="0" w:right="0" w:firstLine="719"/>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
          <w:sz w:val="24"/>
          <w:szCs w:val="24"/>
        </w:rPr>
        <w:t>4）作用组合的效应设计值和组合值系数以及作用的分项系数，可以采用不低于原建</w:t>
      </w:r>
      <w:r>
        <w:rPr>
          <w:rFonts w:hint="default" w:ascii="Times New Roman" w:hAnsi="Times New Roman" w:eastAsia="宋体" w:cs="Times New Roman"/>
          <w:color w:val="auto"/>
          <w:spacing w:val="-1"/>
          <w:sz w:val="24"/>
          <w:szCs w:val="24"/>
        </w:rPr>
        <w:t>造时的标准确定，并应考虑由于实际荷载偏心、结</w:t>
      </w:r>
      <w:r>
        <w:rPr>
          <w:rFonts w:hint="default" w:ascii="Times New Roman" w:hAnsi="Times New Roman" w:eastAsia="宋体" w:cs="Times New Roman"/>
          <w:color w:val="auto"/>
          <w:spacing w:val="-2"/>
          <w:sz w:val="24"/>
          <w:szCs w:val="24"/>
        </w:rPr>
        <w:t>构变形、温度作用等造成的附加内力。对</w:t>
      </w:r>
      <w:r>
        <w:rPr>
          <w:rFonts w:hint="default" w:ascii="Times New Roman" w:hAnsi="Times New Roman" w:eastAsia="宋体" w:cs="Times New Roman"/>
          <w:color w:val="auto"/>
          <w:spacing w:val="-1"/>
          <w:sz w:val="24"/>
          <w:szCs w:val="24"/>
        </w:rPr>
        <w:t>于经鉴定需要加固的构件和新增构件，作用分项系数的取值宜按现行</w:t>
      </w:r>
      <w:r>
        <w:rPr>
          <w:rFonts w:hint="default" w:ascii="Times New Roman" w:hAnsi="Times New Roman" w:eastAsia="宋体" w:cs="Times New Roman"/>
          <w:color w:val="auto"/>
          <w:spacing w:val="-2"/>
          <w:sz w:val="24"/>
          <w:szCs w:val="24"/>
        </w:rPr>
        <w:t>国家标准确定。</w:t>
      </w:r>
    </w:p>
    <w:p w14:paraId="43E8D2F6">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对于鉴定中进行复核性验算时，可变荷载经调查或检测核实后，为避免因规范升版导致的可变荷载或分项系数取值的提高，造成大面积加固，可变荷载和作用的分项系数可以采用不低于原建造时的标准取值。对于经鉴定需要加固的构件以及新增构件，构件的加固设计应提高其可靠性、加固到位，可变荷载和作用分项系数的取值宜符合现行标准的规定。</w:t>
      </w:r>
    </w:p>
    <w:p w14:paraId="62D8263B">
      <w:pPr>
        <w:keepNext w:val="0"/>
        <w:keepLines w:val="0"/>
        <w:pageBreakBefore w:val="0"/>
        <w:widowControl w:val="0"/>
        <w:kinsoku/>
        <w:wordWrap/>
        <w:overflowPunct/>
        <w:topLinePunct w:val="0"/>
        <w:autoSpaceDE/>
        <w:autoSpaceDN/>
        <w:bidi w:val="0"/>
        <w:adjustRightInd/>
        <w:snapToGrid/>
        <w:spacing w:line="360" w:lineRule="exact"/>
        <w:ind w:left="0" w:right="0" w:firstLine="478"/>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4 对既有建筑主体结构的抗震能力进行验算时，应通过现场详细调查、检查、检测或监</w:t>
      </w:r>
      <w:r>
        <w:rPr>
          <w:rFonts w:hint="default" w:ascii="Times New Roman" w:hAnsi="Times New Roman" w:eastAsia="宋体" w:cs="Times New Roman"/>
          <w:color w:val="auto"/>
          <w:spacing w:val="-1"/>
          <w:sz w:val="24"/>
          <w:szCs w:val="24"/>
        </w:rPr>
        <w:t>测取得主体结构的有关参数，应根据后续工作</w:t>
      </w:r>
      <w:r>
        <w:rPr>
          <w:rFonts w:hint="default" w:ascii="Times New Roman" w:hAnsi="Times New Roman" w:eastAsia="宋体" w:cs="Times New Roman"/>
          <w:color w:val="auto"/>
          <w:spacing w:val="-2"/>
          <w:sz w:val="24"/>
          <w:szCs w:val="24"/>
        </w:rPr>
        <w:t>年限，按照设防烈度、场地类别、设计地震分组、结构自振周期以及阻尼比确定地震影响系数。</w:t>
      </w:r>
    </w:p>
    <w:p w14:paraId="33E0A340">
      <w:pPr>
        <w:keepNext w:val="0"/>
        <w:keepLines w:val="0"/>
        <w:pageBreakBefore w:val="0"/>
        <w:widowControl w:val="0"/>
        <w:kinsoku/>
        <w:wordWrap/>
        <w:overflowPunct/>
        <w:topLinePunct w:val="0"/>
        <w:autoSpaceDE/>
        <w:autoSpaceDN/>
        <w:bidi w:val="0"/>
        <w:adjustRightInd/>
        <w:snapToGrid/>
        <w:spacing w:line="360" w:lineRule="exact"/>
        <w:ind w:left="0" w:right="0" w:firstLine="48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5"/>
          <w:sz w:val="24"/>
          <w:szCs w:val="24"/>
        </w:rPr>
        <w:t>5 抗震鉴定和加固，采用现行规范规定的方法</w:t>
      </w:r>
      <w:r>
        <w:rPr>
          <w:rFonts w:hint="default" w:ascii="Times New Roman" w:hAnsi="Times New Roman" w:eastAsia="宋体" w:cs="Times New Roman"/>
          <w:color w:val="auto"/>
          <w:spacing w:val="-6"/>
          <w:sz w:val="24"/>
          <w:szCs w:val="24"/>
        </w:rPr>
        <w:t>进行综合抗震能力验算时，宜计入加固前、</w:t>
      </w:r>
      <w:r>
        <w:rPr>
          <w:rFonts w:hint="default" w:ascii="Times New Roman" w:hAnsi="Times New Roman" w:eastAsia="宋体" w:cs="Times New Roman"/>
          <w:color w:val="auto"/>
          <w:spacing w:val="-4"/>
          <w:sz w:val="24"/>
          <w:szCs w:val="24"/>
        </w:rPr>
        <w:t>后存在的构造影响，并应符合下列要求：</w:t>
      </w:r>
    </w:p>
    <w:p w14:paraId="73189F08">
      <w:pPr>
        <w:keepNext w:val="0"/>
        <w:keepLines w:val="0"/>
        <w:pageBreakBefore w:val="0"/>
        <w:widowControl w:val="0"/>
        <w:kinsoku/>
        <w:wordWrap/>
        <w:overflowPunct/>
        <w:topLinePunct w:val="0"/>
        <w:autoSpaceDE/>
        <w:autoSpaceDN/>
        <w:bidi w:val="0"/>
        <w:adjustRightInd/>
        <w:snapToGrid/>
        <w:spacing w:line="360" w:lineRule="exact"/>
        <w:ind w:left="0" w:right="0" w:firstLine="733"/>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1）A类建筑，水平地震影响系数最大值应</w:t>
      </w:r>
      <w:r>
        <w:rPr>
          <w:rFonts w:hint="default" w:ascii="Times New Roman" w:hAnsi="Times New Roman" w:eastAsia="宋体" w:cs="Times New Roman"/>
          <w:color w:val="auto"/>
          <w:spacing w:val="-3"/>
          <w:sz w:val="24"/>
          <w:szCs w:val="24"/>
        </w:rPr>
        <w:t>不低于现行标准相应值的0.80倍，或承载力抗震调整系数不低于现行标准相应值的0.85倍；</w:t>
      </w:r>
    </w:p>
    <w:p w14:paraId="7FDAECC6">
      <w:pPr>
        <w:keepNext w:val="0"/>
        <w:keepLines w:val="0"/>
        <w:pageBreakBefore w:val="0"/>
        <w:widowControl w:val="0"/>
        <w:kinsoku/>
        <w:wordWrap/>
        <w:overflowPunct/>
        <w:topLinePunct w:val="0"/>
        <w:autoSpaceDE/>
        <w:autoSpaceDN/>
        <w:bidi w:val="0"/>
        <w:adjustRightInd/>
        <w:snapToGrid/>
        <w:spacing w:line="360" w:lineRule="exact"/>
        <w:ind w:left="0" w:right="0" w:firstLine="733"/>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2）B类建筑，水平地震影响系数最大值应不低于现行标准相应值的0.90倍；</w:t>
      </w:r>
    </w:p>
    <w:p w14:paraId="582B0C0F">
      <w:pPr>
        <w:keepNext w:val="0"/>
        <w:keepLines w:val="0"/>
        <w:pageBreakBefore w:val="0"/>
        <w:widowControl w:val="0"/>
        <w:kinsoku/>
        <w:wordWrap/>
        <w:overflowPunct/>
        <w:topLinePunct w:val="0"/>
        <w:autoSpaceDE/>
        <w:autoSpaceDN/>
        <w:bidi w:val="0"/>
        <w:adjustRightInd/>
        <w:snapToGrid/>
        <w:spacing w:line="360" w:lineRule="exact"/>
        <w:ind w:left="0" w:right="0" w:firstLine="721"/>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4"/>
          <w:sz w:val="24"/>
          <w:szCs w:val="24"/>
        </w:rPr>
        <w:t>3）A类和B类建筑采用以上方法对地震作用下的结构抗震能力验算时，皆不应低于原</w:t>
      </w:r>
      <w:r>
        <w:rPr>
          <w:rFonts w:hint="default" w:ascii="Times New Roman" w:hAnsi="Times New Roman" w:eastAsia="宋体" w:cs="Times New Roman"/>
          <w:color w:val="auto"/>
          <w:spacing w:val="-6"/>
          <w:sz w:val="24"/>
          <w:szCs w:val="24"/>
        </w:rPr>
        <w:t>建造时的抗震规范要求；</w:t>
      </w:r>
    </w:p>
    <w:p w14:paraId="4E1EB2C9">
      <w:pPr>
        <w:keepNext w:val="0"/>
        <w:keepLines w:val="0"/>
        <w:pageBreakBefore w:val="0"/>
        <w:widowControl w:val="0"/>
        <w:kinsoku/>
        <w:wordWrap/>
        <w:overflowPunct/>
        <w:topLinePunct w:val="0"/>
        <w:autoSpaceDE/>
        <w:autoSpaceDN/>
        <w:bidi w:val="0"/>
        <w:adjustRightInd/>
        <w:snapToGrid/>
        <w:spacing w:line="360" w:lineRule="exact"/>
        <w:ind w:left="0" w:right="0" w:firstLine="717"/>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3"/>
          <w:sz w:val="24"/>
          <w:szCs w:val="24"/>
        </w:rPr>
        <w:t>4）C类建筑，材料性能设计指标、地震作用、地震作用效应</w:t>
      </w:r>
      <w:r>
        <w:rPr>
          <w:rFonts w:hint="default" w:ascii="Times New Roman" w:hAnsi="Times New Roman" w:eastAsia="宋体" w:cs="Times New Roman"/>
          <w:color w:val="auto"/>
          <w:spacing w:val="-4"/>
          <w:sz w:val="24"/>
          <w:szCs w:val="24"/>
        </w:rPr>
        <w:t>调整、结构构件承载力抗</w:t>
      </w:r>
      <w:r>
        <w:rPr>
          <w:rFonts w:hint="default" w:ascii="Times New Roman" w:hAnsi="Times New Roman" w:eastAsia="宋体" w:cs="Times New Roman"/>
          <w:color w:val="auto"/>
          <w:spacing w:val="-2"/>
          <w:sz w:val="24"/>
          <w:szCs w:val="24"/>
        </w:rPr>
        <w:t>震调整系数，一般情况下，应按现行国家标准的有关规定执行。</w:t>
      </w:r>
    </w:p>
    <w:p w14:paraId="542E55AE">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条文说明：既有建筑抗震鉴定应根据其抗震措施和抗震承载力进行综合抗震能力评定。《既有建筑鉴定与加固通用规范》GB 55021中对于加固前鉴定的既有建筑抗震承载力的验算统一表示为：</w:t>
      </w:r>
    </w:p>
    <w:p w14:paraId="565A11A6">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jc w:val="right"/>
        <w:textAlignment w:val="auto"/>
        <w:rPr>
          <w:rFonts w:hint="eastAsia" w:ascii="仿宋" w:hAnsi="仿宋" w:eastAsia="仿宋" w:cs="仿宋"/>
          <w:b w:val="0"/>
          <w:bCs w:val="0"/>
          <w:color w:val="0070C0"/>
          <w:spacing w:val="0"/>
          <w:sz w:val="24"/>
          <w:szCs w:val="24"/>
          <w:lang w:val="en-US" w:eastAsia="zh-CN"/>
        </w:rPr>
      </w:pPr>
      <m:oMath>
        <m:r>
          <m:rPr>
            <m:nor/>
            <m:sty m:val="p"/>
          </m:rPr>
          <w:rPr>
            <w:rFonts w:hint="eastAsia" w:ascii="Cambria Math" w:hAnsi="Cambria Math" w:eastAsia="仿宋" w:cs="仿宋"/>
            <w:b w:val="0"/>
            <w:bCs w:val="0"/>
            <w:i w:val="0"/>
            <w:color w:val="0070C0"/>
            <w:spacing w:val="0"/>
            <w:sz w:val="24"/>
            <w:szCs w:val="24"/>
            <w:lang w:val="en-US" w:eastAsia="zh-CN"/>
          </w:rPr>
          <m:t>S≤</m:t>
        </m:r>
        <m:sSub>
          <m:sSubPr>
            <m:ctrlPr>
              <w:rPr>
                <w:rFonts w:hint="eastAsia" w:ascii="Cambria Math" w:hAnsi="Cambria Math" w:eastAsia="仿宋" w:cs="仿宋"/>
                <w:b w:val="0"/>
                <w:bCs w:val="0"/>
                <w:color w:val="0070C0"/>
                <w:spacing w:val="0"/>
                <w:sz w:val="24"/>
                <w:szCs w:val="24"/>
                <w:lang w:val="en-US" w:eastAsia="zh-CN"/>
              </w:rPr>
            </m:ctrlPr>
          </m:sSubPr>
          <m:e>
            <m:r>
              <m:rPr>
                <m:nor/>
                <m:sty m:val="p"/>
              </m:rPr>
              <w:rPr>
                <w:rFonts w:hint="eastAsia" w:ascii="Cambria Math" w:hAnsi="Cambria Math" w:eastAsia="仿宋" w:cs="仿宋"/>
                <w:b w:val="0"/>
                <w:bCs w:val="0"/>
                <w:i w:val="0"/>
                <w:color w:val="0070C0"/>
                <w:spacing w:val="0"/>
                <w:sz w:val="24"/>
                <w:szCs w:val="24"/>
                <w:lang w:val="en-US" w:eastAsia="zh-CN"/>
              </w:rPr>
              <m:t>ψ</m:t>
            </m:r>
            <m:ctrlPr>
              <w:rPr>
                <w:rFonts w:hint="eastAsia" w:ascii="Cambria Math" w:hAnsi="Cambria Math" w:eastAsia="仿宋" w:cs="仿宋"/>
                <w:b w:val="0"/>
                <w:bCs w:val="0"/>
                <w:color w:val="0070C0"/>
                <w:spacing w:val="0"/>
                <w:sz w:val="24"/>
                <w:szCs w:val="24"/>
                <w:lang w:val="en-US" w:eastAsia="zh-CN"/>
              </w:rPr>
            </m:ctrlPr>
          </m:e>
          <m:sub>
            <m:r>
              <m:rPr>
                <m:nor/>
                <m:sty m:val="p"/>
              </m:rPr>
              <w:rPr>
                <w:rFonts w:hint="eastAsia" w:ascii="Cambria Math" w:hAnsi="Cambria Math" w:eastAsia="仿宋" w:cs="仿宋"/>
                <w:b w:val="0"/>
                <w:bCs w:val="0"/>
                <w:i w:val="0"/>
                <w:color w:val="0070C0"/>
                <w:spacing w:val="0"/>
                <w:sz w:val="24"/>
                <w:szCs w:val="24"/>
                <w:lang w:val="en-US" w:eastAsia="zh-CN"/>
              </w:rPr>
              <m:t>1</m:t>
            </m:r>
            <m:ctrlPr>
              <w:rPr>
                <w:rFonts w:hint="eastAsia" w:ascii="Cambria Math" w:hAnsi="Cambria Math" w:eastAsia="仿宋" w:cs="仿宋"/>
                <w:b w:val="0"/>
                <w:bCs w:val="0"/>
                <w:color w:val="0070C0"/>
                <w:spacing w:val="0"/>
                <w:sz w:val="24"/>
                <w:szCs w:val="24"/>
                <w:lang w:val="en-US" w:eastAsia="zh-CN"/>
              </w:rPr>
            </m:ctrlPr>
          </m:sub>
        </m:sSub>
        <m:sSub>
          <m:sSubPr>
            <m:ctrlPr>
              <w:rPr>
                <w:rFonts w:hint="eastAsia" w:ascii="Cambria Math" w:hAnsi="Cambria Math" w:eastAsia="仿宋" w:cs="仿宋"/>
                <w:b w:val="0"/>
                <w:bCs w:val="0"/>
                <w:color w:val="0070C0"/>
                <w:spacing w:val="0"/>
                <w:sz w:val="24"/>
                <w:szCs w:val="24"/>
                <w:lang w:val="en-US" w:eastAsia="zh-CN"/>
              </w:rPr>
            </m:ctrlPr>
          </m:sSubPr>
          <m:e>
            <m:r>
              <m:rPr>
                <m:nor/>
                <m:sty m:val="p"/>
              </m:rPr>
              <w:rPr>
                <w:rFonts w:hint="eastAsia" w:ascii="Cambria Math" w:hAnsi="Cambria Math" w:eastAsia="仿宋" w:cs="仿宋"/>
                <w:b w:val="0"/>
                <w:bCs w:val="0"/>
                <w:i w:val="0"/>
                <w:color w:val="0070C0"/>
                <w:spacing w:val="0"/>
                <w:sz w:val="24"/>
                <w:szCs w:val="24"/>
                <w:lang w:val="en-US" w:eastAsia="zh-CN"/>
              </w:rPr>
              <m:t>ψ</m:t>
            </m:r>
            <m:ctrlPr>
              <w:rPr>
                <w:rFonts w:hint="eastAsia" w:ascii="Cambria Math" w:hAnsi="Cambria Math" w:eastAsia="仿宋" w:cs="仿宋"/>
                <w:b w:val="0"/>
                <w:bCs w:val="0"/>
                <w:color w:val="0070C0"/>
                <w:spacing w:val="0"/>
                <w:sz w:val="24"/>
                <w:szCs w:val="24"/>
                <w:lang w:val="en-US" w:eastAsia="zh-CN"/>
              </w:rPr>
            </m:ctrlPr>
          </m:e>
          <m:sub>
            <m:r>
              <m:rPr>
                <m:nor/>
                <m:sty m:val="p"/>
              </m:rPr>
              <w:rPr>
                <w:rFonts w:hint="eastAsia" w:ascii="Cambria Math" w:hAnsi="Cambria Math" w:eastAsia="仿宋" w:cs="仿宋"/>
                <w:b w:val="0"/>
                <w:bCs w:val="0"/>
                <w:i w:val="0"/>
                <w:color w:val="0070C0"/>
                <w:spacing w:val="0"/>
                <w:sz w:val="24"/>
                <w:szCs w:val="24"/>
                <w:lang w:val="en-US" w:eastAsia="zh-CN"/>
              </w:rPr>
              <m:t>2</m:t>
            </m:r>
            <m:ctrlPr>
              <w:rPr>
                <w:rFonts w:hint="eastAsia" w:ascii="Cambria Math" w:hAnsi="Cambria Math" w:eastAsia="仿宋" w:cs="仿宋"/>
                <w:b w:val="0"/>
                <w:bCs w:val="0"/>
                <w:color w:val="0070C0"/>
                <w:spacing w:val="0"/>
                <w:sz w:val="24"/>
                <w:szCs w:val="24"/>
                <w:lang w:val="en-US" w:eastAsia="zh-CN"/>
              </w:rPr>
            </m:ctrlPr>
          </m:sub>
        </m:sSub>
        <m:r>
          <m:rPr>
            <m:nor/>
            <m:sty m:val="p"/>
          </m:rPr>
          <w:rPr>
            <w:rFonts w:hint="eastAsia" w:ascii="Cambria Math" w:hAnsi="Cambria Math" w:eastAsia="仿宋" w:cs="仿宋"/>
            <w:b w:val="0"/>
            <w:bCs w:val="0"/>
            <w:i w:val="0"/>
            <w:color w:val="0070C0"/>
            <w:spacing w:val="0"/>
            <w:sz w:val="24"/>
            <w:szCs w:val="24"/>
            <w:lang w:val="en-US" w:eastAsia="zh-CN"/>
          </w:rPr>
          <m:t>R/</m:t>
        </m:r>
        <m:sSub>
          <m:sSubPr>
            <m:ctrlPr>
              <w:rPr>
                <w:rFonts w:hint="eastAsia" w:ascii="Cambria Math" w:hAnsi="Cambria Math" w:eastAsia="仿宋" w:cs="仿宋"/>
                <w:b w:val="0"/>
                <w:bCs w:val="0"/>
                <w:color w:val="0070C0"/>
                <w:spacing w:val="0"/>
                <w:sz w:val="24"/>
                <w:szCs w:val="24"/>
                <w:lang w:val="en-US" w:eastAsia="zh-CN"/>
              </w:rPr>
            </m:ctrlPr>
          </m:sSubPr>
          <m:e>
            <m:r>
              <m:rPr>
                <m:nor/>
                <m:sty m:val="p"/>
              </m:rPr>
              <w:rPr>
                <w:rFonts w:hint="eastAsia" w:ascii="Cambria Math" w:hAnsi="Cambria Math" w:eastAsia="仿宋" w:cs="仿宋"/>
                <w:b w:val="0"/>
                <w:bCs w:val="0"/>
                <w:i w:val="0"/>
                <w:color w:val="0070C0"/>
                <w:spacing w:val="0"/>
                <w:sz w:val="24"/>
                <w:szCs w:val="24"/>
                <w:lang w:val="en-US" w:eastAsia="zh-CN"/>
              </w:rPr>
              <m:t>γ</m:t>
            </m:r>
            <m:ctrlPr>
              <w:rPr>
                <w:rFonts w:hint="eastAsia" w:ascii="Cambria Math" w:hAnsi="Cambria Math" w:eastAsia="仿宋" w:cs="仿宋"/>
                <w:b w:val="0"/>
                <w:bCs w:val="0"/>
                <w:color w:val="0070C0"/>
                <w:spacing w:val="0"/>
                <w:sz w:val="24"/>
                <w:szCs w:val="24"/>
                <w:lang w:val="en-US" w:eastAsia="zh-CN"/>
              </w:rPr>
            </m:ctrlPr>
          </m:e>
          <m:sub>
            <m:r>
              <m:rPr>
                <m:nor/>
                <m:sty m:val="p"/>
              </m:rPr>
              <w:rPr>
                <w:rFonts w:hint="eastAsia" w:ascii="Cambria Math" w:hAnsi="Cambria Math" w:eastAsia="仿宋" w:cs="仿宋"/>
                <w:b w:val="0"/>
                <w:bCs w:val="0"/>
                <w:i w:val="0"/>
                <w:color w:val="0070C0"/>
                <w:spacing w:val="0"/>
                <w:sz w:val="24"/>
                <w:szCs w:val="24"/>
                <w:lang w:val="en-US" w:eastAsia="zh-CN"/>
              </w:rPr>
              <m:t>Ra</m:t>
            </m:r>
            <m:ctrlPr>
              <w:rPr>
                <w:rFonts w:hint="eastAsia" w:ascii="Cambria Math" w:hAnsi="Cambria Math" w:eastAsia="仿宋" w:cs="仿宋"/>
                <w:b w:val="0"/>
                <w:bCs w:val="0"/>
                <w:color w:val="0070C0"/>
                <w:spacing w:val="0"/>
                <w:sz w:val="24"/>
                <w:szCs w:val="24"/>
                <w:lang w:val="en-US" w:eastAsia="zh-CN"/>
              </w:rPr>
            </m:ctrlPr>
          </m:sub>
        </m:sSub>
      </m:oMath>
      <w:r>
        <w:rPr>
          <w:rFonts w:hint="eastAsia" w:hAnsi="Cambria Math" w:cs="仿宋"/>
          <w:b w:val="0"/>
          <w:bCs w:val="0"/>
          <w:i w:val="0"/>
          <w:color w:val="0070C0"/>
          <w:spacing w:val="0"/>
          <w:sz w:val="24"/>
          <w:szCs w:val="24"/>
          <w:lang w:val="en-US" w:eastAsia="zh-CN"/>
        </w:rPr>
        <w:t xml:space="preserve">                              </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3.2.3-1</w:t>
      </w:r>
      <w:r>
        <w:rPr>
          <w:rFonts w:hint="default" w:ascii="Times New Roman" w:hAnsi="Times New Roman" w:eastAsia="宋体" w:cs="Times New Roman"/>
          <w:color w:val="auto"/>
          <w:sz w:val="24"/>
          <w:szCs w:val="24"/>
          <w:lang w:val="en-US" w:eastAsia="zh-CN"/>
        </w:rPr>
        <w:t>)</w:t>
      </w:r>
    </w:p>
    <w:p w14:paraId="14A6315D">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式中：S——既有建筑结构构件内力组合的设计值；</w:t>
      </w:r>
    </w:p>
    <w:p w14:paraId="4CB0EE49">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eastAsia" w:ascii="仿宋" w:hAnsi="仿宋" w:eastAsia="仿宋" w:cs="仿宋"/>
          <w:b w:val="0"/>
          <w:bCs w:val="0"/>
          <w:color w:val="0070C0"/>
          <w:spacing w:val="0"/>
          <w:sz w:val="24"/>
          <w:szCs w:val="24"/>
          <w:lang w:val="en-US" w:eastAsia="zh-CN"/>
        </w:rPr>
      </w:pPr>
      <m:oMath>
        <m:sSub>
          <m:sSubPr>
            <m:ctrlPr>
              <w:rPr>
                <w:rFonts w:hint="eastAsia" w:ascii="Cambria Math" w:hAnsi="Cambria Math" w:eastAsia="仿宋" w:cs="仿宋"/>
                <w:b w:val="0"/>
                <w:bCs w:val="0"/>
                <w:color w:val="0070C0"/>
                <w:spacing w:val="0"/>
                <w:sz w:val="24"/>
                <w:szCs w:val="24"/>
                <w:lang w:val="en-US" w:eastAsia="zh-CN"/>
              </w:rPr>
            </m:ctrlPr>
          </m:sSubPr>
          <m:e>
            <m:r>
              <m:rPr>
                <m:nor/>
                <m:sty m:val="p"/>
              </m:rPr>
              <w:rPr>
                <w:rFonts w:hint="eastAsia" w:ascii="Cambria Math" w:hAnsi="Cambria Math" w:eastAsia="仿宋" w:cs="仿宋"/>
                <w:b w:val="0"/>
                <w:bCs w:val="0"/>
                <w:i w:val="0"/>
                <w:color w:val="0070C0"/>
                <w:spacing w:val="0"/>
                <w:sz w:val="24"/>
                <w:szCs w:val="24"/>
                <w:lang w:val="en-US" w:eastAsia="zh-CN"/>
              </w:rPr>
              <m:t>ψ</m:t>
            </m:r>
            <m:ctrlPr>
              <w:rPr>
                <w:rFonts w:hint="eastAsia" w:ascii="Cambria Math" w:hAnsi="Cambria Math" w:eastAsia="仿宋" w:cs="仿宋"/>
                <w:b w:val="0"/>
                <w:bCs w:val="0"/>
                <w:color w:val="0070C0"/>
                <w:spacing w:val="0"/>
                <w:sz w:val="24"/>
                <w:szCs w:val="24"/>
                <w:lang w:val="en-US" w:eastAsia="zh-CN"/>
              </w:rPr>
            </m:ctrlPr>
          </m:e>
          <m:sub>
            <m:r>
              <m:rPr>
                <m:nor/>
                <m:sty m:val="p"/>
              </m:rPr>
              <w:rPr>
                <w:rFonts w:hint="eastAsia" w:ascii="Cambria Math" w:hAnsi="Cambria Math" w:eastAsia="仿宋" w:cs="仿宋"/>
                <w:b w:val="0"/>
                <w:bCs w:val="0"/>
                <w:i w:val="0"/>
                <w:color w:val="0070C0"/>
                <w:spacing w:val="0"/>
                <w:sz w:val="24"/>
                <w:szCs w:val="24"/>
                <w:lang w:val="en-US" w:eastAsia="zh-CN"/>
              </w:rPr>
              <m:t>1</m:t>
            </m:r>
            <m:ctrlPr>
              <w:rPr>
                <w:rFonts w:hint="eastAsia" w:ascii="Cambria Math" w:hAnsi="Cambria Math" w:eastAsia="仿宋" w:cs="仿宋"/>
                <w:b w:val="0"/>
                <w:bCs w:val="0"/>
                <w:color w:val="0070C0"/>
                <w:spacing w:val="0"/>
                <w:sz w:val="24"/>
                <w:szCs w:val="24"/>
                <w:lang w:val="en-US" w:eastAsia="zh-CN"/>
              </w:rPr>
            </m:ctrlPr>
          </m:sub>
        </m:sSub>
      </m:oMath>
      <w:r>
        <w:rPr>
          <w:rFonts w:hint="eastAsia" w:ascii="仿宋" w:hAnsi="仿宋" w:eastAsia="仿宋" w:cs="仿宋"/>
          <w:b w:val="0"/>
          <w:bCs w:val="0"/>
          <w:color w:val="0070C0"/>
          <w:spacing w:val="0"/>
          <w:sz w:val="24"/>
          <w:szCs w:val="24"/>
          <w:lang w:val="en-US" w:eastAsia="zh-CN"/>
        </w:rPr>
        <w:t>、</w:t>
      </w:r>
      <m:oMath>
        <m:sSub>
          <m:sSubPr>
            <m:ctrlPr>
              <w:rPr>
                <w:rFonts w:hint="eastAsia" w:ascii="Cambria Math" w:hAnsi="Cambria Math" w:eastAsia="仿宋" w:cs="仿宋"/>
                <w:b w:val="0"/>
                <w:bCs w:val="0"/>
                <w:color w:val="0070C0"/>
                <w:spacing w:val="0"/>
                <w:sz w:val="24"/>
                <w:szCs w:val="24"/>
                <w:lang w:val="en-US" w:eastAsia="zh-CN"/>
              </w:rPr>
            </m:ctrlPr>
          </m:sSubPr>
          <m:e>
            <m:r>
              <m:rPr>
                <m:nor/>
                <m:sty m:val="p"/>
              </m:rPr>
              <w:rPr>
                <w:rFonts w:hint="eastAsia" w:ascii="Cambria Math" w:hAnsi="Cambria Math" w:eastAsia="仿宋" w:cs="仿宋"/>
                <w:b w:val="0"/>
                <w:bCs w:val="0"/>
                <w:i w:val="0"/>
                <w:color w:val="0070C0"/>
                <w:spacing w:val="0"/>
                <w:sz w:val="24"/>
                <w:szCs w:val="24"/>
                <w:lang w:val="en-US" w:eastAsia="zh-CN"/>
              </w:rPr>
              <m:t>ψ</m:t>
            </m:r>
            <m:ctrlPr>
              <w:rPr>
                <w:rFonts w:hint="eastAsia" w:ascii="Cambria Math" w:hAnsi="Cambria Math" w:eastAsia="仿宋" w:cs="仿宋"/>
                <w:b w:val="0"/>
                <w:bCs w:val="0"/>
                <w:color w:val="0070C0"/>
                <w:spacing w:val="0"/>
                <w:sz w:val="24"/>
                <w:szCs w:val="24"/>
                <w:lang w:val="en-US" w:eastAsia="zh-CN"/>
              </w:rPr>
            </m:ctrlPr>
          </m:e>
          <m:sub>
            <m:r>
              <m:rPr>
                <m:nor/>
                <m:sty m:val="p"/>
              </m:rPr>
              <w:rPr>
                <w:rFonts w:hint="eastAsia" w:ascii="Cambria Math" w:hAnsi="Cambria Math" w:eastAsia="仿宋" w:cs="仿宋"/>
                <w:b w:val="0"/>
                <w:bCs w:val="0"/>
                <w:i w:val="0"/>
                <w:color w:val="0070C0"/>
                <w:spacing w:val="0"/>
                <w:sz w:val="24"/>
                <w:szCs w:val="24"/>
                <w:lang w:val="en-US" w:eastAsia="zh-CN"/>
              </w:rPr>
              <m:t>2</m:t>
            </m:r>
            <m:ctrlPr>
              <w:rPr>
                <w:rFonts w:hint="eastAsia" w:ascii="Cambria Math" w:hAnsi="Cambria Math" w:eastAsia="仿宋" w:cs="仿宋"/>
                <w:b w:val="0"/>
                <w:bCs w:val="0"/>
                <w:color w:val="0070C0"/>
                <w:spacing w:val="0"/>
                <w:sz w:val="24"/>
                <w:szCs w:val="24"/>
                <w:lang w:val="en-US" w:eastAsia="zh-CN"/>
              </w:rPr>
            </m:ctrlPr>
          </m:sub>
        </m:sSub>
      </m:oMath>
      <w:r>
        <w:rPr>
          <w:rFonts w:hint="eastAsia" w:ascii="仿宋" w:hAnsi="仿宋" w:eastAsia="仿宋" w:cs="仿宋"/>
          <w:b w:val="0"/>
          <w:bCs w:val="0"/>
          <w:color w:val="0070C0"/>
          <w:spacing w:val="0"/>
          <w:sz w:val="24"/>
          <w:szCs w:val="24"/>
          <w:lang w:val="en-US" w:eastAsia="zh-CN"/>
        </w:rPr>
        <w:t>——分别为体系影响系数和局部影响系数；</w:t>
      </w:r>
    </w:p>
    <w:p w14:paraId="5FFCDCEC">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R——既有建筑结构构件承载力设计值；</w:t>
      </w:r>
    </w:p>
    <w:p w14:paraId="7906A326">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eastAsia" w:ascii="仿宋" w:hAnsi="仿宋" w:eastAsia="仿宋" w:cs="仿宋"/>
          <w:b w:val="0"/>
          <w:bCs w:val="0"/>
          <w:color w:val="0070C0"/>
          <w:spacing w:val="0"/>
          <w:sz w:val="24"/>
          <w:szCs w:val="24"/>
          <w:lang w:val="en-US" w:eastAsia="zh-CN"/>
        </w:rPr>
      </w:pPr>
      <m:oMath>
        <m:sSub>
          <m:sSubPr>
            <m:ctrlPr>
              <w:rPr>
                <w:rFonts w:hint="eastAsia" w:ascii="Cambria Math" w:hAnsi="Cambria Math" w:eastAsia="仿宋" w:cs="仿宋"/>
                <w:b w:val="0"/>
                <w:bCs w:val="0"/>
                <w:color w:val="0070C0"/>
                <w:spacing w:val="0"/>
                <w:sz w:val="24"/>
                <w:szCs w:val="24"/>
                <w:lang w:val="en-US" w:eastAsia="zh-CN"/>
              </w:rPr>
            </m:ctrlPr>
          </m:sSubPr>
          <m:e>
            <m:r>
              <m:rPr>
                <m:nor/>
                <m:sty m:val="p"/>
              </m:rPr>
              <w:rPr>
                <w:rFonts w:hint="eastAsia" w:ascii="Cambria Math" w:hAnsi="Cambria Math" w:eastAsia="仿宋" w:cs="仿宋"/>
                <w:b w:val="0"/>
                <w:bCs w:val="0"/>
                <w:i w:val="0"/>
                <w:color w:val="0070C0"/>
                <w:spacing w:val="0"/>
                <w:sz w:val="24"/>
                <w:szCs w:val="24"/>
                <w:lang w:val="en-US" w:eastAsia="zh-CN"/>
              </w:rPr>
              <m:t>γ</m:t>
            </m:r>
            <m:ctrlPr>
              <w:rPr>
                <w:rFonts w:hint="eastAsia" w:ascii="Cambria Math" w:hAnsi="Cambria Math" w:eastAsia="仿宋" w:cs="仿宋"/>
                <w:b w:val="0"/>
                <w:bCs w:val="0"/>
                <w:color w:val="0070C0"/>
                <w:spacing w:val="0"/>
                <w:sz w:val="24"/>
                <w:szCs w:val="24"/>
                <w:lang w:val="en-US" w:eastAsia="zh-CN"/>
              </w:rPr>
            </m:ctrlPr>
          </m:e>
          <m:sub>
            <m:r>
              <m:rPr>
                <m:nor/>
                <m:sty m:val="p"/>
              </m:rPr>
              <w:rPr>
                <w:rFonts w:hint="eastAsia" w:ascii="Cambria Math" w:hAnsi="Cambria Math" w:eastAsia="仿宋" w:cs="仿宋"/>
                <w:b w:val="0"/>
                <w:bCs w:val="0"/>
                <w:i w:val="0"/>
                <w:color w:val="0070C0"/>
                <w:spacing w:val="0"/>
                <w:sz w:val="24"/>
                <w:szCs w:val="24"/>
                <w:lang w:val="en-US" w:eastAsia="zh-CN"/>
              </w:rPr>
              <m:t>Ra</m:t>
            </m:r>
            <m:ctrlPr>
              <w:rPr>
                <w:rFonts w:hint="eastAsia" w:ascii="Cambria Math" w:hAnsi="Cambria Math" w:eastAsia="仿宋" w:cs="仿宋"/>
                <w:b w:val="0"/>
                <w:bCs w:val="0"/>
                <w:color w:val="0070C0"/>
                <w:spacing w:val="0"/>
                <w:sz w:val="24"/>
                <w:szCs w:val="24"/>
                <w:lang w:val="en-US" w:eastAsia="zh-CN"/>
              </w:rPr>
            </m:ctrlPr>
          </m:sub>
        </m:sSub>
      </m:oMath>
      <w:r>
        <w:rPr>
          <w:rFonts w:hint="eastAsia" w:ascii="仿宋" w:hAnsi="仿宋" w:eastAsia="仿宋" w:cs="仿宋"/>
          <w:b w:val="0"/>
          <w:bCs w:val="0"/>
          <w:color w:val="0070C0"/>
          <w:spacing w:val="0"/>
          <w:sz w:val="24"/>
          <w:szCs w:val="24"/>
          <w:lang w:val="en-US" w:eastAsia="zh-CN"/>
        </w:rPr>
        <w:t>——抗震鉴定的承载力调整系数。</w:t>
      </w:r>
    </w:p>
    <w:p w14:paraId="27432A83">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对于加固后既有建筑抗震承载力的验算统一表示为：</w:t>
      </w:r>
    </w:p>
    <w:p w14:paraId="259A02B3">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jc w:val="right"/>
        <w:textAlignment w:val="auto"/>
        <w:rPr>
          <w:rFonts w:hint="eastAsia" w:ascii="仿宋" w:hAnsi="仿宋" w:eastAsia="仿宋" w:cs="仿宋"/>
          <w:b w:val="0"/>
          <w:bCs w:val="0"/>
          <w:color w:val="0070C0"/>
          <w:spacing w:val="0"/>
          <w:sz w:val="24"/>
          <w:szCs w:val="24"/>
          <w:lang w:val="en-US" w:eastAsia="zh-CN"/>
        </w:rPr>
      </w:pPr>
      <m:oMath>
        <m:r>
          <m:rPr>
            <m:nor/>
            <m:sty m:val="p"/>
          </m:rPr>
          <w:rPr>
            <w:rFonts w:hint="eastAsia" w:ascii="Cambria Math" w:hAnsi="Cambria Math" w:eastAsia="仿宋" w:cs="仿宋"/>
            <w:b w:val="0"/>
            <w:bCs w:val="0"/>
            <w:i w:val="0"/>
            <w:color w:val="0070C0"/>
            <w:spacing w:val="0"/>
            <w:sz w:val="24"/>
            <w:szCs w:val="24"/>
            <w:lang w:val="en-US" w:eastAsia="zh-CN"/>
          </w:rPr>
          <m:t>S≤</m:t>
        </m:r>
        <m:sSub>
          <m:sSubPr>
            <m:ctrlPr>
              <w:rPr>
                <w:rFonts w:hint="eastAsia" w:ascii="Cambria Math" w:hAnsi="Cambria Math" w:eastAsia="仿宋" w:cs="仿宋"/>
                <w:b w:val="0"/>
                <w:bCs w:val="0"/>
                <w:color w:val="0070C0"/>
                <w:spacing w:val="0"/>
                <w:sz w:val="24"/>
                <w:szCs w:val="24"/>
                <w:lang w:val="en-US" w:eastAsia="zh-CN"/>
              </w:rPr>
            </m:ctrlPr>
          </m:sSubPr>
          <m:e>
            <m:r>
              <m:rPr>
                <m:nor/>
                <m:sty m:val="p"/>
              </m:rPr>
              <w:rPr>
                <w:rFonts w:hint="eastAsia" w:ascii="Cambria Math" w:hAnsi="Cambria Math" w:eastAsia="仿宋" w:cs="仿宋"/>
                <w:b w:val="0"/>
                <w:bCs w:val="0"/>
                <w:i w:val="0"/>
                <w:color w:val="0070C0"/>
                <w:spacing w:val="0"/>
                <w:sz w:val="24"/>
                <w:szCs w:val="24"/>
                <w:lang w:val="en-US" w:eastAsia="zh-CN"/>
              </w:rPr>
              <m:t>ψ</m:t>
            </m:r>
            <m:ctrlPr>
              <w:rPr>
                <w:rFonts w:hint="eastAsia" w:ascii="Cambria Math" w:hAnsi="Cambria Math" w:eastAsia="仿宋" w:cs="仿宋"/>
                <w:b w:val="0"/>
                <w:bCs w:val="0"/>
                <w:color w:val="0070C0"/>
                <w:spacing w:val="0"/>
                <w:sz w:val="24"/>
                <w:szCs w:val="24"/>
                <w:lang w:val="en-US" w:eastAsia="zh-CN"/>
              </w:rPr>
            </m:ctrlPr>
          </m:e>
          <m:sub>
            <m:r>
              <m:rPr>
                <m:nor/>
                <m:sty m:val="p"/>
              </m:rPr>
              <w:rPr>
                <w:rFonts w:hint="eastAsia" w:ascii="Cambria Math" w:hAnsi="Cambria Math" w:eastAsia="仿宋" w:cs="仿宋"/>
                <w:b w:val="0"/>
                <w:bCs w:val="0"/>
                <w:i w:val="0"/>
                <w:color w:val="0070C0"/>
                <w:spacing w:val="0"/>
                <w:sz w:val="24"/>
                <w:szCs w:val="24"/>
                <w:lang w:val="en-US" w:eastAsia="zh-CN"/>
              </w:rPr>
              <m:t>1s</m:t>
            </m:r>
            <m:ctrlPr>
              <w:rPr>
                <w:rFonts w:hint="eastAsia" w:ascii="Cambria Math" w:hAnsi="Cambria Math" w:eastAsia="仿宋" w:cs="仿宋"/>
                <w:b w:val="0"/>
                <w:bCs w:val="0"/>
                <w:color w:val="0070C0"/>
                <w:spacing w:val="0"/>
                <w:sz w:val="24"/>
                <w:szCs w:val="24"/>
                <w:lang w:val="en-US" w:eastAsia="zh-CN"/>
              </w:rPr>
            </m:ctrlPr>
          </m:sub>
        </m:sSub>
        <m:sSub>
          <m:sSubPr>
            <m:ctrlPr>
              <w:rPr>
                <w:rFonts w:hint="eastAsia" w:ascii="Cambria Math" w:hAnsi="Cambria Math" w:eastAsia="仿宋" w:cs="仿宋"/>
                <w:b w:val="0"/>
                <w:bCs w:val="0"/>
                <w:color w:val="0070C0"/>
                <w:spacing w:val="0"/>
                <w:sz w:val="24"/>
                <w:szCs w:val="24"/>
                <w:lang w:val="en-US" w:eastAsia="zh-CN"/>
              </w:rPr>
            </m:ctrlPr>
          </m:sSubPr>
          <m:e>
            <m:r>
              <m:rPr>
                <m:nor/>
                <m:sty m:val="p"/>
              </m:rPr>
              <w:rPr>
                <w:rFonts w:hint="eastAsia" w:ascii="Cambria Math" w:hAnsi="Cambria Math" w:eastAsia="仿宋" w:cs="仿宋"/>
                <w:b w:val="0"/>
                <w:bCs w:val="0"/>
                <w:i w:val="0"/>
                <w:color w:val="0070C0"/>
                <w:spacing w:val="0"/>
                <w:sz w:val="24"/>
                <w:szCs w:val="24"/>
                <w:lang w:val="en-US" w:eastAsia="zh-CN"/>
              </w:rPr>
              <m:t>ψ</m:t>
            </m:r>
            <m:ctrlPr>
              <w:rPr>
                <w:rFonts w:hint="eastAsia" w:ascii="Cambria Math" w:hAnsi="Cambria Math" w:eastAsia="仿宋" w:cs="仿宋"/>
                <w:b w:val="0"/>
                <w:bCs w:val="0"/>
                <w:color w:val="0070C0"/>
                <w:spacing w:val="0"/>
                <w:sz w:val="24"/>
                <w:szCs w:val="24"/>
                <w:lang w:val="en-US" w:eastAsia="zh-CN"/>
              </w:rPr>
            </m:ctrlPr>
          </m:e>
          <m:sub>
            <m:r>
              <m:rPr>
                <m:nor/>
                <m:sty m:val="p"/>
              </m:rPr>
              <w:rPr>
                <w:rFonts w:hint="eastAsia" w:ascii="Cambria Math" w:hAnsi="Cambria Math" w:eastAsia="仿宋" w:cs="仿宋"/>
                <w:b w:val="0"/>
                <w:bCs w:val="0"/>
                <w:i w:val="0"/>
                <w:color w:val="0070C0"/>
                <w:spacing w:val="0"/>
                <w:sz w:val="24"/>
                <w:szCs w:val="24"/>
                <w:lang w:val="en-US" w:eastAsia="zh-CN"/>
              </w:rPr>
              <m:t>2s</m:t>
            </m:r>
            <m:ctrlPr>
              <w:rPr>
                <w:rFonts w:hint="eastAsia" w:ascii="Cambria Math" w:hAnsi="Cambria Math" w:eastAsia="仿宋" w:cs="仿宋"/>
                <w:b w:val="0"/>
                <w:bCs w:val="0"/>
                <w:color w:val="0070C0"/>
                <w:spacing w:val="0"/>
                <w:sz w:val="24"/>
                <w:szCs w:val="24"/>
                <w:lang w:val="en-US" w:eastAsia="zh-CN"/>
              </w:rPr>
            </m:ctrlPr>
          </m:sub>
        </m:sSub>
        <m:sSub>
          <m:sSubPr>
            <m:ctrlPr>
              <w:rPr>
                <w:rFonts w:hint="eastAsia" w:ascii="Cambria Math" w:hAnsi="Cambria Math" w:eastAsia="仿宋" w:cs="仿宋"/>
                <w:b w:val="0"/>
                <w:bCs w:val="0"/>
                <w:color w:val="0070C0"/>
                <w:spacing w:val="0"/>
                <w:sz w:val="24"/>
                <w:szCs w:val="24"/>
                <w:lang w:val="en-US" w:eastAsia="zh-CN"/>
              </w:rPr>
            </m:ctrlPr>
          </m:sSubPr>
          <m:e>
            <m:r>
              <m:rPr>
                <m:nor/>
                <m:sty m:val="p"/>
              </m:rPr>
              <w:rPr>
                <w:rFonts w:hint="eastAsia" w:ascii="Cambria Math" w:hAnsi="Cambria Math" w:eastAsia="仿宋" w:cs="仿宋"/>
                <w:b w:val="0"/>
                <w:bCs w:val="0"/>
                <w:i w:val="0"/>
                <w:color w:val="0070C0"/>
                <w:spacing w:val="0"/>
                <w:sz w:val="24"/>
                <w:szCs w:val="24"/>
                <w:lang w:val="en-US" w:eastAsia="zh-CN"/>
              </w:rPr>
              <m:t>R</m:t>
            </m:r>
            <m:ctrlPr>
              <w:rPr>
                <w:rFonts w:hint="eastAsia" w:ascii="Cambria Math" w:hAnsi="Cambria Math" w:eastAsia="仿宋" w:cs="仿宋"/>
                <w:b w:val="0"/>
                <w:bCs w:val="0"/>
                <w:color w:val="0070C0"/>
                <w:spacing w:val="0"/>
                <w:sz w:val="24"/>
                <w:szCs w:val="24"/>
                <w:lang w:val="en-US" w:eastAsia="zh-CN"/>
              </w:rPr>
            </m:ctrlPr>
          </m:e>
          <m:sub>
            <m:r>
              <m:rPr>
                <m:nor/>
                <m:sty m:val="p"/>
              </m:rPr>
              <w:rPr>
                <w:rFonts w:hint="eastAsia" w:ascii="Cambria Math" w:hAnsi="Cambria Math" w:eastAsia="仿宋" w:cs="仿宋"/>
                <w:b w:val="0"/>
                <w:bCs w:val="0"/>
                <w:i w:val="0"/>
                <w:color w:val="0070C0"/>
                <w:spacing w:val="0"/>
                <w:sz w:val="24"/>
                <w:szCs w:val="24"/>
                <w:lang w:val="en-US" w:eastAsia="zh-CN"/>
              </w:rPr>
              <m:t>s</m:t>
            </m:r>
            <m:ctrlPr>
              <w:rPr>
                <w:rFonts w:hint="eastAsia" w:ascii="Cambria Math" w:hAnsi="Cambria Math" w:eastAsia="仿宋" w:cs="仿宋"/>
                <w:b w:val="0"/>
                <w:bCs w:val="0"/>
                <w:color w:val="0070C0"/>
                <w:spacing w:val="0"/>
                <w:sz w:val="24"/>
                <w:szCs w:val="24"/>
                <w:lang w:val="en-US" w:eastAsia="zh-CN"/>
              </w:rPr>
            </m:ctrlPr>
          </m:sub>
        </m:sSub>
        <m:r>
          <m:rPr>
            <m:nor/>
            <m:sty m:val="p"/>
          </m:rPr>
          <w:rPr>
            <w:rFonts w:hint="eastAsia" w:ascii="Cambria Math" w:hAnsi="Cambria Math" w:eastAsia="仿宋" w:cs="仿宋"/>
            <w:b w:val="0"/>
            <w:bCs w:val="0"/>
            <w:i w:val="0"/>
            <w:color w:val="0070C0"/>
            <w:spacing w:val="0"/>
            <w:sz w:val="24"/>
            <w:szCs w:val="24"/>
            <w:lang w:val="en-US" w:eastAsia="zh-CN"/>
          </w:rPr>
          <m:t>/</m:t>
        </m:r>
        <m:sSub>
          <m:sSubPr>
            <m:ctrlPr>
              <w:rPr>
                <w:rFonts w:hint="eastAsia" w:ascii="Cambria Math" w:hAnsi="Cambria Math" w:eastAsia="仿宋" w:cs="仿宋"/>
                <w:b w:val="0"/>
                <w:bCs w:val="0"/>
                <w:color w:val="0070C0"/>
                <w:spacing w:val="0"/>
                <w:sz w:val="24"/>
                <w:szCs w:val="24"/>
                <w:lang w:val="en-US" w:eastAsia="zh-CN"/>
              </w:rPr>
            </m:ctrlPr>
          </m:sSubPr>
          <m:e>
            <m:r>
              <m:rPr>
                <m:nor/>
                <m:sty m:val="p"/>
              </m:rPr>
              <w:rPr>
                <w:rFonts w:hint="eastAsia" w:ascii="Cambria Math" w:hAnsi="Cambria Math" w:eastAsia="仿宋" w:cs="仿宋"/>
                <w:b w:val="0"/>
                <w:bCs w:val="0"/>
                <w:i w:val="0"/>
                <w:color w:val="0070C0"/>
                <w:spacing w:val="0"/>
                <w:sz w:val="24"/>
                <w:szCs w:val="24"/>
                <w:lang w:val="en-US" w:eastAsia="zh-CN"/>
              </w:rPr>
              <m:t>γ</m:t>
            </m:r>
            <m:ctrlPr>
              <w:rPr>
                <w:rFonts w:hint="eastAsia" w:ascii="Cambria Math" w:hAnsi="Cambria Math" w:eastAsia="仿宋" w:cs="仿宋"/>
                <w:b w:val="0"/>
                <w:bCs w:val="0"/>
                <w:color w:val="0070C0"/>
                <w:spacing w:val="0"/>
                <w:sz w:val="24"/>
                <w:szCs w:val="24"/>
                <w:lang w:val="en-US" w:eastAsia="zh-CN"/>
              </w:rPr>
            </m:ctrlPr>
          </m:e>
          <m:sub>
            <m:r>
              <m:rPr>
                <m:nor/>
                <m:sty m:val="p"/>
              </m:rPr>
              <w:rPr>
                <w:rFonts w:hint="eastAsia" w:ascii="Cambria Math" w:hAnsi="Cambria Math" w:eastAsia="仿宋" w:cs="仿宋"/>
                <w:b w:val="0"/>
                <w:bCs w:val="0"/>
                <w:i w:val="0"/>
                <w:color w:val="0070C0"/>
                <w:spacing w:val="0"/>
                <w:sz w:val="24"/>
                <w:szCs w:val="24"/>
                <w:lang w:val="en-US" w:eastAsia="zh-CN"/>
              </w:rPr>
              <m:t>Rs</m:t>
            </m:r>
            <m:ctrlPr>
              <w:rPr>
                <w:rFonts w:hint="eastAsia" w:ascii="Cambria Math" w:hAnsi="Cambria Math" w:eastAsia="仿宋" w:cs="仿宋"/>
                <w:b w:val="0"/>
                <w:bCs w:val="0"/>
                <w:color w:val="0070C0"/>
                <w:spacing w:val="0"/>
                <w:sz w:val="24"/>
                <w:szCs w:val="24"/>
                <w:lang w:val="en-US" w:eastAsia="zh-CN"/>
              </w:rPr>
            </m:ctrlPr>
          </m:sub>
        </m:sSub>
      </m:oMath>
      <w:r>
        <w:rPr>
          <w:rFonts w:hint="eastAsia" w:hAnsi="Cambria Math" w:cs="仿宋"/>
          <w:b w:val="0"/>
          <w:bCs w:val="0"/>
          <w:i w:val="0"/>
          <w:color w:val="0070C0"/>
          <w:spacing w:val="0"/>
          <w:sz w:val="24"/>
          <w:szCs w:val="24"/>
          <w:lang w:val="en-US" w:eastAsia="zh-CN"/>
        </w:rPr>
        <w:t xml:space="preserve">                              </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3.2.3-2</w:t>
      </w:r>
      <w:r>
        <w:rPr>
          <w:rFonts w:hint="default" w:ascii="Times New Roman" w:hAnsi="Times New Roman" w:eastAsia="宋体" w:cs="Times New Roman"/>
          <w:color w:val="auto"/>
          <w:sz w:val="24"/>
          <w:szCs w:val="24"/>
          <w:lang w:val="en-US" w:eastAsia="zh-CN"/>
        </w:rPr>
        <w:t>)</w:t>
      </w:r>
    </w:p>
    <w:p w14:paraId="13B70327">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式中：S——加固后结构构件内力组合的设计值；</w:t>
      </w:r>
    </w:p>
    <w:p w14:paraId="0B246963">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eastAsia" w:ascii="仿宋" w:hAnsi="仿宋" w:eastAsia="仿宋" w:cs="仿宋"/>
          <w:b w:val="0"/>
          <w:bCs w:val="0"/>
          <w:color w:val="0070C0"/>
          <w:spacing w:val="0"/>
          <w:sz w:val="24"/>
          <w:szCs w:val="24"/>
          <w:lang w:val="en-US" w:eastAsia="zh-CN"/>
        </w:rPr>
      </w:pPr>
      <m:oMath>
        <m:sSub>
          <m:sSubPr>
            <m:ctrlPr>
              <w:rPr>
                <w:rFonts w:hint="eastAsia" w:ascii="Cambria Math" w:hAnsi="Cambria Math" w:eastAsia="仿宋" w:cs="仿宋"/>
                <w:b w:val="0"/>
                <w:bCs w:val="0"/>
                <w:color w:val="0070C0"/>
                <w:spacing w:val="0"/>
                <w:sz w:val="24"/>
                <w:szCs w:val="24"/>
                <w:lang w:val="en-US" w:eastAsia="zh-CN"/>
              </w:rPr>
            </m:ctrlPr>
          </m:sSubPr>
          <m:e>
            <m:r>
              <m:rPr>
                <m:nor/>
                <m:sty m:val="p"/>
              </m:rPr>
              <w:rPr>
                <w:rFonts w:hint="eastAsia" w:ascii="Cambria Math" w:hAnsi="Cambria Math" w:eastAsia="仿宋" w:cs="仿宋"/>
                <w:b w:val="0"/>
                <w:bCs w:val="0"/>
                <w:i w:val="0"/>
                <w:color w:val="0070C0"/>
                <w:spacing w:val="0"/>
                <w:sz w:val="24"/>
                <w:szCs w:val="24"/>
                <w:lang w:val="en-US" w:eastAsia="zh-CN"/>
              </w:rPr>
              <m:t>ψ</m:t>
            </m:r>
            <m:ctrlPr>
              <w:rPr>
                <w:rFonts w:hint="eastAsia" w:ascii="Cambria Math" w:hAnsi="Cambria Math" w:eastAsia="仿宋" w:cs="仿宋"/>
                <w:b w:val="0"/>
                <w:bCs w:val="0"/>
                <w:color w:val="0070C0"/>
                <w:spacing w:val="0"/>
                <w:sz w:val="24"/>
                <w:szCs w:val="24"/>
                <w:lang w:val="en-US" w:eastAsia="zh-CN"/>
              </w:rPr>
            </m:ctrlPr>
          </m:e>
          <m:sub>
            <m:r>
              <m:rPr>
                <m:nor/>
                <m:sty m:val="p"/>
              </m:rPr>
              <w:rPr>
                <w:rFonts w:hint="eastAsia" w:ascii="Cambria Math" w:hAnsi="Cambria Math" w:eastAsia="仿宋" w:cs="仿宋"/>
                <w:b w:val="0"/>
                <w:bCs w:val="0"/>
                <w:i w:val="0"/>
                <w:color w:val="0070C0"/>
                <w:spacing w:val="0"/>
                <w:sz w:val="24"/>
                <w:szCs w:val="24"/>
                <w:lang w:val="en-US" w:eastAsia="zh-CN"/>
              </w:rPr>
              <m:t>1s</m:t>
            </m:r>
            <m:ctrlPr>
              <w:rPr>
                <w:rFonts w:hint="eastAsia" w:ascii="Cambria Math" w:hAnsi="Cambria Math" w:eastAsia="仿宋" w:cs="仿宋"/>
                <w:b w:val="0"/>
                <w:bCs w:val="0"/>
                <w:color w:val="0070C0"/>
                <w:spacing w:val="0"/>
                <w:sz w:val="24"/>
                <w:szCs w:val="24"/>
                <w:lang w:val="en-US" w:eastAsia="zh-CN"/>
              </w:rPr>
            </m:ctrlPr>
          </m:sub>
        </m:sSub>
      </m:oMath>
      <w:r>
        <w:rPr>
          <w:rFonts w:hint="eastAsia" w:ascii="仿宋" w:hAnsi="仿宋" w:eastAsia="仿宋" w:cs="仿宋"/>
          <w:b w:val="0"/>
          <w:bCs w:val="0"/>
          <w:color w:val="0070C0"/>
          <w:spacing w:val="0"/>
          <w:sz w:val="24"/>
          <w:szCs w:val="24"/>
          <w:lang w:val="en-US" w:eastAsia="zh-CN"/>
        </w:rPr>
        <w:t>、</w:t>
      </w:r>
      <m:oMath>
        <m:sSub>
          <m:sSubPr>
            <m:ctrlPr>
              <w:rPr>
                <w:rFonts w:hint="eastAsia" w:ascii="Cambria Math" w:hAnsi="Cambria Math" w:eastAsia="仿宋" w:cs="仿宋"/>
                <w:b w:val="0"/>
                <w:bCs w:val="0"/>
                <w:color w:val="0070C0"/>
                <w:spacing w:val="0"/>
                <w:sz w:val="24"/>
                <w:szCs w:val="24"/>
                <w:lang w:val="en-US" w:eastAsia="zh-CN"/>
              </w:rPr>
            </m:ctrlPr>
          </m:sSubPr>
          <m:e>
            <m:r>
              <m:rPr>
                <m:nor/>
                <m:sty m:val="p"/>
              </m:rPr>
              <w:rPr>
                <w:rFonts w:hint="eastAsia" w:ascii="Cambria Math" w:hAnsi="Cambria Math" w:eastAsia="仿宋" w:cs="仿宋"/>
                <w:b w:val="0"/>
                <w:bCs w:val="0"/>
                <w:i w:val="0"/>
                <w:color w:val="0070C0"/>
                <w:spacing w:val="0"/>
                <w:sz w:val="24"/>
                <w:szCs w:val="24"/>
                <w:lang w:val="en-US" w:eastAsia="zh-CN"/>
              </w:rPr>
              <m:t>ψ</m:t>
            </m:r>
            <m:ctrlPr>
              <w:rPr>
                <w:rFonts w:hint="eastAsia" w:ascii="Cambria Math" w:hAnsi="Cambria Math" w:eastAsia="仿宋" w:cs="仿宋"/>
                <w:b w:val="0"/>
                <w:bCs w:val="0"/>
                <w:color w:val="0070C0"/>
                <w:spacing w:val="0"/>
                <w:sz w:val="24"/>
                <w:szCs w:val="24"/>
                <w:lang w:val="en-US" w:eastAsia="zh-CN"/>
              </w:rPr>
            </m:ctrlPr>
          </m:e>
          <m:sub>
            <m:r>
              <m:rPr>
                <m:nor/>
                <m:sty m:val="p"/>
              </m:rPr>
              <w:rPr>
                <w:rFonts w:hint="eastAsia" w:ascii="Cambria Math" w:hAnsi="Cambria Math" w:eastAsia="仿宋" w:cs="仿宋"/>
                <w:b w:val="0"/>
                <w:bCs w:val="0"/>
                <w:i w:val="0"/>
                <w:color w:val="0070C0"/>
                <w:spacing w:val="0"/>
                <w:sz w:val="24"/>
                <w:szCs w:val="24"/>
                <w:lang w:val="en-US" w:eastAsia="zh-CN"/>
              </w:rPr>
              <m:t>2s</m:t>
            </m:r>
            <m:ctrlPr>
              <w:rPr>
                <w:rFonts w:hint="eastAsia" w:ascii="Cambria Math" w:hAnsi="Cambria Math" w:eastAsia="仿宋" w:cs="仿宋"/>
                <w:b w:val="0"/>
                <w:bCs w:val="0"/>
                <w:color w:val="0070C0"/>
                <w:spacing w:val="0"/>
                <w:sz w:val="24"/>
                <w:szCs w:val="24"/>
                <w:lang w:val="en-US" w:eastAsia="zh-CN"/>
              </w:rPr>
            </m:ctrlPr>
          </m:sub>
        </m:sSub>
      </m:oMath>
      <w:r>
        <w:rPr>
          <w:rFonts w:hint="eastAsia" w:ascii="仿宋" w:hAnsi="仿宋" w:eastAsia="仿宋" w:cs="仿宋"/>
          <w:b w:val="0"/>
          <w:bCs w:val="0"/>
          <w:color w:val="0070C0"/>
          <w:spacing w:val="0"/>
          <w:sz w:val="24"/>
          <w:szCs w:val="24"/>
          <w:lang w:val="en-US" w:eastAsia="zh-CN"/>
        </w:rPr>
        <w:t>——分别为加固后体系影响系数和局部影响系数；</w:t>
      </w:r>
    </w:p>
    <w:p w14:paraId="585DE911">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eastAsia" w:ascii="仿宋" w:hAnsi="仿宋" w:eastAsia="仿宋" w:cs="仿宋"/>
          <w:b w:val="0"/>
          <w:bCs w:val="0"/>
          <w:color w:val="0070C0"/>
          <w:spacing w:val="0"/>
          <w:sz w:val="24"/>
          <w:szCs w:val="24"/>
          <w:lang w:val="en-US" w:eastAsia="zh-CN"/>
        </w:rPr>
      </w:pPr>
      <m:oMath>
        <m:sSub>
          <m:sSubPr>
            <m:ctrlPr>
              <w:rPr>
                <w:rFonts w:hint="eastAsia" w:ascii="Cambria Math" w:hAnsi="Cambria Math" w:eastAsia="仿宋" w:cs="仿宋"/>
                <w:b w:val="0"/>
                <w:bCs w:val="0"/>
                <w:color w:val="0070C0"/>
                <w:spacing w:val="0"/>
                <w:sz w:val="24"/>
                <w:szCs w:val="24"/>
                <w:lang w:val="en-US" w:eastAsia="zh-CN"/>
              </w:rPr>
            </m:ctrlPr>
          </m:sSubPr>
          <m:e>
            <m:r>
              <m:rPr>
                <m:nor/>
                <m:sty m:val="p"/>
              </m:rPr>
              <w:rPr>
                <w:rFonts w:hint="eastAsia" w:ascii="Cambria Math" w:hAnsi="Cambria Math" w:eastAsia="仿宋" w:cs="仿宋"/>
                <w:b w:val="0"/>
                <w:bCs w:val="0"/>
                <w:i w:val="0"/>
                <w:color w:val="0070C0"/>
                <w:spacing w:val="0"/>
                <w:sz w:val="24"/>
                <w:szCs w:val="24"/>
                <w:lang w:val="en-US" w:eastAsia="zh-CN"/>
              </w:rPr>
              <m:t>R</m:t>
            </m:r>
            <m:ctrlPr>
              <w:rPr>
                <w:rFonts w:hint="eastAsia" w:ascii="Cambria Math" w:hAnsi="Cambria Math" w:eastAsia="仿宋" w:cs="仿宋"/>
                <w:b w:val="0"/>
                <w:bCs w:val="0"/>
                <w:color w:val="0070C0"/>
                <w:spacing w:val="0"/>
                <w:sz w:val="24"/>
                <w:szCs w:val="24"/>
                <w:lang w:val="en-US" w:eastAsia="zh-CN"/>
              </w:rPr>
            </m:ctrlPr>
          </m:e>
          <m:sub>
            <m:r>
              <m:rPr>
                <m:nor/>
                <m:sty m:val="p"/>
              </m:rPr>
              <w:rPr>
                <w:rFonts w:hint="eastAsia" w:ascii="Cambria Math" w:hAnsi="Cambria Math" w:eastAsia="仿宋" w:cs="仿宋"/>
                <w:b w:val="0"/>
                <w:bCs w:val="0"/>
                <w:i w:val="0"/>
                <w:color w:val="0070C0"/>
                <w:spacing w:val="0"/>
                <w:sz w:val="24"/>
                <w:szCs w:val="24"/>
                <w:lang w:val="en-US" w:eastAsia="zh-CN"/>
              </w:rPr>
              <m:t>s</m:t>
            </m:r>
            <m:ctrlPr>
              <w:rPr>
                <w:rFonts w:hint="eastAsia" w:ascii="Cambria Math" w:hAnsi="Cambria Math" w:eastAsia="仿宋" w:cs="仿宋"/>
                <w:b w:val="0"/>
                <w:bCs w:val="0"/>
                <w:color w:val="0070C0"/>
                <w:spacing w:val="0"/>
                <w:sz w:val="24"/>
                <w:szCs w:val="24"/>
                <w:lang w:val="en-US" w:eastAsia="zh-CN"/>
              </w:rPr>
            </m:ctrlPr>
          </m:sub>
        </m:sSub>
      </m:oMath>
      <w:r>
        <w:rPr>
          <w:rFonts w:hint="eastAsia" w:ascii="仿宋" w:hAnsi="仿宋" w:eastAsia="仿宋" w:cs="仿宋"/>
          <w:b w:val="0"/>
          <w:bCs w:val="0"/>
          <w:color w:val="0070C0"/>
          <w:spacing w:val="0"/>
          <w:sz w:val="24"/>
          <w:szCs w:val="24"/>
          <w:lang w:val="en-US" w:eastAsia="zh-CN"/>
        </w:rPr>
        <w:t>——加固后计入应变滞后等的构件承载力设计值；</w:t>
      </w:r>
    </w:p>
    <w:p w14:paraId="5638BD91">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eastAsia" w:ascii="仿宋" w:hAnsi="仿宋" w:eastAsia="仿宋" w:cs="仿宋"/>
          <w:b w:val="0"/>
          <w:bCs w:val="0"/>
          <w:color w:val="0070C0"/>
          <w:spacing w:val="0"/>
          <w:sz w:val="24"/>
          <w:szCs w:val="24"/>
          <w:lang w:val="en-US" w:eastAsia="zh-CN"/>
        </w:rPr>
      </w:pPr>
      <m:oMath>
        <m:sSub>
          <m:sSubPr>
            <m:ctrlPr>
              <w:rPr>
                <w:rFonts w:hint="eastAsia" w:ascii="Cambria Math" w:hAnsi="Cambria Math" w:eastAsia="仿宋" w:cs="仿宋"/>
                <w:b w:val="0"/>
                <w:bCs w:val="0"/>
                <w:color w:val="0070C0"/>
                <w:spacing w:val="0"/>
                <w:sz w:val="24"/>
                <w:szCs w:val="24"/>
                <w:lang w:val="en-US" w:eastAsia="zh-CN"/>
              </w:rPr>
            </m:ctrlPr>
          </m:sSubPr>
          <m:e>
            <m:r>
              <m:rPr>
                <m:nor/>
                <m:sty m:val="p"/>
              </m:rPr>
              <w:rPr>
                <w:rFonts w:hint="eastAsia" w:ascii="Cambria Math" w:hAnsi="Cambria Math" w:eastAsia="仿宋" w:cs="仿宋"/>
                <w:b w:val="0"/>
                <w:bCs w:val="0"/>
                <w:i w:val="0"/>
                <w:color w:val="0070C0"/>
                <w:spacing w:val="0"/>
                <w:sz w:val="24"/>
                <w:szCs w:val="24"/>
                <w:lang w:val="en-US" w:eastAsia="zh-CN"/>
              </w:rPr>
              <m:t>γ</m:t>
            </m:r>
            <m:ctrlPr>
              <w:rPr>
                <w:rFonts w:hint="eastAsia" w:ascii="Cambria Math" w:hAnsi="Cambria Math" w:eastAsia="仿宋" w:cs="仿宋"/>
                <w:b w:val="0"/>
                <w:bCs w:val="0"/>
                <w:color w:val="0070C0"/>
                <w:spacing w:val="0"/>
                <w:sz w:val="24"/>
                <w:szCs w:val="24"/>
                <w:lang w:val="en-US" w:eastAsia="zh-CN"/>
              </w:rPr>
            </m:ctrlPr>
          </m:e>
          <m:sub>
            <m:r>
              <m:rPr>
                <m:nor/>
                <m:sty m:val="p"/>
              </m:rPr>
              <w:rPr>
                <w:rFonts w:hint="eastAsia" w:ascii="Cambria Math" w:hAnsi="Cambria Math" w:eastAsia="仿宋" w:cs="仿宋"/>
                <w:b w:val="0"/>
                <w:bCs w:val="0"/>
                <w:i w:val="0"/>
                <w:color w:val="0070C0"/>
                <w:spacing w:val="0"/>
                <w:sz w:val="24"/>
                <w:szCs w:val="24"/>
                <w:lang w:val="en-US" w:eastAsia="zh-CN"/>
              </w:rPr>
              <m:t>Rs</m:t>
            </m:r>
            <m:ctrlPr>
              <w:rPr>
                <w:rFonts w:hint="eastAsia" w:ascii="Cambria Math" w:hAnsi="Cambria Math" w:eastAsia="仿宋" w:cs="仿宋"/>
                <w:b w:val="0"/>
                <w:bCs w:val="0"/>
                <w:color w:val="0070C0"/>
                <w:spacing w:val="0"/>
                <w:sz w:val="24"/>
                <w:szCs w:val="24"/>
                <w:lang w:val="en-US" w:eastAsia="zh-CN"/>
              </w:rPr>
            </m:ctrlPr>
          </m:sub>
        </m:sSub>
      </m:oMath>
      <w:r>
        <w:rPr>
          <w:rFonts w:hint="eastAsia" w:ascii="仿宋" w:hAnsi="仿宋" w:eastAsia="仿宋" w:cs="仿宋"/>
          <w:b w:val="0"/>
          <w:bCs w:val="0"/>
          <w:color w:val="0070C0"/>
          <w:spacing w:val="0"/>
          <w:sz w:val="24"/>
          <w:szCs w:val="24"/>
          <w:lang w:val="en-US" w:eastAsia="zh-CN"/>
        </w:rPr>
        <w:t>——抗震加固的承载力调整系数。</w:t>
      </w:r>
    </w:p>
    <w:p w14:paraId="3A606773">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其中，体系影响系数和局部影响系数在加固前、后应分别计算，体系影响系数是结构延性性能的体现。对于01系列抗规及其之后设计的既有建筑，在鉴定、加固设计中也可参照《建筑抗震鉴定标准》GB 50023中的相关精神进行综合抗震能力的评定。</w:t>
      </w:r>
    </w:p>
    <w:p w14:paraId="1CFEC684">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自95鉴定标准后，对既有建筑的抗震鉴定强调的是综合抗震能力，而不再针对单个构件。所谓综合抗震能力是指整个建筑结构考虑其构造和承载力等因素所具有的抵抗地震作用的能力。若结构现有承载力较高，则除了保证整体性所需的构造外，延性方面的构造鉴定要求可适当降低；反之，现有承载力较低时，则可用较高的延性构造予以弥补。实际工程中，部分抗震措施不满足规范要求，现场又不具备加固条件的情况，可通过提高地震作用和限制结构变形的方法进行整体结构抗震分析，进行综合抗震能力评定和加固。</w:t>
      </w:r>
    </w:p>
    <w:p w14:paraId="647D1793">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A类和B类建筑地震作用的计算可以参考以下方法：</w:t>
      </w:r>
    </w:p>
    <w:p w14:paraId="73D95EF7">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1 对于01系列抗规及其之后设计的既有建筑，地震作用可以按照以下计算方法：</w:t>
      </w:r>
    </w:p>
    <w:p w14:paraId="35C4B783">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1）抗震设防烈度、设计地震分组都不改变的地区，按改造后的结构依据现行抗规的规定计算地震作用。</w:t>
      </w:r>
    </w:p>
    <w:p w14:paraId="6B3B54FD">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2）抗震设防烈度不变、设计地震分组改变的地区，按改造后的结构，地震作用依据现行抗规的规定计算值按后续工作年限进行折减，并与原建造时的抗震规范计算的地震作用比较，取较大值。</w:t>
      </w:r>
    </w:p>
    <w:p w14:paraId="58813046">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3）对于抗震设防烈度提高的地区，对改造后的结构，依据新的抗震设防烈度计算地震作用，按后续工作年限进行折减。</w:t>
      </w:r>
    </w:p>
    <w:p w14:paraId="5ED6941F">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2 对于01系列抗规之前设计的既有建筑，因为采用的是89系列和78系列抗震规范，A类和B类建筑建议仍然可以采用现行《建筑抗震鉴定标准》GB 50023中的方法进行地震作用计算以及综合抗震承载能力的验算。</w:t>
      </w:r>
    </w:p>
    <w:p w14:paraId="7FBF9E8F">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eastAsia" w:ascii="仿宋" w:hAnsi="仿宋" w:eastAsia="仿宋" w:cs="仿宋"/>
          <w:color w:val="auto"/>
          <w:sz w:val="24"/>
          <w:szCs w:val="24"/>
        </w:rPr>
      </w:pPr>
      <w:r>
        <w:rPr>
          <w:rFonts w:hint="eastAsia" w:ascii="仿宋" w:hAnsi="仿宋" w:eastAsia="仿宋" w:cs="仿宋"/>
          <w:b w:val="0"/>
          <w:bCs w:val="0"/>
          <w:color w:val="0070C0"/>
          <w:spacing w:val="0"/>
          <w:sz w:val="24"/>
          <w:szCs w:val="24"/>
          <w:lang w:val="en-US" w:eastAsia="zh-CN"/>
        </w:rPr>
        <w:t>3 当抗震设防类别提高时，抗震承载力验算时尚应考虑抗震设防类别提高后对应的地震效应的调整。</w:t>
      </w:r>
    </w:p>
    <w:p w14:paraId="01748C8C">
      <w:pPr>
        <w:keepNext w:val="0"/>
        <w:keepLines w:val="0"/>
        <w:pageBreakBefore w:val="0"/>
        <w:widowControl w:val="0"/>
        <w:kinsoku/>
        <w:wordWrap/>
        <w:overflowPunct/>
        <w:topLinePunct w:val="0"/>
        <w:autoSpaceDE/>
        <w:autoSpaceDN/>
        <w:bidi w:val="0"/>
        <w:adjustRightInd/>
        <w:snapToGrid/>
        <w:spacing w:line="360" w:lineRule="exact"/>
        <w:ind w:left="0" w:right="0" w:firstLine="481"/>
        <w:textAlignment w:val="auto"/>
        <w:rPr>
          <w:rFonts w:hint="default" w:ascii="Times New Roman" w:hAnsi="Times New Roman" w:eastAsia="宋体" w:cs="Times New Roman"/>
          <w:color w:val="auto"/>
          <w:spacing w:val="-4"/>
          <w:sz w:val="24"/>
          <w:szCs w:val="24"/>
        </w:rPr>
      </w:pPr>
      <w:r>
        <w:rPr>
          <w:rFonts w:hint="default" w:ascii="Times New Roman" w:hAnsi="Times New Roman" w:eastAsia="宋体" w:cs="Times New Roman"/>
          <w:color w:val="auto"/>
          <w:spacing w:val="-3"/>
          <w:sz w:val="24"/>
          <w:szCs w:val="24"/>
        </w:rPr>
        <w:t>6 抗震鉴定和加固时，依据01系列抗规之前设计的规则的A类、B类多层砌体房屋和A</w:t>
      </w:r>
      <w:r>
        <w:rPr>
          <w:rFonts w:hint="default" w:ascii="Times New Roman" w:hAnsi="Times New Roman" w:eastAsia="宋体" w:cs="Times New Roman"/>
          <w:color w:val="auto"/>
          <w:spacing w:val="-1"/>
          <w:sz w:val="24"/>
          <w:szCs w:val="24"/>
        </w:rPr>
        <w:t>类多层钢筋混凝土房屋，可以采用计入体系</w:t>
      </w:r>
      <w:r>
        <w:rPr>
          <w:rFonts w:hint="default" w:ascii="Times New Roman" w:hAnsi="Times New Roman" w:eastAsia="宋体" w:cs="Times New Roman"/>
          <w:color w:val="auto"/>
          <w:spacing w:val="-2"/>
          <w:sz w:val="24"/>
          <w:szCs w:val="24"/>
        </w:rPr>
        <w:t>影响系数和局部影响系数的楼层综合抗震能力指</w:t>
      </w:r>
      <w:r>
        <w:rPr>
          <w:rFonts w:hint="default" w:ascii="Times New Roman" w:hAnsi="Times New Roman" w:eastAsia="宋体" w:cs="Times New Roman"/>
          <w:color w:val="auto"/>
          <w:sz w:val="24"/>
          <w:szCs w:val="24"/>
        </w:rPr>
        <w:t>数进行抗震验算，应按现行国家标准《既有建筑鉴定</w:t>
      </w:r>
      <w:r>
        <w:rPr>
          <w:rFonts w:hint="default" w:ascii="Times New Roman" w:hAnsi="Times New Roman" w:eastAsia="宋体" w:cs="Times New Roman"/>
          <w:color w:val="auto"/>
          <w:spacing w:val="-1"/>
          <w:sz w:val="24"/>
          <w:szCs w:val="24"/>
        </w:rPr>
        <w:t>与加固通用规范》GB</w:t>
      </w:r>
      <w:r>
        <w:rPr>
          <w:rFonts w:hint="default" w:ascii="Times New Roman" w:hAnsi="Times New Roman" w:eastAsia="宋体" w:cs="Times New Roman"/>
          <w:color w:val="auto"/>
          <w:spacing w:val="-1"/>
          <w:sz w:val="24"/>
          <w:szCs w:val="24"/>
          <w:lang w:val="en-US" w:eastAsia="zh-CN"/>
        </w:rPr>
        <w:t xml:space="preserve"> </w:t>
      </w:r>
      <w:r>
        <w:rPr>
          <w:rFonts w:hint="default" w:ascii="Times New Roman" w:hAnsi="Times New Roman" w:eastAsia="宋体" w:cs="Times New Roman"/>
          <w:color w:val="auto"/>
          <w:spacing w:val="-1"/>
          <w:sz w:val="24"/>
          <w:szCs w:val="24"/>
        </w:rPr>
        <w:t>55021和《建筑抗</w:t>
      </w:r>
      <w:r>
        <w:rPr>
          <w:rFonts w:hint="default" w:ascii="Times New Roman" w:hAnsi="Times New Roman" w:eastAsia="宋体" w:cs="Times New Roman"/>
          <w:color w:val="auto"/>
          <w:spacing w:val="-4"/>
          <w:sz w:val="24"/>
          <w:szCs w:val="24"/>
        </w:rPr>
        <w:t>震鉴定标准》GB</w:t>
      </w:r>
      <w:r>
        <w:rPr>
          <w:rFonts w:hint="default" w:ascii="Times New Roman" w:hAnsi="Times New Roman" w:eastAsia="宋体" w:cs="Times New Roman"/>
          <w:color w:val="auto"/>
          <w:spacing w:val="-4"/>
          <w:sz w:val="24"/>
          <w:szCs w:val="24"/>
          <w:lang w:val="en-US" w:eastAsia="zh-CN"/>
        </w:rPr>
        <w:t xml:space="preserve"> </w:t>
      </w:r>
      <w:r>
        <w:rPr>
          <w:rFonts w:hint="default" w:ascii="Times New Roman" w:hAnsi="Times New Roman" w:eastAsia="宋体" w:cs="Times New Roman"/>
          <w:color w:val="auto"/>
          <w:spacing w:val="-4"/>
          <w:sz w:val="24"/>
          <w:szCs w:val="24"/>
        </w:rPr>
        <w:t>50023的有关规定执行。</w:t>
      </w:r>
    </w:p>
    <w:p w14:paraId="2C7145A1">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条文说明：应谨慎使用楼层综合抗震能力指数法进行抗震能力验算。本规程建议仅01系列抗规之前设计的规则的A类、B类多层砌体房屋和A类多层钢筋混凝土房屋可以采用楼层综合抗震能力指数表达的简化方法进行计算，并应计入体系影响系数和局部影响系数的影响，加固前、后应根据实际情况分别进行计算。</w:t>
      </w:r>
    </w:p>
    <w:p w14:paraId="34E964E4">
      <w:pPr>
        <w:keepNext w:val="0"/>
        <w:keepLines w:val="0"/>
        <w:pageBreakBefore w:val="0"/>
        <w:widowControl w:val="0"/>
        <w:kinsoku/>
        <w:wordWrap/>
        <w:overflowPunct/>
        <w:topLinePunct w:val="0"/>
        <w:autoSpaceDE/>
        <w:autoSpaceDN/>
        <w:bidi w:val="0"/>
        <w:adjustRightInd/>
        <w:snapToGrid/>
        <w:spacing w:line="360" w:lineRule="exact"/>
        <w:ind w:left="0" w:right="0" w:firstLine="481"/>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7 加固</w:t>
      </w:r>
      <w:r>
        <w:rPr>
          <w:rFonts w:hint="default" w:ascii="Times New Roman" w:hAnsi="Times New Roman" w:eastAsia="宋体" w:cs="Times New Roman"/>
          <w:color w:val="auto"/>
          <w:spacing w:val="-3"/>
          <w:sz w:val="24"/>
          <w:szCs w:val="24"/>
        </w:rPr>
        <w:t>所用</w:t>
      </w:r>
      <w:r>
        <w:rPr>
          <w:rFonts w:hint="default" w:ascii="Times New Roman" w:hAnsi="Times New Roman" w:eastAsia="宋体" w:cs="Times New Roman"/>
          <w:color w:val="auto"/>
          <w:sz w:val="24"/>
          <w:szCs w:val="24"/>
        </w:rPr>
        <w:t>材料的强度等级和力学性能指标，应符合国家现行相关标准、规范的要求。</w:t>
      </w:r>
    </w:p>
    <w:p w14:paraId="563E1B64">
      <w:pPr>
        <w:keepNext w:val="0"/>
        <w:keepLines w:val="0"/>
        <w:pageBreakBefore w:val="0"/>
        <w:widowControl w:val="0"/>
        <w:kinsoku/>
        <w:wordWrap/>
        <w:overflowPunct/>
        <w:topLinePunct w:val="0"/>
        <w:autoSpaceDE/>
        <w:autoSpaceDN/>
        <w:bidi w:val="0"/>
        <w:adjustRightInd/>
        <w:snapToGrid/>
        <w:spacing w:line="360" w:lineRule="exact"/>
        <w:ind w:left="0" w:right="0"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6"/>
          <w:sz w:val="24"/>
          <w:szCs w:val="24"/>
        </w:rPr>
        <w:t>8 验算结构、构件承载力时，应考虑原结构在加固时的实际受力状况，包括加固部分应</w:t>
      </w:r>
      <w:r>
        <w:rPr>
          <w:rFonts w:hint="default" w:ascii="Times New Roman" w:hAnsi="Times New Roman" w:eastAsia="宋体" w:cs="Times New Roman"/>
          <w:color w:val="auto"/>
          <w:spacing w:val="-2"/>
          <w:sz w:val="24"/>
          <w:szCs w:val="24"/>
        </w:rPr>
        <w:t>变滞后的影响，以及加固部分与原结构共同工作程度。</w:t>
      </w:r>
    </w:p>
    <w:p w14:paraId="1C51A2D2">
      <w:pPr>
        <w:keepNext w:val="0"/>
        <w:keepLines w:val="0"/>
        <w:pageBreakBefore w:val="0"/>
        <w:widowControl w:val="0"/>
        <w:kinsoku/>
        <w:wordWrap/>
        <w:overflowPunct/>
        <w:topLinePunct w:val="0"/>
        <w:autoSpaceDE/>
        <w:autoSpaceDN/>
        <w:bidi w:val="0"/>
        <w:adjustRightInd/>
        <w:snapToGrid/>
        <w:spacing w:line="360" w:lineRule="exact"/>
        <w:ind w:left="0" w:right="0" w:firstLine="477"/>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9 加固后改变传力路线或使结构质量增大时，应对相关结构、构件及建筑物地基基础进</w:t>
      </w:r>
      <w:r>
        <w:rPr>
          <w:rFonts w:hint="default" w:ascii="Times New Roman" w:hAnsi="Times New Roman" w:eastAsia="宋体" w:cs="Times New Roman"/>
          <w:color w:val="auto"/>
          <w:spacing w:val="-6"/>
          <w:sz w:val="24"/>
          <w:szCs w:val="24"/>
        </w:rPr>
        <w:t>行必要的验算。</w:t>
      </w:r>
    </w:p>
    <w:p w14:paraId="303F021E">
      <w:pPr>
        <w:keepNext w:val="0"/>
        <w:keepLines w:val="0"/>
        <w:pageBreakBefore w:val="0"/>
        <w:widowControl w:val="0"/>
        <w:kinsoku/>
        <w:wordWrap/>
        <w:overflowPunct/>
        <w:topLinePunct w:val="0"/>
        <w:autoSpaceDE/>
        <w:autoSpaceDN/>
        <w:bidi w:val="0"/>
        <w:adjustRightInd/>
        <w:snapToGrid/>
        <w:spacing w:line="360" w:lineRule="exact"/>
        <w:ind w:left="0" w:right="0" w:firstLine="49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3"/>
          <w:sz w:val="24"/>
          <w:szCs w:val="24"/>
        </w:rPr>
        <w:t>10 对超静定结构尚应考虑因构件截面改变、构件刚度改变</w:t>
      </w:r>
      <w:r>
        <w:rPr>
          <w:rFonts w:hint="default" w:ascii="Times New Roman" w:hAnsi="Times New Roman" w:eastAsia="宋体" w:cs="Times New Roman"/>
          <w:color w:val="auto"/>
          <w:spacing w:val="-4"/>
          <w:sz w:val="24"/>
          <w:szCs w:val="24"/>
        </w:rPr>
        <w:t>致使体系内力重分布的影响，并应采用合理的计算分析方法。</w:t>
      </w:r>
    </w:p>
    <w:p w14:paraId="1263BA23">
      <w:pPr>
        <w:keepNext w:val="0"/>
        <w:keepLines w:val="0"/>
        <w:pageBreakBefore w:val="0"/>
        <w:widowControl w:val="0"/>
        <w:kinsoku/>
        <w:wordWrap/>
        <w:overflowPunct/>
        <w:topLinePunct w:val="0"/>
        <w:autoSpaceDE/>
        <w:autoSpaceDN/>
        <w:bidi w:val="0"/>
        <w:adjustRightInd/>
        <w:snapToGrid/>
        <w:spacing w:line="360" w:lineRule="exact"/>
        <w:ind w:left="0" w:right="0" w:firstLine="1"/>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3.2.4</w:t>
      </w:r>
      <w:r>
        <w:rPr>
          <w:rFonts w:hint="default" w:ascii="Times New Roman" w:hAnsi="Times New Roman" w:eastAsia="宋体" w:cs="Times New Roman"/>
          <w:color w:val="auto"/>
          <w:spacing w:val="-6"/>
          <w:sz w:val="24"/>
          <w:szCs w:val="24"/>
        </w:rPr>
        <w:t xml:space="preserve"> 既有建筑结构、构件的加固，除应满足承载能力要求外，不应存在局部承载能力加强</w:t>
      </w:r>
      <w:r>
        <w:rPr>
          <w:rFonts w:hint="default" w:ascii="Times New Roman" w:hAnsi="Times New Roman" w:eastAsia="宋体" w:cs="Times New Roman"/>
          <w:color w:val="auto"/>
          <w:spacing w:val="-3"/>
          <w:sz w:val="24"/>
          <w:szCs w:val="24"/>
        </w:rPr>
        <w:t>或刚度变化导致产生新的薄弱部位。</w:t>
      </w:r>
    </w:p>
    <w:p w14:paraId="1556F65C">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条文说明：本条是根据国内外众多震害教训作出的规定，应防止加固后出现新的层间受剪承载力、层间刚度突变的楼层。对抗震设防区的结构、构件单纯进行承载能力加固，未必对抗震有利。因为局部的加强或刚度的突变，会形成新的薄弱部位，或导致地震作用效应的增大，故必须在进行静载下的承载能力加固的同时，考虑其抗震能力是否需要加强；同理，在进行抗震加固的同时，也应考虑其静载下的承载能力是否需要提高。倘若忽略了这个问题，将会因原结构、构件承载能力的不足，而使抗震加固无效。两者相辅相成，在结构、构件加固问题上，必须全面考虑周到，决不可就事论事，片面地采取加固措施，以致留下安全隐患。</w:t>
      </w:r>
    </w:p>
    <w:p w14:paraId="574E8CC8">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3.2.5</w:t>
      </w:r>
      <w:r>
        <w:rPr>
          <w:rFonts w:hint="default" w:ascii="Times New Roman" w:hAnsi="Times New Roman" w:eastAsia="宋体" w:cs="Times New Roman"/>
          <w:color w:val="auto"/>
          <w:spacing w:val="-1"/>
          <w:sz w:val="24"/>
          <w:szCs w:val="24"/>
        </w:rPr>
        <w:t xml:space="preserve"> 采用结构胶粘结加固结构构件时，应</w:t>
      </w:r>
      <w:r>
        <w:rPr>
          <w:rFonts w:hint="default" w:ascii="Times New Roman" w:hAnsi="Times New Roman" w:eastAsia="宋体" w:cs="Times New Roman"/>
          <w:color w:val="auto"/>
          <w:spacing w:val="-2"/>
          <w:sz w:val="24"/>
          <w:szCs w:val="24"/>
        </w:rPr>
        <w:t>对原结构构件进行验算；加固后正截面受弯承载力应符合现行标准的规定，并应验算其受剪承载力。</w:t>
      </w:r>
    </w:p>
    <w:p w14:paraId="5F7C1157">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条文说明：采用结构胶加固的原结构、构件必须具有一定承载力，以便在结构加固部分意外失效时也能继续承受永久荷载和少量可变荷载的作用。验算时应要求原结构、构件能承担n倍永久荷载标准值的作用，当可变荷载标准值与永久荷载标准值之比不大于1时，n应取1.2；当该比值不小于2时，n应取1.5；其间应按线性内插法。</w:t>
      </w:r>
    </w:p>
    <w:p w14:paraId="5B976FFA">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此外，结构胶粘结加固结构构件时，正截面承载力的提高幅度要有限制，其目的是为了控制加固后构件的裂缝宽度和变形，也是为了强调“强剪弱弯”设计原则的重要性。对于钢筋混凝土结构构件采用粘贴钢板或粘贴纤维复合材加固后，其正截面受弯承载力的提高幅度不应超过40%，对于钢结构构件采用粘贴钢板加固后，其受弯承载力以及受剪承载力的提高幅度均不应超过30%。</w:t>
      </w:r>
    </w:p>
    <w:p w14:paraId="6ED46776">
      <w:pPr>
        <w:keepNext w:val="0"/>
        <w:keepLines w:val="0"/>
        <w:pageBreakBefore w:val="0"/>
        <w:widowControl w:val="0"/>
        <w:kinsoku/>
        <w:wordWrap/>
        <w:overflowPunct/>
        <w:topLinePunct w:val="0"/>
        <w:autoSpaceDE/>
        <w:autoSpaceDN/>
        <w:bidi w:val="0"/>
        <w:adjustRightInd/>
        <w:snapToGrid/>
        <w:spacing w:line="360" w:lineRule="exact"/>
        <w:ind w:left="0" w:right="0" w:firstLine="4"/>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3.2.6</w:t>
      </w:r>
      <w:r>
        <w:rPr>
          <w:rFonts w:hint="default" w:ascii="Times New Roman" w:hAnsi="Times New Roman" w:eastAsia="宋体" w:cs="Times New Roman"/>
          <w:color w:val="auto"/>
          <w:spacing w:val="-5"/>
          <w:sz w:val="24"/>
          <w:szCs w:val="24"/>
        </w:rPr>
        <w:t xml:space="preserve"> 对既有建筑进行加层、</w:t>
      </w:r>
      <w:r>
        <w:rPr>
          <w:rFonts w:hint="default" w:ascii="Times New Roman" w:hAnsi="Times New Roman" w:eastAsia="宋体" w:cs="Times New Roman"/>
          <w:color w:val="auto"/>
          <w:spacing w:val="-5"/>
          <w:sz w:val="24"/>
          <w:szCs w:val="24"/>
          <w:lang w:val="en-US" w:eastAsia="zh-CN"/>
        </w:rPr>
        <w:t>插层或</w:t>
      </w:r>
      <w:r>
        <w:rPr>
          <w:rFonts w:hint="default" w:ascii="Times New Roman" w:hAnsi="Times New Roman" w:eastAsia="宋体" w:cs="Times New Roman"/>
          <w:color w:val="auto"/>
          <w:spacing w:val="-5"/>
          <w:sz w:val="24"/>
          <w:szCs w:val="24"/>
        </w:rPr>
        <w:t>扩建时，应按加层、</w:t>
      </w:r>
      <w:r>
        <w:rPr>
          <w:rFonts w:hint="default" w:ascii="Times New Roman" w:hAnsi="Times New Roman" w:eastAsia="宋体" w:cs="Times New Roman"/>
          <w:color w:val="auto"/>
          <w:spacing w:val="-5"/>
          <w:sz w:val="24"/>
          <w:szCs w:val="24"/>
          <w:lang w:val="en-US" w:eastAsia="zh-CN"/>
        </w:rPr>
        <w:t>插层或</w:t>
      </w:r>
      <w:r>
        <w:rPr>
          <w:rFonts w:hint="default" w:ascii="Times New Roman" w:hAnsi="Times New Roman" w:eastAsia="宋体" w:cs="Times New Roman"/>
          <w:color w:val="auto"/>
          <w:spacing w:val="-5"/>
          <w:sz w:val="24"/>
          <w:szCs w:val="24"/>
        </w:rPr>
        <w:t>扩建后的结构状态建立计算模型进行整体抗震计算，计算时应将原建筑和加层或扩建部分一并考虑。一般情况下，应按现行抗震设计标准进行抗震鉴定，并按现行抗震设计标准进行加固和改造设计。对于原有建筑进行小范围加层、插层或扩建时，可按原房屋建造年代确定其后续工作年限并进行抗震鉴定。</w:t>
      </w:r>
    </w:p>
    <w:p w14:paraId="10BE2C0E">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条文说明：对于加层、扩建的加固改造工程，一般情况下，按C类建筑的要求进行抗震鉴定，且鉴定时应按照改造后结构状态进行抗震验算。未经抗震设计的既有建筑不宜进行加层、扩建改造。</w:t>
      </w:r>
    </w:p>
    <w:p w14:paraId="706FDC4E">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对于加层、扩建改造范围较小，经专门研究和论证，如对原结构安全性影响较小的情况，可以按照既有建筑建造年代确定其后续工作年限，以此确定鉴定和加固设计的要求，但新增结构构件应满足现行《建筑抗震设计标准》GB/T 50011的抗震措施要求。加层或扩建面积不超过原房屋总建筑面积5%且单层新增面积不超过原房屋典型楼层面积的10%（对于屋顶加一层设备用房时，可放松到不超过原屋顶面积30%）时，可以认为是加层、扩建改造范围较小、对原结构安全性影响较小的情况。</w:t>
      </w:r>
    </w:p>
    <w:p w14:paraId="6ED8F5E9">
      <w:pPr>
        <w:keepNext w:val="0"/>
        <w:keepLines w:val="0"/>
        <w:pageBreakBefore w:val="0"/>
        <w:widowControl w:val="0"/>
        <w:kinsoku/>
        <w:wordWrap/>
        <w:overflowPunct/>
        <w:topLinePunct w:val="0"/>
        <w:autoSpaceDE/>
        <w:autoSpaceDN/>
        <w:bidi w:val="0"/>
        <w:adjustRightInd/>
        <w:snapToGrid/>
        <w:spacing w:line="360" w:lineRule="exact"/>
        <w:ind w:left="0" w:right="0" w:firstLine="4"/>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3.2.7</w:t>
      </w:r>
      <w:r>
        <w:rPr>
          <w:rFonts w:hint="default" w:ascii="Times New Roman" w:hAnsi="Times New Roman" w:eastAsia="宋体" w:cs="Times New Roman"/>
          <w:color w:val="auto"/>
          <w:spacing w:val="-1"/>
          <w:sz w:val="24"/>
          <w:szCs w:val="24"/>
        </w:rPr>
        <w:t xml:space="preserve"> 当采用常规加固方法难以满足有</w:t>
      </w:r>
      <w:r>
        <w:rPr>
          <w:rFonts w:hint="default" w:ascii="Times New Roman" w:hAnsi="Times New Roman" w:eastAsia="宋体" w:cs="Times New Roman"/>
          <w:color w:val="auto"/>
          <w:spacing w:val="-2"/>
          <w:sz w:val="24"/>
          <w:szCs w:val="24"/>
        </w:rPr>
        <w:t>关规范的抗震要求时，可按抗震性能目标的要求进行</w:t>
      </w:r>
      <w:r>
        <w:rPr>
          <w:rFonts w:hint="default" w:ascii="Times New Roman" w:hAnsi="Times New Roman" w:eastAsia="宋体" w:cs="Times New Roman"/>
          <w:color w:val="auto"/>
          <w:spacing w:val="-1"/>
          <w:sz w:val="24"/>
          <w:szCs w:val="24"/>
        </w:rPr>
        <w:t>抗震性能化设计，选用适宜的结构抗震性能</w:t>
      </w:r>
      <w:r>
        <w:rPr>
          <w:rFonts w:hint="default" w:ascii="Times New Roman" w:hAnsi="Times New Roman" w:eastAsia="宋体" w:cs="Times New Roman"/>
          <w:color w:val="auto"/>
          <w:spacing w:val="-2"/>
          <w:sz w:val="24"/>
          <w:szCs w:val="24"/>
        </w:rPr>
        <w:t>目标，并采取满足预期抗震性能目标的措施，其</w:t>
      </w:r>
      <w:r>
        <w:rPr>
          <w:rFonts w:hint="default" w:ascii="Times New Roman" w:hAnsi="Times New Roman" w:eastAsia="宋体" w:cs="Times New Roman"/>
          <w:color w:val="auto"/>
          <w:spacing w:val="-3"/>
          <w:sz w:val="24"/>
          <w:szCs w:val="24"/>
        </w:rPr>
        <w:t>加固改造技术方案应进行专门研究。</w:t>
      </w:r>
    </w:p>
    <w:p w14:paraId="52044A2D">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条文说明：既有建筑加固改造抗震性能化设计可根据后续工作年限制定安全、经济、可行的结构抗震性能目标。</w:t>
      </w:r>
    </w:p>
    <w:p w14:paraId="6896EA5C">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基于结构性能目标的抗震加固设计通常配合消能减震技术使用，有关消能减震加固设计内容详见本规程第9章。</w:t>
      </w:r>
    </w:p>
    <w:p w14:paraId="4DFF758B">
      <w:pPr>
        <w:pStyle w:val="3"/>
        <w:bidi w:val="0"/>
        <w:rPr>
          <w:rFonts w:hint="default"/>
        </w:rPr>
      </w:pPr>
      <w:bookmarkStart w:id="16" w:name="bookmark12"/>
      <w:bookmarkEnd w:id="16"/>
      <w:bookmarkStart w:id="17" w:name="bookmark11"/>
      <w:bookmarkEnd w:id="17"/>
      <w:bookmarkStart w:id="18" w:name="_Toc6963"/>
      <w:r>
        <w:rPr>
          <w:rFonts w:hint="default"/>
        </w:rPr>
        <w:t>3.3 加固方法及配合使用的技术</w:t>
      </w:r>
      <w:bookmarkEnd w:id="18"/>
    </w:p>
    <w:p w14:paraId="162836A9">
      <w:pPr>
        <w:keepNext w:val="0"/>
        <w:keepLines w:val="0"/>
        <w:pageBreakBefore w:val="0"/>
        <w:widowControl w:val="0"/>
        <w:kinsoku/>
        <w:wordWrap/>
        <w:overflowPunct/>
        <w:topLinePunct w:val="0"/>
        <w:autoSpaceDE/>
        <w:autoSpaceDN/>
        <w:bidi w:val="0"/>
        <w:adjustRightInd/>
        <w:snapToGrid/>
        <w:spacing w:line="360" w:lineRule="exact"/>
        <w:ind w:left="0" w:right="0" w:hanging="14"/>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3.3.1</w:t>
      </w:r>
      <w:r>
        <w:rPr>
          <w:rFonts w:hint="default" w:ascii="Times New Roman" w:hAnsi="Times New Roman" w:eastAsia="宋体" w:cs="Times New Roman"/>
          <w:color w:val="auto"/>
          <w:spacing w:val="-1"/>
          <w:sz w:val="24"/>
          <w:szCs w:val="24"/>
        </w:rPr>
        <w:t xml:space="preserve"> 结构加固分为直接加固与间接加</w:t>
      </w:r>
      <w:r>
        <w:rPr>
          <w:rFonts w:hint="default" w:ascii="Times New Roman" w:hAnsi="Times New Roman" w:eastAsia="宋体" w:cs="Times New Roman"/>
          <w:color w:val="auto"/>
          <w:spacing w:val="-2"/>
          <w:sz w:val="24"/>
          <w:szCs w:val="24"/>
        </w:rPr>
        <w:t>固两类，设计时可根据实际条件和使用要求选择适宜</w:t>
      </w:r>
      <w:r>
        <w:rPr>
          <w:rFonts w:hint="default" w:ascii="Times New Roman" w:hAnsi="Times New Roman" w:eastAsia="宋体" w:cs="Times New Roman"/>
          <w:color w:val="auto"/>
          <w:spacing w:val="-5"/>
          <w:sz w:val="24"/>
          <w:szCs w:val="24"/>
        </w:rPr>
        <w:t>的加固方法及配合使用的技术。</w:t>
      </w:r>
    </w:p>
    <w:p w14:paraId="12940D45">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直接加固是指通过加固补强措施，直接提高构件截面承载力和刚度的方法。间接加固指改变结构体系或构件受力状态的加固方法。根据结构加固方法的受力特点，参照国内外有关文献将加固方法分为两类。就一般情况而言，直接加固法较为灵活，便于处理各类加固问题；间接加固法较为简便、可靠，且便于日后的拆卸、更换，因此在有些情况下，还可用于有可逆性要求的历史、文物建筑的抢险加固。设计时，可根据实际条件和使用要求进行选择。</w:t>
      </w:r>
    </w:p>
    <w:p w14:paraId="460A02C6">
      <w:pPr>
        <w:keepNext w:val="0"/>
        <w:keepLines w:val="0"/>
        <w:pageBreakBefore w:val="0"/>
        <w:widowControl w:val="0"/>
        <w:kinsoku/>
        <w:wordWrap/>
        <w:overflowPunct/>
        <w:topLinePunct w:val="0"/>
        <w:autoSpaceDE/>
        <w:autoSpaceDN/>
        <w:bidi w:val="0"/>
        <w:adjustRightInd/>
        <w:snapToGrid/>
        <w:spacing w:line="360" w:lineRule="exact"/>
        <w:ind w:left="0" w:right="0" w:firstLine="4"/>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3.3.2</w:t>
      </w:r>
      <w:r>
        <w:rPr>
          <w:rFonts w:hint="default" w:ascii="Times New Roman" w:hAnsi="Times New Roman" w:eastAsia="宋体" w:cs="Times New Roman"/>
          <w:color w:val="auto"/>
          <w:spacing w:val="-1"/>
          <w:sz w:val="24"/>
          <w:szCs w:val="24"/>
        </w:rPr>
        <w:t xml:space="preserve"> 直接加固法宜根据工程的实际情况选</w:t>
      </w:r>
      <w:r>
        <w:rPr>
          <w:rFonts w:hint="default" w:ascii="Times New Roman" w:hAnsi="Times New Roman" w:eastAsia="宋体" w:cs="Times New Roman"/>
          <w:color w:val="auto"/>
          <w:spacing w:val="-2"/>
          <w:sz w:val="24"/>
          <w:szCs w:val="24"/>
        </w:rPr>
        <w:t>用：砌体结构可采用外加面层加固法</w:t>
      </w:r>
      <w:r>
        <w:rPr>
          <w:rFonts w:hint="default" w:ascii="Times New Roman" w:hAnsi="Times New Roman" w:eastAsia="宋体" w:cs="Times New Roman"/>
          <w:color w:val="auto"/>
          <w:spacing w:val="-2"/>
          <w:sz w:val="24"/>
          <w:szCs w:val="24"/>
          <w:lang w:val="en-US" w:eastAsia="zh-CN"/>
        </w:rPr>
        <w:t>和粘贴纤维复合材</w:t>
      </w:r>
      <w:r>
        <w:rPr>
          <w:rFonts w:hint="default" w:ascii="Times New Roman" w:hAnsi="Times New Roman" w:eastAsia="宋体" w:cs="Times New Roman"/>
          <w:color w:val="auto"/>
          <w:spacing w:val="-4"/>
          <w:sz w:val="24"/>
          <w:szCs w:val="24"/>
        </w:rPr>
        <w:t>加固法等；混凝土结构可采用</w:t>
      </w:r>
      <w:r>
        <w:rPr>
          <w:rFonts w:hint="default" w:ascii="Times New Roman" w:hAnsi="Times New Roman" w:eastAsia="宋体" w:cs="Times New Roman"/>
          <w:color w:val="auto"/>
          <w:spacing w:val="-4"/>
          <w:sz w:val="24"/>
          <w:szCs w:val="24"/>
          <w:lang w:val="en-US" w:eastAsia="zh-CN"/>
        </w:rPr>
        <w:t>钢筋混凝土套加固</w:t>
      </w:r>
      <w:r>
        <w:rPr>
          <w:rFonts w:hint="default" w:ascii="Times New Roman" w:hAnsi="Times New Roman" w:eastAsia="宋体" w:cs="Times New Roman"/>
          <w:color w:val="auto"/>
          <w:spacing w:val="-4"/>
          <w:sz w:val="24"/>
          <w:szCs w:val="24"/>
        </w:rPr>
        <w:t>法</w:t>
      </w:r>
      <w:r>
        <w:rPr>
          <w:rFonts w:hint="default" w:ascii="Times New Roman" w:hAnsi="Times New Roman" w:eastAsia="宋体" w:cs="Times New Roman"/>
          <w:color w:val="auto"/>
          <w:spacing w:val="-4"/>
          <w:sz w:val="24"/>
          <w:szCs w:val="24"/>
          <w:lang w:val="en-US" w:eastAsia="zh-CN"/>
        </w:rPr>
        <w:t>和</w:t>
      </w:r>
      <w:r>
        <w:rPr>
          <w:rFonts w:hint="default" w:ascii="Times New Roman" w:hAnsi="Times New Roman" w:eastAsia="宋体" w:cs="Times New Roman"/>
          <w:color w:val="auto"/>
          <w:spacing w:val="-5"/>
          <w:sz w:val="24"/>
          <w:szCs w:val="24"/>
        </w:rPr>
        <w:t>复合截面加固法等；钢</w:t>
      </w:r>
      <w:r>
        <w:rPr>
          <w:rFonts w:hint="default" w:ascii="Times New Roman" w:hAnsi="Times New Roman" w:eastAsia="宋体" w:cs="Times New Roman"/>
          <w:color w:val="auto"/>
          <w:spacing w:val="-2"/>
          <w:sz w:val="24"/>
          <w:szCs w:val="24"/>
        </w:rPr>
        <w:t>结构可采用增大截面加固法、粘贴钢板加固法和组合加固法等。</w:t>
      </w:r>
    </w:p>
    <w:p w14:paraId="092CEBC6">
      <w:pPr>
        <w:keepNext w:val="0"/>
        <w:keepLines w:val="0"/>
        <w:pageBreakBefore w:val="0"/>
        <w:widowControl w:val="0"/>
        <w:kinsoku/>
        <w:wordWrap/>
        <w:overflowPunct/>
        <w:topLinePunct w:val="0"/>
        <w:autoSpaceDE/>
        <w:autoSpaceDN/>
        <w:bidi w:val="0"/>
        <w:adjustRightInd/>
        <w:snapToGrid/>
        <w:spacing w:line="360" w:lineRule="exact"/>
        <w:ind w:left="0" w:right="0" w:firstLine="4"/>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3.3.3</w:t>
      </w:r>
      <w:r>
        <w:rPr>
          <w:rFonts w:hint="default" w:ascii="Times New Roman" w:hAnsi="Times New Roman" w:eastAsia="宋体" w:cs="Times New Roman"/>
          <w:color w:val="auto"/>
          <w:spacing w:val="-1"/>
          <w:sz w:val="24"/>
          <w:szCs w:val="24"/>
        </w:rPr>
        <w:t xml:space="preserve"> 间接加固法宜根据工程的实际情</w:t>
      </w:r>
      <w:r>
        <w:rPr>
          <w:rFonts w:hint="default" w:ascii="Times New Roman" w:hAnsi="Times New Roman" w:eastAsia="宋体" w:cs="Times New Roman"/>
          <w:color w:val="auto"/>
          <w:spacing w:val="-2"/>
          <w:sz w:val="24"/>
          <w:szCs w:val="24"/>
        </w:rPr>
        <w:t>况选用：砌体结构可采用</w:t>
      </w:r>
      <w:r>
        <w:rPr>
          <w:rFonts w:hint="default" w:ascii="Times New Roman" w:hAnsi="Times New Roman" w:eastAsia="宋体" w:cs="Times New Roman"/>
          <w:color w:val="auto"/>
          <w:spacing w:val="-2"/>
          <w:sz w:val="24"/>
          <w:szCs w:val="24"/>
          <w:lang w:val="en-US" w:eastAsia="zh-CN"/>
        </w:rPr>
        <w:t>增设抗震墙加固法、增设圈梁-钢拉杆</w:t>
      </w:r>
      <w:r>
        <w:rPr>
          <w:rFonts w:hint="default" w:ascii="Times New Roman" w:hAnsi="Times New Roman" w:eastAsia="宋体" w:cs="Times New Roman"/>
          <w:color w:val="auto"/>
          <w:spacing w:val="-2"/>
          <w:sz w:val="24"/>
          <w:szCs w:val="24"/>
        </w:rPr>
        <w:t>加固法</w:t>
      </w:r>
      <w:r>
        <w:rPr>
          <w:rFonts w:hint="default" w:ascii="Times New Roman" w:hAnsi="Times New Roman" w:eastAsia="宋体" w:cs="Times New Roman"/>
          <w:color w:val="auto"/>
          <w:spacing w:val="-2"/>
          <w:sz w:val="24"/>
          <w:szCs w:val="24"/>
          <w:lang w:eastAsia="zh-CN"/>
        </w:rPr>
        <w:t>、</w:t>
      </w:r>
      <w:r>
        <w:rPr>
          <w:rFonts w:hint="default" w:ascii="Times New Roman" w:hAnsi="Times New Roman" w:eastAsia="宋体" w:cs="Times New Roman"/>
          <w:color w:val="auto"/>
          <w:spacing w:val="-2"/>
          <w:sz w:val="24"/>
          <w:szCs w:val="24"/>
          <w:lang w:val="en-US" w:eastAsia="zh-CN"/>
        </w:rPr>
        <w:t>外套钢筋混凝土结构加固法</w:t>
      </w:r>
      <w:r>
        <w:rPr>
          <w:rFonts w:hint="default" w:ascii="Times New Roman" w:hAnsi="Times New Roman" w:eastAsia="宋体" w:cs="Times New Roman"/>
          <w:color w:val="auto"/>
          <w:spacing w:val="-2"/>
          <w:sz w:val="24"/>
          <w:szCs w:val="24"/>
        </w:rPr>
        <w:t>和改</w:t>
      </w:r>
      <w:r>
        <w:rPr>
          <w:rFonts w:hint="default" w:ascii="Times New Roman" w:hAnsi="Times New Roman" w:eastAsia="宋体" w:cs="Times New Roman"/>
          <w:color w:val="auto"/>
          <w:spacing w:val="-1"/>
          <w:sz w:val="24"/>
          <w:szCs w:val="24"/>
        </w:rPr>
        <w:t>变结构传力路径的加固方法；混凝土结构可</w:t>
      </w:r>
      <w:r>
        <w:rPr>
          <w:rFonts w:hint="default" w:ascii="Times New Roman" w:hAnsi="Times New Roman" w:eastAsia="宋体" w:cs="Times New Roman"/>
          <w:color w:val="auto"/>
          <w:spacing w:val="-2"/>
          <w:sz w:val="24"/>
          <w:szCs w:val="24"/>
        </w:rPr>
        <w:t>采用</w:t>
      </w:r>
      <w:r>
        <w:rPr>
          <w:rFonts w:hint="default" w:ascii="Times New Roman" w:hAnsi="Times New Roman" w:eastAsia="宋体" w:cs="Times New Roman"/>
          <w:color w:val="auto"/>
          <w:sz w:val="24"/>
          <w:szCs w:val="24"/>
        </w:rPr>
        <w:t>增设抗震墙法</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pacing w:val="-2"/>
          <w:sz w:val="24"/>
          <w:szCs w:val="24"/>
        </w:rPr>
        <w:t>增设</w:t>
      </w:r>
      <w:r>
        <w:rPr>
          <w:rFonts w:hint="default" w:ascii="Times New Roman" w:hAnsi="Times New Roman" w:eastAsia="宋体" w:cs="Times New Roman"/>
          <w:color w:val="auto"/>
          <w:spacing w:val="-2"/>
          <w:sz w:val="24"/>
          <w:szCs w:val="24"/>
          <w:lang w:val="en-US" w:eastAsia="zh-CN"/>
        </w:rPr>
        <w:t>支撑加</w:t>
      </w:r>
      <w:r>
        <w:rPr>
          <w:rFonts w:hint="default" w:ascii="Times New Roman" w:hAnsi="Times New Roman" w:eastAsia="宋体" w:cs="Times New Roman"/>
          <w:color w:val="auto"/>
          <w:spacing w:val="-2"/>
          <w:sz w:val="24"/>
          <w:szCs w:val="24"/>
        </w:rPr>
        <w:t>固法、体外预应力加固法、</w:t>
      </w:r>
      <w:r>
        <w:rPr>
          <w:rFonts w:hint="default" w:ascii="Times New Roman" w:hAnsi="Times New Roman" w:eastAsia="宋体" w:cs="Times New Roman"/>
          <w:color w:val="auto"/>
          <w:spacing w:val="-2"/>
          <w:sz w:val="24"/>
          <w:szCs w:val="24"/>
          <w:lang w:val="en-US" w:eastAsia="zh-CN"/>
        </w:rPr>
        <w:t>消能减震</w:t>
      </w:r>
      <w:r>
        <w:rPr>
          <w:rFonts w:hint="default" w:ascii="Times New Roman" w:hAnsi="Times New Roman" w:eastAsia="宋体" w:cs="Times New Roman"/>
          <w:color w:val="auto"/>
          <w:sz w:val="24"/>
          <w:szCs w:val="24"/>
        </w:rPr>
        <w:t>加固法和等；钢结构可采用改变结构体系加固法和预应力加固法等。</w:t>
      </w:r>
    </w:p>
    <w:p w14:paraId="7AB16C2C">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条文说明：每种加固方法和配合使用的修复、修补技术，均有其适用范围和应用条件，选用时若无充分的科学试验和论证依据，切勿随意扩大其使用范围，或忽视其应用条件，以免考虑不周而酿成安全质量事故。</w:t>
      </w:r>
    </w:p>
    <w:p w14:paraId="3FD6788D">
      <w:pPr>
        <w:keepNext w:val="0"/>
        <w:keepLines w:val="0"/>
        <w:pageBreakBefore w:val="0"/>
        <w:widowControl w:val="0"/>
        <w:kinsoku/>
        <w:wordWrap/>
        <w:overflowPunct/>
        <w:topLinePunct w:val="0"/>
        <w:autoSpaceDE/>
        <w:autoSpaceDN/>
        <w:bidi w:val="0"/>
        <w:adjustRightInd/>
        <w:snapToGrid/>
        <w:spacing w:line="360" w:lineRule="exact"/>
        <w:ind w:left="0" w:right="0" w:hanging="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3.3.4</w:t>
      </w:r>
      <w:r>
        <w:rPr>
          <w:rFonts w:hint="default" w:ascii="Times New Roman" w:hAnsi="Times New Roman" w:eastAsia="宋体" w:cs="Times New Roman"/>
          <w:color w:val="auto"/>
          <w:spacing w:val="-4"/>
          <w:sz w:val="24"/>
          <w:szCs w:val="24"/>
        </w:rPr>
        <w:t xml:space="preserve"> 钢结构加固的连接方法宜采用焊缝连接、摩擦型高强螺栓连接；亦</w:t>
      </w:r>
      <w:r>
        <w:rPr>
          <w:rFonts w:hint="default" w:ascii="Times New Roman" w:hAnsi="Times New Roman" w:eastAsia="宋体" w:cs="Times New Roman"/>
          <w:color w:val="auto"/>
          <w:spacing w:val="-5"/>
          <w:sz w:val="24"/>
          <w:szCs w:val="24"/>
        </w:rPr>
        <w:t>可采用焊缝与摩擦</w:t>
      </w:r>
      <w:r>
        <w:rPr>
          <w:rFonts w:hint="default" w:ascii="Times New Roman" w:hAnsi="Times New Roman" w:eastAsia="宋体" w:cs="Times New Roman"/>
          <w:color w:val="auto"/>
          <w:spacing w:val="-4"/>
          <w:sz w:val="24"/>
          <w:szCs w:val="24"/>
        </w:rPr>
        <w:t>型高强螺栓的混合连接等。</w:t>
      </w:r>
    </w:p>
    <w:p w14:paraId="34B5E57F">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钢结构加固的连接对钢结构加固至关重要，在钢结构常用连接方法中，钢结构加固宜采用焊缝连接和摩擦型高强度螺栓连接。摩擦型高强度螺栓与焊接混合连接，国内外已进行了不少试验研究，且已进入工程实用阶段。为稳妥计，本规程第8.5节及《钢结构加固设计标准》GB 51367第11.4节作出了限制性规定。</w:t>
      </w:r>
    </w:p>
    <w:p w14:paraId="16FB97E7">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3.3.5</w:t>
      </w:r>
      <w:r>
        <w:rPr>
          <w:rFonts w:hint="default" w:ascii="Times New Roman" w:hAnsi="Times New Roman" w:eastAsia="宋体" w:cs="Times New Roman"/>
          <w:color w:val="auto"/>
          <w:spacing w:val="-1"/>
          <w:sz w:val="24"/>
          <w:szCs w:val="24"/>
        </w:rPr>
        <w:t xml:space="preserve"> 与结构加固方法配合使用的界面处理</w:t>
      </w:r>
      <w:r>
        <w:rPr>
          <w:rFonts w:hint="default" w:ascii="Times New Roman" w:hAnsi="Times New Roman" w:eastAsia="宋体" w:cs="Times New Roman"/>
          <w:color w:val="auto"/>
          <w:spacing w:val="-2"/>
          <w:sz w:val="24"/>
          <w:szCs w:val="24"/>
        </w:rPr>
        <w:t>技术、裂缝修补技术、锚固技术、阻锈技术、连</w:t>
      </w:r>
      <w:r>
        <w:rPr>
          <w:rFonts w:hint="default" w:ascii="Times New Roman" w:hAnsi="Times New Roman" w:eastAsia="宋体" w:cs="Times New Roman"/>
          <w:color w:val="auto"/>
          <w:spacing w:val="-4"/>
          <w:sz w:val="24"/>
          <w:szCs w:val="24"/>
        </w:rPr>
        <w:t>接技术和修复、修补技术等应符合《混凝土结构加固设计规范》GB</w:t>
      </w:r>
      <w:r>
        <w:rPr>
          <w:rFonts w:hint="default" w:ascii="Times New Roman" w:hAnsi="Times New Roman" w:eastAsia="宋体" w:cs="Times New Roman"/>
          <w:color w:val="auto"/>
          <w:spacing w:val="-4"/>
          <w:sz w:val="24"/>
          <w:szCs w:val="24"/>
          <w:lang w:val="en-US" w:eastAsia="zh-CN"/>
        </w:rPr>
        <w:t xml:space="preserve"> </w:t>
      </w:r>
      <w:r>
        <w:rPr>
          <w:rFonts w:hint="default" w:ascii="Times New Roman" w:hAnsi="Times New Roman" w:eastAsia="宋体" w:cs="Times New Roman"/>
          <w:color w:val="auto"/>
          <w:spacing w:val="-4"/>
          <w:sz w:val="24"/>
          <w:szCs w:val="24"/>
        </w:rPr>
        <w:t>50</w:t>
      </w:r>
      <w:r>
        <w:rPr>
          <w:rFonts w:hint="default" w:ascii="Times New Roman" w:hAnsi="Times New Roman" w:eastAsia="宋体" w:cs="Times New Roman"/>
          <w:color w:val="auto"/>
          <w:spacing w:val="-5"/>
          <w:sz w:val="24"/>
          <w:szCs w:val="24"/>
        </w:rPr>
        <w:t>367、《砌体结构加固设</w:t>
      </w:r>
      <w:r>
        <w:rPr>
          <w:rFonts w:hint="default" w:ascii="Times New Roman" w:hAnsi="Times New Roman" w:eastAsia="宋体" w:cs="Times New Roman"/>
          <w:color w:val="auto"/>
          <w:spacing w:val="-3"/>
          <w:sz w:val="24"/>
          <w:szCs w:val="24"/>
        </w:rPr>
        <w:t>计规范》GB</w:t>
      </w:r>
      <w:r>
        <w:rPr>
          <w:rFonts w:hint="default" w:ascii="Times New Roman" w:hAnsi="Times New Roman" w:eastAsia="宋体" w:cs="Times New Roman"/>
          <w:color w:val="auto"/>
          <w:spacing w:val="-3"/>
          <w:sz w:val="24"/>
          <w:szCs w:val="24"/>
          <w:lang w:val="en-US" w:eastAsia="zh-CN"/>
        </w:rPr>
        <w:t xml:space="preserve"> </w:t>
      </w:r>
      <w:r>
        <w:rPr>
          <w:rFonts w:hint="default" w:ascii="Times New Roman" w:hAnsi="Times New Roman" w:eastAsia="宋体" w:cs="Times New Roman"/>
          <w:color w:val="auto"/>
          <w:spacing w:val="-3"/>
          <w:sz w:val="24"/>
          <w:szCs w:val="24"/>
        </w:rPr>
        <w:t>50702以及《钢结构加固设计标准》GB</w:t>
      </w:r>
      <w:r>
        <w:rPr>
          <w:rFonts w:hint="default" w:ascii="Times New Roman" w:hAnsi="Times New Roman" w:eastAsia="宋体" w:cs="Times New Roman"/>
          <w:color w:val="auto"/>
          <w:spacing w:val="-3"/>
          <w:sz w:val="24"/>
          <w:szCs w:val="24"/>
          <w:lang w:val="en-US" w:eastAsia="zh-CN"/>
        </w:rPr>
        <w:t xml:space="preserve"> </w:t>
      </w:r>
      <w:r>
        <w:rPr>
          <w:rFonts w:hint="default" w:ascii="Times New Roman" w:hAnsi="Times New Roman" w:eastAsia="宋体" w:cs="Times New Roman"/>
          <w:color w:val="auto"/>
          <w:spacing w:val="-3"/>
          <w:sz w:val="24"/>
          <w:szCs w:val="24"/>
        </w:rPr>
        <w:t>51367的规定。</w:t>
      </w:r>
    </w:p>
    <w:p w14:paraId="5DF4CEA1">
      <w:pPr>
        <w:pStyle w:val="3"/>
        <w:bidi w:val="0"/>
        <w:rPr>
          <w:rFonts w:hint="default"/>
        </w:rPr>
      </w:pPr>
      <w:bookmarkStart w:id="19" w:name="bookmark14"/>
      <w:bookmarkEnd w:id="19"/>
      <w:bookmarkStart w:id="20" w:name="bookmark13"/>
      <w:bookmarkEnd w:id="20"/>
      <w:bookmarkStart w:id="21" w:name="_Toc28162"/>
      <w:r>
        <w:rPr>
          <w:rFonts w:hint="default"/>
        </w:rPr>
        <w:t>3.4 加固材料</w:t>
      </w:r>
      <w:bookmarkEnd w:id="21"/>
    </w:p>
    <w:p w14:paraId="013A773F">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3.4.1</w:t>
      </w:r>
      <w:r>
        <w:rPr>
          <w:rFonts w:hint="default" w:ascii="Times New Roman" w:hAnsi="Times New Roman" w:eastAsia="宋体" w:cs="Times New Roman"/>
          <w:color w:val="auto"/>
          <w:spacing w:val="-2"/>
          <w:sz w:val="24"/>
          <w:szCs w:val="24"/>
        </w:rPr>
        <w:t xml:space="preserve"> 结构加固用的砌体块材、砌筑砂浆、外加面层砂浆，应符合下列规定：</w:t>
      </w:r>
    </w:p>
    <w:p w14:paraId="2151B21F">
      <w:pPr>
        <w:keepNext w:val="0"/>
        <w:keepLines w:val="0"/>
        <w:pageBreakBefore w:val="0"/>
        <w:widowControl w:val="0"/>
        <w:kinsoku/>
        <w:wordWrap/>
        <w:overflowPunct/>
        <w:topLinePunct w:val="0"/>
        <w:autoSpaceDE/>
        <w:autoSpaceDN/>
        <w:bidi w:val="0"/>
        <w:adjustRightInd/>
        <w:snapToGrid/>
        <w:spacing w:line="360" w:lineRule="exact"/>
        <w:ind w:left="0" w:right="0" w:firstLine="497"/>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7"/>
          <w:sz w:val="24"/>
          <w:szCs w:val="24"/>
        </w:rPr>
        <w:t>1 加固用砌体块材、砌筑砂浆、外加面层砂浆的性能指标，应符合现行国家标准《建筑</w:t>
      </w:r>
      <w:r>
        <w:rPr>
          <w:rFonts w:hint="default" w:ascii="Times New Roman" w:hAnsi="Times New Roman" w:eastAsia="宋体" w:cs="Times New Roman"/>
          <w:color w:val="auto"/>
          <w:spacing w:val="-8"/>
          <w:sz w:val="24"/>
          <w:szCs w:val="24"/>
        </w:rPr>
        <w:t>抗震设计</w:t>
      </w:r>
      <w:r>
        <w:rPr>
          <w:rFonts w:hint="default" w:ascii="Times New Roman" w:hAnsi="Times New Roman" w:eastAsia="宋体" w:cs="Times New Roman"/>
          <w:color w:val="auto"/>
          <w:spacing w:val="-8"/>
          <w:sz w:val="24"/>
          <w:szCs w:val="24"/>
          <w:lang w:val="en-US" w:eastAsia="zh-CN"/>
        </w:rPr>
        <w:t>标准</w:t>
      </w:r>
      <w:r>
        <w:rPr>
          <w:rFonts w:hint="default" w:ascii="Times New Roman" w:hAnsi="Times New Roman" w:eastAsia="宋体" w:cs="Times New Roman"/>
          <w:color w:val="auto"/>
          <w:spacing w:val="-8"/>
          <w:sz w:val="24"/>
          <w:szCs w:val="24"/>
        </w:rPr>
        <w:t>》GB</w:t>
      </w:r>
      <w:r>
        <w:rPr>
          <w:rFonts w:hint="default" w:ascii="Times New Roman" w:hAnsi="Times New Roman" w:eastAsia="宋体" w:cs="Times New Roman"/>
          <w:color w:val="auto"/>
          <w:spacing w:val="-8"/>
          <w:sz w:val="24"/>
          <w:szCs w:val="24"/>
          <w:lang w:val="en-US" w:eastAsia="zh-CN"/>
        </w:rPr>
        <w:t xml:space="preserve">/T </w:t>
      </w:r>
      <w:r>
        <w:rPr>
          <w:rFonts w:hint="default" w:ascii="Times New Roman" w:hAnsi="Times New Roman" w:eastAsia="宋体" w:cs="Times New Roman"/>
          <w:color w:val="auto"/>
          <w:spacing w:val="-8"/>
          <w:sz w:val="24"/>
          <w:szCs w:val="24"/>
        </w:rPr>
        <w:t>50011、《砌体结构设计规范》GB</w:t>
      </w:r>
      <w:r>
        <w:rPr>
          <w:rFonts w:hint="default" w:ascii="Times New Roman" w:hAnsi="Times New Roman" w:eastAsia="宋体" w:cs="Times New Roman"/>
          <w:color w:val="auto"/>
          <w:spacing w:val="-8"/>
          <w:sz w:val="24"/>
          <w:szCs w:val="24"/>
          <w:lang w:val="en-US" w:eastAsia="zh-CN"/>
        </w:rPr>
        <w:t xml:space="preserve"> </w:t>
      </w:r>
      <w:r>
        <w:rPr>
          <w:rFonts w:hint="default" w:ascii="Times New Roman" w:hAnsi="Times New Roman" w:eastAsia="宋体" w:cs="Times New Roman"/>
          <w:color w:val="auto"/>
          <w:spacing w:val="-8"/>
          <w:sz w:val="24"/>
          <w:szCs w:val="24"/>
        </w:rPr>
        <w:t>50003、《砌体结构加固设计规范》GB</w:t>
      </w:r>
      <w:r>
        <w:rPr>
          <w:rFonts w:hint="default" w:ascii="Times New Roman" w:hAnsi="Times New Roman" w:eastAsia="宋体" w:cs="Times New Roman"/>
          <w:color w:val="auto"/>
          <w:spacing w:val="-8"/>
          <w:sz w:val="24"/>
          <w:szCs w:val="24"/>
          <w:lang w:val="en-US" w:eastAsia="zh-CN"/>
        </w:rPr>
        <w:t xml:space="preserve"> </w:t>
      </w:r>
      <w:r>
        <w:rPr>
          <w:rFonts w:hint="default" w:ascii="Times New Roman" w:hAnsi="Times New Roman" w:eastAsia="宋体" w:cs="Times New Roman"/>
          <w:color w:val="auto"/>
          <w:spacing w:val="-8"/>
          <w:sz w:val="24"/>
          <w:szCs w:val="24"/>
        </w:rPr>
        <w:t>50702</w:t>
      </w:r>
      <w:r>
        <w:rPr>
          <w:rFonts w:hint="default" w:ascii="Times New Roman" w:hAnsi="Times New Roman" w:eastAsia="宋体" w:cs="Times New Roman"/>
          <w:color w:val="auto"/>
          <w:spacing w:val="-7"/>
          <w:sz w:val="24"/>
          <w:szCs w:val="24"/>
        </w:rPr>
        <w:t>的有关规定。</w:t>
      </w:r>
    </w:p>
    <w:p w14:paraId="4117B83F">
      <w:pPr>
        <w:keepNext w:val="0"/>
        <w:keepLines w:val="0"/>
        <w:pageBreakBefore w:val="0"/>
        <w:widowControl w:val="0"/>
        <w:kinsoku/>
        <w:wordWrap/>
        <w:overflowPunct/>
        <w:topLinePunct w:val="0"/>
        <w:autoSpaceDE/>
        <w:autoSpaceDN/>
        <w:bidi w:val="0"/>
        <w:adjustRightInd/>
        <w:snapToGrid/>
        <w:spacing w:line="360" w:lineRule="exact"/>
        <w:ind w:left="0" w:right="0"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
          <w:sz w:val="24"/>
          <w:szCs w:val="24"/>
        </w:rPr>
        <w:t>2 砌体结构加固用的块体（块材</w:t>
      </w:r>
      <w:r>
        <w:rPr>
          <w:rFonts w:hint="default" w:ascii="Times New Roman" w:hAnsi="Times New Roman" w:eastAsia="宋体" w:cs="Times New Roman"/>
          <w:color w:val="auto"/>
          <w:spacing w:val="-52"/>
          <w:sz w:val="24"/>
          <w:szCs w:val="24"/>
        </w:rPr>
        <w:t>），</w:t>
      </w:r>
      <w:r>
        <w:rPr>
          <w:rFonts w:hint="default" w:ascii="Times New Roman" w:hAnsi="Times New Roman" w:eastAsia="宋体" w:cs="Times New Roman"/>
          <w:color w:val="auto"/>
          <w:spacing w:val="1"/>
          <w:sz w:val="24"/>
          <w:szCs w:val="24"/>
        </w:rPr>
        <w:t>应采用与原构件同品种块体；块体质量不应低于一</w:t>
      </w:r>
      <w:r>
        <w:rPr>
          <w:rFonts w:hint="default" w:ascii="Times New Roman" w:hAnsi="Times New Roman" w:eastAsia="宋体" w:cs="Times New Roman"/>
          <w:color w:val="auto"/>
          <w:spacing w:val="-1"/>
          <w:sz w:val="24"/>
          <w:szCs w:val="24"/>
        </w:rPr>
        <w:t>等品，其强度等级应按原设计的块体等级确定，且不应低于MU10。</w:t>
      </w:r>
    </w:p>
    <w:p w14:paraId="60BA4C7C">
      <w:pPr>
        <w:keepNext w:val="0"/>
        <w:keepLines w:val="0"/>
        <w:pageBreakBefore w:val="0"/>
        <w:widowControl w:val="0"/>
        <w:kinsoku/>
        <w:wordWrap/>
        <w:overflowPunct/>
        <w:topLinePunct w:val="0"/>
        <w:autoSpaceDE/>
        <w:autoSpaceDN/>
        <w:bidi w:val="0"/>
        <w:adjustRightInd/>
        <w:snapToGrid/>
        <w:spacing w:line="360" w:lineRule="exact"/>
        <w:ind w:left="0" w:right="0" w:firstLine="484"/>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5"/>
          <w:sz w:val="24"/>
          <w:szCs w:val="24"/>
        </w:rPr>
        <w:t>3 砌体结构外加面层用的水泥砂浆，若设计为普通水泥砂浆，</w:t>
      </w:r>
      <w:r>
        <w:rPr>
          <w:rFonts w:hint="default" w:ascii="Times New Roman" w:hAnsi="Times New Roman" w:eastAsia="宋体" w:cs="Times New Roman"/>
          <w:color w:val="auto"/>
          <w:spacing w:val="-6"/>
          <w:sz w:val="24"/>
          <w:szCs w:val="24"/>
        </w:rPr>
        <w:t>其强度等级不应低于M10；若设计为聚合物砂浆，其强度等级不应低于M25。采用聚合砂浆加固时，对重要结构的加固，</w:t>
      </w:r>
      <w:r>
        <w:rPr>
          <w:rFonts w:hint="default" w:ascii="Times New Roman" w:hAnsi="Times New Roman" w:eastAsia="宋体" w:cs="Times New Roman"/>
          <w:color w:val="auto"/>
          <w:spacing w:val="1"/>
          <w:sz w:val="24"/>
          <w:szCs w:val="24"/>
        </w:rPr>
        <w:t>应选用改性环氧类聚合物配制；对一般结构的加</w:t>
      </w:r>
      <w:r>
        <w:rPr>
          <w:rFonts w:hint="default" w:ascii="Times New Roman" w:hAnsi="Times New Roman" w:eastAsia="宋体" w:cs="Times New Roman"/>
          <w:color w:val="auto"/>
          <w:sz w:val="24"/>
          <w:szCs w:val="24"/>
        </w:rPr>
        <w:t>固，可选用改性环氧类、改性丙烯酸酯类、</w:t>
      </w:r>
      <w:r>
        <w:rPr>
          <w:rFonts w:hint="default" w:ascii="Times New Roman" w:hAnsi="Times New Roman" w:eastAsia="宋体" w:cs="Times New Roman"/>
          <w:color w:val="auto"/>
          <w:spacing w:val="-3"/>
          <w:sz w:val="24"/>
          <w:szCs w:val="24"/>
        </w:rPr>
        <w:t>改性丁苯类或改性氯丁类聚合物乳液。</w:t>
      </w:r>
    </w:p>
    <w:p w14:paraId="5B4988DC">
      <w:pPr>
        <w:keepNext w:val="0"/>
        <w:keepLines w:val="0"/>
        <w:pageBreakBefore w:val="0"/>
        <w:widowControl w:val="0"/>
        <w:kinsoku/>
        <w:wordWrap/>
        <w:overflowPunct/>
        <w:topLinePunct w:val="0"/>
        <w:autoSpaceDE/>
        <w:autoSpaceDN/>
        <w:bidi w:val="0"/>
        <w:adjustRightInd/>
        <w:snapToGrid/>
        <w:spacing w:line="360" w:lineRule="exact"/>
        <w:ind w:left="0" w:right="0" w:firstLine="471"/>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4 砌体结构加固用的砌筑砂浆，可采用水泥砂浆或水泥石灰混合砂浆；但对防潮层、地</w:t>
      </w:r>
      <w:r>
        <w:rPr>
          <w:rFonts w:hint="default" w:ascii="Times New Roman" w:hAnsi="Times New Roman" w:eastAsia="宋体" w:cs="Times New Roman"/>
          <w:color w:val="auto"/>
          <w:spacing w:val="-8"/>
          <w:sz w:val="24"/>
          <w:szCs w:val="24"/>
        </w:rPr>
        <w:t>下室以及其他潮湿部位，应采用水泥砂浆。在任何情况下，均不得采用</w:t>
      </w:r>
      <w:r>
        <w:rPr>
          <w:rFonts w:hint="default" w:ascii="Times New Roman" w:hAnsi="Times New Roman" w:eastAsia="宋体" w:cs="Times New Roman"/>
          <w:color w:val="auto"/>
          <w:spacing w:val="-9"/>
          <w:sz w:val="24"/>
          <w:szCs w:val="24"/>
        </w:rPr>
        <w:t>收缩性大的砌筑砂浆</w:t>
      </w:r>
      <w:r>
        <w:rPr>
          <w:rFonts w:hint="default" w:ascii="Times New Roman" w:hAnsi="Times New Roman" w:eastAsia="宋体" w:cs="Times New Roman"/>
          <w:color w:val="auto"/>
          <w:spacing w:val="-9"/>
          <w:sz w:val="24"/>
          <w:szCs w:val="24"/>
          <w:lang w:eastAsia="zh-CN"/>
        </w:rPr>
        <w:t>。</w:t>
      </w:r>
      <w:r>
        <w:rPr>
          <w:rFonts w:hint="default" w:ascii="Times New Roman" w:hAnsi="Times New Roman" w:eastAsia="宋体" w:cs="Times New Roman"/>
          <w:color w:val="auto"/>
          <w:spacing w:val="-1"/>
          <w:sz w:val="24"/>
          <w:szCs w:val="24"/>
        </w:rPr>
        <w:t>加固用的砌筑砂浆，其抗压强度等级应比原砌体</w:t>
      </w:r>
      <w:r>
        <w:rPr>
          <w:rFonts w:hint="default" w:ascii="Times New Roman" w:hAnsi="Times New Roman" w:eastAsia="宋体" w:cs="Times New Roman"/>
          <w:color w:val="auto"/>
          <w:spacing w:val="-2"/>
          <w:sz w:val="24"/>
          <w:szCs w:val="24"/>
        </w:rPr>
        <w:t>使用的砂浆抗压强度等级提高一级，且不得低于M10。</w:t>
      </w:r>
    </w:p>
    <w:p w14:paraId="6D24E690">
      <w:pPr>
        <w:keepNext w:val="0"/>
        <w:keepLines w:val="0"/>
        <w:pageBreakBefore w:val="0"/>
        <w:widowControl w:val="0"/>
        <w:kinsoku/>
        <w:wordWrap/>
        <w:overflowPunct/>
        <w:topLinePunct w:val="0"/>
        <w:autoSpaceDE/>
        <w:autoSpaceDN/>
        <w:bidi w:val="0"/>
        <w:adjustRightInd/>
        <w:snapToGrid/>
        <w:spacing w:line="360" w:lineRule="exact"/>
        <w:ind w:left="0" w:right="0" w:firstLine="485"/>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color w:val="auto"/>
          <w:spacing w:val="-2"/>
          <w:sz w:val="24"/>
          <w:szCs w:val="24"/>
        </w:rPr>
        <w:t>5 掺有聚合物材料加固的结构或构件，其检查时间间隔及到达设计工作年限后的鉴定同</w:t>
      </w:r>
      <w:r>
        <w:rPr>
          <w:rFonts w:hint="default" w:ascii="Times New Roman" w:hAnsi="Times New Roman" w:eastAsia="宋体" w:cs="Times New Roman"/>
          <w:color w:val="auto"/>
          <w:spacing w:val="-3"/>
          <w:sz w:val="24"/>
          <w:szCs w:val="24"/>
        </w:rPr>
        <w:t>采用胶粘方法加固的结构或构件。</w:t>
      </w:r>
    </w:p>
    <w:p w14:paraId="32298757">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3.4.2</w:t>
      </w:r>
      <w:r>
        <w:rPr>
          <w:rFonts w:hint="default" w:ascii="Times New Roman" w:hAnsi="Times New Roman" w:eastAsia="宋体" w:cs="Times New Roman"/>
          <w:color w:val="auto"/>
          <w:spacing w:val="-3"/>
          <w:sz w:val="24"/>
          <w:szCs w:val="24"/>
        </w:rPr>
        <w:t xml:space="preserve"> 结构加固用的混凝土，应符合下列规定：</w:t>
      </w:r>
    </w:p>
    <w:p w14:paraId="03A8CECE">
      <w:pPr>
        <w:keepNext w:val="0"/>
        <w:keepLines w:val="0"/>
        <w:pageBreakBefore w:val="0"/>
        <w:widowControl w:val="0"/>
        <w:kinsoku/>
        <w:wordWrap/>
        <w:overflowPunct/>
        <w:topLinePunct w:val="0"/>
        <w:autoSpaceDE/>
        <w:autoSpaceDN/>
        <w:bidi w:val="0"/>
        <w:adjustRightInd/>
        <w:snapToGrid/>
        <w:spacing w:line="360" w:lineRule="exact"/>
        <w:ind w:left="0" w:right="0" w:firstLine="482"/>
        <w:textAlignment w:val="auto"/>
        <w:rPr>
          <w:rFonts w:hint="default" w:ascii="Times New Roman" w:hAnsi="Times New Roman" w:eastAsia="宋体" w:cs="Times New Roman"/>
          <w:color w:val="auto"/>
          <w:spacing w:val="-4"/>
          <w:sz w:val="24"/>
          <w:szCs w:val="24"/>
        </w:rPr>
      </w:pPr>
      <w:r>
        <w:rPr>
          <w:rFonts w:hint="default" w:ascii="Times New Roman" w:hAnsi="Times New Roman" w:eastAsia="宋体" w:cs="Times New Roman"/>
          <w:color w:val="auto"/>
          <w:spacing w:val="-2"/>
          <w:sz w:val="24"/>
          <w:szCs w:val="24"/>
        </w:rPr>
        <w:t>1 混凝土</w:t>
      </w:r>
      <w:r>
        <w:rPr>
          <w:rFonts w:hint="default" w:ascii="Times New Roman" w:hAnsi="Times New Roman" w:eastAsia="宋体" w:cs="Times New Roman"/>
          <w:color w:val="auto"/>
          <w:spacing w:val="-4"/>
          <w:sz w:val="24"/>
          <w:szCs w:val="24"/>
        </w:rPr>
        <w:t>强度等级应比原结构、构件提高一级，且不低于最低强度等级要求。</w:t>
      </w:r>
    </w:p>
    <w:p w14:paraId="5D1A042C">
      <w:pPr>
        <w:keepNext w:val="0"/>
        <w:keepLines w:val="0"/>
        <w:pageBreakBefore w:val="0"/>
        <w:widowControl w:val="0"/>
        <w:kinsoku/>
        <w:wordWrap/>
        <w:overflowPunct/>
        <w:topLinePunct w:val="0"/>
        <w:autoSpaceDE/>
        <w:autoSpaceDN/>
        <w:bidi w:val="0"/>
        <w:adjustRightInd/>
        <w:snapToGrid/>
        <w:spacing w:line="360" w:lineRule="exact"/>
        <w:ind w:left="0" w:right="0" w:firstLine="48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4"/>
          <w:sz w:val="24"/>
          <w:szCs w:val="24"/>
        </w:rPr>
        <w:t>2 加固工程使用</w:t>
      </w:r>
      <w:r>
        <w:rPr>
          <w:rFonts w:hint="default" w:ascii="Times New Roman" w:hAnsi="Times New Roman" w:eastAsia="宋体" w:cs="Times New Roman"/>
          <w:color w:val="auto"/>
          <w:spacing w:val="1"/>
          <w:sz w:val="24"/>
          <w:szCs w:val="24"/>
        </w:rPr>
        <w:t>的混凝土应在施工前试配，经检验其性能符合设计要求后方允许使用。</w:t>
      </w:r>
    </w:p>
    <w:p w14:paraId="153CA2C2">
      <w:pPr>
        <w:keepNext w:val="0"/>
        <w:keepLines w:val="0"/>
        <w:pageBreakBefore w:val="0"/>
        <w:widowControl w:val="0"/>
        <w:kinsoku/>
        <w:wordWrap/>
        <w:overflowPunct/>
        <w:topLinePunct w:val="0"/>
        <w:autoSpaceDE/>
        <w:autoSpaceDN/>
        <w:bidi w:val="0"/>
        <w:adjustRightInd/>
        <w:snapToGrid/>
        <w:spacing w:line="360" w:lineRule="exact"/>
        <w:ind w:left="0" w:right="0" w:firstLine="48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4"/>
          <w:sz w:val="24"/>
          <w:szCs w:val="24"/>
        </w:rPr>
        <w:t>3 采用水泥基灌浆料浇筑增大截面时，应掺入优质膨胀剂及30％的细石混凝土，以减少</w:t>
      </w:r>
      <w:r>
        <w:rPr>
          <w:rFonts w:hint="default" w:ascii="Times New Roman" w:hAnsi="Times New Roman" w:eastAsia="宋体" w:cs="Times New Roman"/>
          <w:color w:val="auto"/>
          <w:spacing w:val="-2"/>
          <w:sz w:val="24"/>
          <w:szCs w:val="24"/>
        </w:rPr>
        <w:t>早期裂缝的产生。但若在灌浆料中已掺加了粒径为16mm～20mm的粗骨料，并且级配合理，</w:t>
      </w:r>
      <w:r>
        <w:rPr>
          <w:rFonts w:hint="default" w:ascii="Times New Roman" w:hAnsi="Times New Roman" w:eastAsia="宋体" w:cs="Times New Roman"/>
          <w:color w:val="auto"/>
          <w:spacing w:val="-4"/>
          <w:sz w:val="24"/>
          <w:szCs w:val="24"/>
        </w:rPr>
        <w:t>也可不再掺加细石混凝土。</w:t>
      </w:r>
    </w:p>
    <w:p w14:paraId="32111CFD">
      <w:pPr>
        <w:keepNext w:val="0"/>
        <w:keepLines w:val="0"/>
        <w:pageBreakBefore w:val="0"/>
        <w:widowControl w:val="0"/>
        <w:kinsoku/>
        <w:wordWrap/>
        <w:overflowPunct/>
        <w:topLinePunct w:val="0"/>
        <w:autoSpaceDE/>
        <w:autoSpaceDN/>
        <w:bidi w:val="0"/>
        <w:adjustRightInd/>
        <w:snapToGrid/>
        <w:spacing w:line="360" w:lineRule="exact"/>
        <w:ind w:left="0" w:right="0" w:firstLine="479"/>
        <w:textAlignment w:val="auto"/>
        <w:rPr>
          <w:rFonts w:hint="default" w:ascii="Times New Roman" w:hAnsi="Times New Roman" w:eastAsia="宋体" w:cs="Times New Roman"/>
          <w:color w:val="auto"/>
          <w:spacing w:val="-8"/>
          <w:sz w:val="24"/>
          <w:szCs w:val="24"/>
        </w:rPr>
      </w:pPr>
      <w:r>
        <w:rPr>
          <w:rFonts w:hint="default" w:ascii="Times New Roman" w:hAnsi="Times New Roman" w:eastAsia="宋体" w:cs="Times New Roman"/>
          <w:color w:val="auto"/>
          <w:spacing w:val="-1"/>
          <w:sz w:val="24"/>
          <w:szCs w:val="24"/>
        </w:rPr>
        <w:t>4 水泥基灌浆料的性能指标要求应符合《水泥基灌浆材料应用技术规范》GB/T</w:t>
      </w:r>
      <w:r>
        <w:rPr>
          <w:rFonts w:hint="default" w:ascii="Times New Roman" w:hAnsi="Times New Roman" w:eastAsia="宋体" w:cs="Times New Roman"/>
          <w:color w:val="auto"/>
          <w:spacing w:val="-1"/>
          <w:sz w:val="24"/>
          <w:szCs w:val="24"/>
          <w:lang w:val="en-US" w:eastAsia="zh-CN"/>
        </w:rPr>
        <w:t xml:space="preserve"> </w:t>
      </w:r>
      <w:r>
        <w:rPr>
          <w:rFonts w:hint="default" w:ascii="Times New Roman" w:hAnsi="Times New Roman" w:eastAsia="宋体" w:cs="Times New Roman"/>
          <w:color w:val="auto"/>
          <w:spacing w:val="-1"/>
          <w:sz w:val="24"/>
          <w:szCs w:val="24"/>
        </w:rPr>
        <w:t>50448的</w:t>
      </w:r>
      <w:r>
        <w:rPr>
          <w:rFonts w:hint="default" w:ascii="Times New Roman" w:hAnsi="Times New Roman" w:eastAsia="宋体" w:cs="Times New Roman"/>
          <w:color w:val="auto"/>
          <w:spacing w:val="-8"/>
          <w:sz w:val="24"/>
          <w:szCs w:val="24"/>
        </w:rPr>
        <w:t>相关要求。</w:t>
      </w:r>
    </w:p>
    <w:p w14:paraId="4ADBFA10">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3.4.3</w:t>
      </w:r>
      <w:r>
        <w:rPr>
          <w:rFonts w:hint="default" w:ascii="Times New Roman" w:hAnsi="Times New Roman" w:eastAsia="宋体" w:cs="Times New Roman"/>
          <w:color w:val="auto"/>
          <w:spacing w:val="-3"/>
          <w:sz w:val="24"/>
          <w:szCs w:val="24"/>
        </w:rPr>
        <w:t xml:space="preserve"> 结构加固用的高延性混凝土，应符合下列规定：</w:t>
      </w:r>
    </w:p>
    <w:p w14:paraId="3E28CE07">
      <w:pPr>
        <w:keepNext w:val="0"/>
        <w:keepLines w:val="0"/>
        <w:pageBreakBefore w:val="0"/>
        <w:widowControl w:val="0"/>
        <w:kinsoku/>
        <w:wordWrap/>
        <w:overflowPunct/>
        <w:topLinePunct w:val="0"/>
        <w:autoSpaceDE/>
        <w:autoSpaceDN/>
        <w:bidi w:val="0"/>
        <w:adjustRightInd/>
        <w:snapToGrid/>
        <w:spacing w:line="360" w:lineRule="exact"/>
        <w:ind w:left="0" w:right="0" w:firstLine="497"/>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 高延性混凝土的正常使用环境温度不应超过90℃,当正常使用环境</w:t>
      </w:r>
      <w:r>
        <w:rPr>
          <w:rFonts w:hint="default" w:ascii="Times New Roman" w:hAnsi="Times New Roman" w:eastAsia="宋体" w:cs="Times New Roman"/>
          <w:color w:val="auto"/>
          <w:spacing w:val="-1"/>
          <w:sz w:val="24"/>
          <w:szCs w:val="24"/>
        </w:rPr>
        <w:t>温度高于90℃时，</w:t>
      </w:r>
      <w:r>
        <w:rPr>
          <w:rFonts w:hint="default" w:ascii="Times New Roman" w:hAnsi="Times New Roman" w:eastAsia="宋体" w:cs="Times New Roman"/>
          <w:color w:val="auto"/>
          <w:spacing w:val="-4"/>
          <w:sz w:val="24"/>
          <w:szCs w:val="24"/>
        </w:rPr>
        <w:t>应采取适当的隔热措施。</w:t>
      </w:r>
    </w:p>
    <w:p w14:paraId="0A02FBEB">
      <w:pPr>
        <w:keepNext w:val="0"/>
        <w:keepLines w:val="0"/>
        <w:pageBreakBefore w:val="0"/>
        <w:widowControl w:val="0"/>
        <w:kinsoku/>
        <w:wordWrap/>
        <w:overflowPunct/>
        <w:topLinePunct w:val="0"/>
        <w:autoSpaceDE/>
        <w:autoSpaceDN/>
        <w:bidi w:val="0"/>
        <w:adjustRightInd/>
        <w:snapToGrid/>
        <w:spacing w:line="360" w:lineRule="exact"/>
        <w:ind w:left="0" w:right="0" w:firstLine="479"/>
        <w:textAlignment w:val="auto"/>
        <w:rPr>
          <w:rFonts w:hint="default" w:ascii="Times New Roman" w:hAnsi="Times New Roman" w:eastAsia="宋体" w:cs="Times New Roman"/>
          <w:color w:val="auto"/>
          <w:spacing w:val="-6"/>
          <w:sz w:val="24"/>
          <w:szCs w:val="24"/>
        </w:rPr>
      </w:pPr>
      <w:r>
        <w:rPr>
          <w:rFonts w:hint="default" w:ascii="Times New Roman" w:hAnsi="Times New Roman" w:eastAsia="宋体" w:cs="Times New Roman"/>
          <w:color w:val="auto"/>
          <w:spacing w:val="-2"/>
          <w:sz w:val="24"/>
          <w:szCs w:val="24"/>
        </w:rPr>
        <w:t>2 高延性混凝土的原材料性能、拌合物性能、力学性能、耐久性能均应满足现行国家相</w:t>
      </w:r>
      <w:r>
        <w:rPr>
          <w:rFonts w:hint="default" w:ascii="Times New Roman" w:hAnsi="Times New Roman" w:eastAsia="宋体" w:cs="Times New Roman"/>
          <w:color w:val="auto"/>
          <w:spacing w:val="-6"/>
          <w:sz w:val="24"/>
          <w:szCs w:val="24"/>
        </w:rPr>
        <w:t>关标准的要求。</w:t>
      </w:r>
    </w:p>
    <w:p w14:paraId="490598FF">
      <w:pPr>
        <w:keepNext w:val="0"/>
        <w:keepLines w:val="0"/>
        <w:pageBreakBefore w:val="0"/>
        <w:widowControl w:val="0"/>
        <w:kinsoku/>
        <w:wordWrap/>
        <w:overflowPunct/>
        <w:topLinePunct w:val="0"/>
        <w:autoSpaceDE/>
        <w:autoSpaceDN/>
        <w:bidi w:val="0"/>
        <w:adjustRightInd/>
        <w:snapToGrid/>
        <w:spacing w:line="360" w:lineRule="exact"/>
        <w:ind w:left="0" w:right="0" w:firstLine="4"/>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3.4.4</w:t>
      </w:r>
      <w:r>
        <w:rPr>
          <w:rFonts w:hint="default" w:ascii="Times New Roman" w:hAnsi="Times New Roman" w:eastAsia="宋体" w:cs="Times New Roman"/>
          <w:color w:val="auto"/>
          <w:spacing w:val="-1"/>
          <w:sz w:val="24"/>
          <w:szCs w:val="24"/>
        </w:rPr>
        <w:t xml:space="preserve"> 结构加固用的植筋应采用带肋钢筋或全</w:t>
      </w:r>
      <w:r>
        <w:rPr>
          <w:rFonts w:hint="default" w:ascii="Times New Roman" w:hAnsi="Times New Roman" w:eastAsia="宋体" w:cs="Times New Roman"/>
          <w:color w:val="auto"/>
          <w:spacing w:val="-2"/>
          <w:sz w:val="24"/>
          <w:szCs w:val="24"/>
        </w:rPr>
        <w:t>螺纹螺杆，不得采用光圆钢筋；锚栓应采用有</w:t>
      </w:r>
      <w:r>
        <w:rPr>
          <w:rFonts w:hint="default" w:ascii="Times New Roman" w:hAnsi="Times New Roman" w:eastAsia="宋体" w:cs="Times New Roman"/>
          <w:color w:val="auto"/>
          <w:spacing w:val="-1"/>
          <w:sz w:val="24"/>
          <w:szCs w:val="24"/>
        </w:rPr>
        <w:t>锁键效应的后扩底机械锚栓，或特殊倒锥</w:t>
      </w:r>
      <w:r>
        <w:rPr>
          <w:rFonts w:hint="default" w:ascii="Times New Roman" w:hAnsi="Times New Roman" w:eastAsia="宋体" w:cs="Times New Roman"/>
          <w:color w:val="auto"/>
          <w:spacing w:val="-1"/>
          <w:sz w:val="24"/>
          <w:szCs w:val="24"/>
          <w:lang w:val="en-US" w:eastAsia="zh-CN"/>
        </w:rPr>
        <w:t>形胶粘</w:t>
      </w:r>
      <w:r>
        <w:rPr>
          <w:rFonts w:hint="default" w:ascii="Times New Roman" w:hAnsi="Times New Roman" w:eastAsia="宋体" w:cs="Times New Roman"/>
          <w:color w:val="auto"/>
          <w:spacing w:val="-1"/>
          <w:sz w:val="24"/>
          <w:szCs w:val="24"/>
        </w:rPr>
        <w:t>型锚</w:t>
      </w:r>
      <w:r>
        <w:rPr>
          <w:rFonts w:hint="default" w:ascii="Times New Roman" w:hAnsi="Times New Roman" w:eastAsia="宋体" w:cs="Times New Roman"/>
          <w:color w:val="auto"/>
          <w:spacing w:val="-2"/>
          <w:sz w:val="24"/>
          <w:szCs w:val="24"/>
        </w:rPr>
        <w:t>栓。植筋及锚栓的锚固承载力的检验应满</w:t>
      </w:r>
      <w:r>
        <w:rPr>
          <w:rFonts w:hint="default" w:ascii="Times New Roman" w:hAnsi="Times New Roman" w:eastAsia="宋体" w:cs="Times New Roman"/>
          <w:color w:val="auto"/>
          <w:spacing w:val="-3"/>
          <w:sz w:val="24"/>
          <w:szCs w:val="24"/>
        </w:rPr>
        <w:t>足《建筑结构加固工程施工质量验收规范》GB</w:t>
      </w:r>
      <w:r>
        <w:rPr>
          <w:rFonts w:hint="default" w:ascii="Times New Roman" w:hAnsi="Times New Roman" w:eastAsia="宋体" w:cs="Times New Roman"/>
          <w:color w:val="auto"/>
          <w:spacing w:val="-3"/>
          <w:sz w:val="24"/>
          <w:szCs w:val="24"/>
          <w:lang w:val="en-US" w:eastAsia="zh-CN"/>
        </w:rPr>
        <w:t xml:space="preserve"> </w:t>
      </w:r>
      <w:r>
        <w:rPr>
          <w:rFonts w:hint="default" w:ascii="Times New Roman" w:hAnsi="Times New Roman" w:eastAsia="宋体" w:cs="Times New Roman"/>
          <w:color w:val="auto"/>
          <w:spacing w:val="-3"/>
          <w:sz w:val="24"/>
          <w:szCs w:val="24"/>
        </w:rPr>
        <w:t>50550相关规定（附录</w:t>
      </w:r>
      <w:r>
        <w:rPr>
          <w:rFonts w:hint="default" w:ascii="Times New Roman" w:hAnsi="Times New Roman" w:eastAsia="宋体" w:cs="Times New Roman"/>
          <w:color w:val="auto"/>
          <w:spacing w:val="-58"/>
          <w:sz w:val="24"/>
          <w:szCs w:val="24"/>
        </w:rPr>
        <w:t xml:space="preserve"> </w:t>
      </w:r>
      <w:r>
        <w:rPr>
          <w:rFonts w:hint="default" w:ascii="Times New Roman" w:hAnsi="Times New Roman" w:eastAsia="宋体" w:cs="Times New Roman"/>
          <w:color w:val="auto"/>
          <w:spacing w:val="-3"/>
          <w:sz w:val="24"/>
          <w:szCs w:val="24"/>
        </w:rPr>
        <w:t>W）。</w:t>
      </w:r>
    </w:p>
    <w:p w14:paraId="6F92444F">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条文说明：锚固件锚固承载力的检验应根据结构构件的重要性及实际情况选用破坏性或非破损性检验方法，并按照规范选取对应的抽样数量及荷载检验值。自攻螺钉不属于锚栓体系，不得按锚栓进行设计计算。</w:t>
      </w:r>
    </w:p>
    <w:p w14:paraId="68B3CC01">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3.4.5</w:t>
      </w:r>
      <w:r>
        <w:rPr>
          <w:rFonts w:hint="default" w:ascii="Times New Roman" w:hAnsi="Times New Roman" w:eastAsia="宋体" w:cs="Times New Roman"/>
          <w:color w:val="auto"/>
          <w:spacing w:val="-2"/>
          <w:sz w:val="24"/>
          <w:szCs w:val="24"/>
        </w:rPr>
        <w:t xml:space="preserve"> 结构加固用的纤维和纤维复合</w:t>
      </w:r>
      <w:r>
        <w:rPr>
          <w:rFonts w:hint="default" w:ascii="Times New Roman" w:hAnsi="Times New Roman" w:eastAsia="宋体" w:cs="Times New Roman"/>
          <w:color w:val="auto"/>
          <w:spacing w:val="-3"/>
          <w:sz w:val="24"/>
          <w:szCs w:val="24"/>
        </w:rPr>
        <w:t>材，应符合下列规定：</w:t>
      </w:r>
    </w:p>
    <w:p w14:paraId="44E706FD">
      <w:pPr>
        <w:keepNext w:val="0"/>
        <w:keepLines w:val="0"/>
        <w:pageBreakBefore w:val="0"/>
        <w:widowControl w:val="0"/>
        <w:kinsoku/>
        <w:wordWrap/>
        <w:overflowPunct/>
        <w:topLinePunct w:val="0"/>
        <w:autoSpaceDE/>
        <w:autoSpaceDN/>
        <w:bidi w:val="0"/>
        <w:adjustRightInd/>
        <w:snapToGrid/>
        <w:spacing w:line="360" w:lineRule="exact"/>
        <w:ind w:left="0" w:right="0" w:firstLine="49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3"/>
          <w:sz w:val="24"/>
          <w:szCs w:val="24"/>
        </w:rPr>
        <w:t>1 结构加固用的纤维应为连续纤维，碳纤维应优先选用</w:t>
      </w:r>
      <w:r>
        <w:rPr>
          <w:rFonts w:hint="default" w:ascii="Times New Roman" w:hAnsi="Times New Roman" w:eastAsia="宋体" w:cs="Times New Roman"/>
          <w:color w:val="auto"/>
          <w:spacing w:val="-4"/>
          <w:sz w:val="24"/>
          <w:szCs w:val="24"/>
        </w:rPr>
        <w:t>聚丙烯腈基不大于15K的小丝束</w:t>
      </w:r>
      <w:r>
        <w:rPr>
          <w:rFonts w:hint="default" w:ascii="Times New Roman" w:hAnsi="Times New Roman" w:eastAsia="宋体" w:cs="Times New Roman"/>
          <w:color w:val="auto"/>
          <w:spacing w:val="-12"/>
          <w:sz w:val="24"/>
          <w:szCs w:val="24"/>
        </w:rPr>
        <w:t>纤维。</w:t>
      </w:r>
    </w:p>
    <w:p w14:paraId="4AF55715">
      <w:pPr>
        <w:keepNext w:val="0"/>
        <w:keepLines w:val="0"/>
        <w:pageBreakBefore w:val="0"/>
        <w:widowControl w:val="0"/>
        <w:kinsoku/>
        <w:wordWrap/>
        <w:overflowPunct/>
        <w:topLinePunct w:val="0"/>
        <w:autoSpaceDE/>
        <w:autoSpaceDN/>
        <w:bidi w:val="0"/>
        <w:adjustRightInd/>
        <w:snapToGrid/>
        <w:spacing w:line="360" w:lineRule="exact"/>
        <w:ind w:left="0" w:right="0" w:firstLine="481"/>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4"/>
          <w:sz w:val="24"/>
          <w:szCs w:val="24"/>
        </w:rPr>
        <w:t>2 结构加固用的芳纶纤维，应选用饱和吸水率</w:t>
      </w:r>
      <w:r>
        <w:rPr>
          <w:rFonts w:hint="default" w:ascii="Times New Roman" w:hAnsi="Times New Roman" w:eastAsia="宋体" w:cs="Times New Roman"/>
          <w:color w:val="auto"/>
          <w:spacing w:val="-5"/>
          <w:sz w:val="24"/>
          <w:szCs w:val="24"/>
        </w:rPr>
        <w:t>不大于4.5%的对位芳香族聚酰胺长丝纤维；</w:t>
      </w:r>
      <w:r>
        <w:rPr>
          <w:rFonts w:hint="default" w:ascii="Times New Roman" w:hAnsi="Times New Roman" w:eastAsia="宋体" w:cs="Times New Roman"/>
          <w:color w:val="auto"/>
          <w:spacing w:val="-1"/>
          <w:sz w:val="24"/>
          <w:szCs w:val="24"/>
        </w:rPr>
        <w:t>严禁使用高碱的玻璃纤维、中碱玻璃纤维及</w:t>
      </w:r>
      <w:r>
        <w:rPr>
          <w:rFonts w:hint="default" w:ascii="Times New Roman" w:hAnsi="Times New Roman" w:eastAsia="宋体" w:cs="Times New Roman"/>
          <w:color w:val="auto"/>
          <w:spacing w:val="-2"/>
          <w:sz w:val="24"/>
          <w:szCs w:val="24"/>
        </w:rPr>
        <w:t>采用预浸法生产的纤维织物。</w:t>
      </w:r>
    </w:p>
    <w:p w14:paraId="6CBC7E54">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3.4.6</w:t>
      </w:r>
      <w:r>
        <w:rPr>
          <w:rFonts w:hint="default" w:ascii="Times New Roman" w:hAnsi="Times New Roman" w:eastAsia="宋体" w:cs="Times New Roman"/>
          <w:color w:val="auto"/>
          <w:spacing w:val="-3"/>
          <w:sz w:val="24"/>
          <w:szCs w:val="24"/>
        </w:rPr>
        <w:t xml:space="preserve"> 结构加固用的胶粘剂，应符合下列规定：</w:t>
      </w:r>
    </w:p>
    <w:p w14:paraId="2A7E1512">
      <w:pPr>
        <w:keepNext w:val="0"/>
        <w:keepLines w:val="0"/>
        <w:pageBreakBefore w:val="0"/>
        <w:widowControl w:val="0"/>
        <w:kinsoku/>
        <w:wordWrap/>
        <w:overflowPunct/>
        <w:topLinePunct w:val="0"/>
        <w:autoSpaceDE/>
        <w:autoSpaceDN/>
        <w:bidi w:val="0"/>
        <w:adjustRightInd/>
        <w:snapToGrid/>
        <w:spacing w:line="360" w:lineRule="exact"/>
        <w:ind w:left="0" w:right="0" w:firstLine="498"/>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8"/>
          <w:sz w:val="24"/>
          <w:szCs w:val="24"/>
        </w:rPr>
        <w:t>1 结构加固用的胶粘剂，按其最高使用温度分为Ⅰ类、Ⅱ类、Ⅲ类，Ⅰ类按其基本性能分为A级胶和B级胶；对重要结构、悬挑构件、承受动力作用的结构、构件，</w:t>
      </w:r>
      <w:r>
        <w:rPr>
          <w:rFonts w:hint="default" w:ascii="Times New Roman" w:hAnsi="Times New Roman" w:eastAsia="宋体" w:cs="Times New Roman"/>
          <w:color w:val="auto"/>
          <w:spacing w:val="-9"/>
          <w:sz w:val="24"/>
          <w:szCs w:val="24"/>
        </w:rPr>
        <w:t>应采用A级胶。</w:t>
      </w:r>
      <w:r>
        <w:rPr>
          <w:rFonts w:hint="default" w:ascii="Times New Roman" w:hAnsi="Times New Roman" w:eastAsia="宋体" w:cs="Times New Roman"/>
          <w:color w:val="auto"/>
          <w:spacing w:val="-6"/>
          <w:sz w:val="24"/>
          <w:szCs w:val="24"/>
        </w:rPr>
        <w:t>胶粘剂均必须进行粘结抗剪强度检验。检验时，其粘结抗剪强度标准值，应根据置信水平为</w:t>
      </w:r>
      <w:r>
        <w:rPr>
          <w:rFonts w:hint="default" w:ascii="Times New Roman" w:hAnsi="Times New Roman" w:eastAsia="宋体" w:cs="Times New Roman"/>
          <w:color w:val="auto"/>
          <w:spacing w:val="-4"/>
          <w:sz w:val="24"/>
          <w:szCs w:val="24"/>
        </w:rPr>
        <w:t>0.90、保证率为95%的要求确定。</w:t>
      </w:r>
    </w:p>
    <w:p w14:paraId="717FD452">
      <w:pPr>
        <w:keepNext w:val="0"/>
        <w:keepLines w:val="0"/>
        <w:pageBreakBefore w:val="0"/>
        <w:widowControl w:val="0"/>
        <w:kinsoku/>
        <w:wordWrap/>
        <w:overflowPunct/>
        <w:topLinePunct w:val="0"/>
        <w:autoSpaceDE/>
        <w:autoSpaceDN/>
        <w:bidi w:val="0"/>
        <w:adjustRightInd/>
        <w:snapToGrid/>
        <w:spacing w:line="360" w:lineRule="exact"/>
        <w:ind w:left="0" w:right="0" w:firstLine="479"/>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6"/>
          <w:sz w:val="24"/>
          <w:szCs w:val="24"/>
        </w:rPr>
        <w:t>2 结构加固用的胶粘剂，其长期使用的环境温度不应高于60℃;处于特</w:t>
      </w:r>
      <w:r>
        <w:rPr>
          <w:rFonts w:hint="default" w:ascii="Times New Roman" w:hAnsi="Times New Roman" w:eastAsia="宋体" w:cs="Times New Roman"/>
          <w:color w:val="auto"/>
          <w:spacing w:val="-7"/>
          <w:sz w:val="24"/>
          <w:szCs w:val="24"/>
        </w:rPr>
        <w:t>殊环境（如高温、</w:t>
      </w:r>
      <w:r>
        <w:rPr>
          <w:rFonts w:hint="default" w:ascii="Times New Roman" w:hAnsi="Times New Roman" w:eastAsia="宋体" w:cs="Times New Roman"/>
          <w:color w:val="auto"/>
          <w:spacing w:val="-5"/>
          <w:sz w:val="24"/>
          <w:szCs w:val="24"/>
        </w:rPr>
        <w:t>高湿、介质侵蚀、放射等）的混凝土结构采用胶粘剂加</w:t>
      </w:r>
      <w:r>
        <w:rPr>
          <w:rFonts w:hint="default" w:ascii="Times New Roman" w:hAnsi="Times New Roman" w:eastAsia="宋体" w:cs="Times New Roman"/>
          <w:color w:val="auto"/>
          <w:spacing w:val="-6"/>
          <w:sz w:val="24"/>
          <w:szCs w:val="24"/>
        </w:rPr>
        <w:t>固时，除应按国家现行有关标准的规</w:t>
      </w:r>
      <w:r>
        <w:rPr>
          <w:rFonts w:hint="default" w:ascii="Times New Roman" w:hAnsi="Times New Roman" w:eastAsia="宋体" w:cs="Times New Roman"/>
          <w:color w:val="auto"/>
          <w:spacing w:val="-2"/>
          <w:sz w:val="24"/>
          <w:szCs w:val="24"/>
        </w:rPr>
        <w:t>定采取相应的防护措施外，尚应采用耐环境因素作用的胶粘剂，并按专门的工艺要求进行粘</w:t>
      </w:r>
      <w:r>
        <w:rPr>
          <w:rFonts w:hint="default" w:ascii="Times New Roman" w:hAnsi="Times New Roman" w:eastAsia="宋体" w:cs="Times New Roman"/>
          <w:color w:val="auto"/>
          <w:spacing w:val="-12"/>
          <w:sz w:val="24"/>
          <w:szCs w:val="24"/>
        </w:rPr>
        <w:t>贴。</w:t>
      </w:r>
    </w:p>
    <w:p w14:paraId="7751A23A">
      <w:pPr>
        <w:keepNext w:val="0"/>
        <w:keepLines w:val="0"/>
        <w:pageBreakBefore w:val="0"/>
        <w:widowControl w:val="0"/>
        <w:kinsoku/>
        <w:wordWrap/>
        <w:overflowPunct/>
        <w:topLinePunct w:val="0"/>
        <w:autoSpaceDE/>
        <w:autoSpaceDN/>
        <w:bidi w:val="0"/>
        <w:adjustRightInd/>
        <w:snapToGrid/>
        <w:spacing w:line="360" w:lineRule="exact"/>
        <w:ind w:left="0" w:right="0" w:firstLine="479"/>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
          <w:sz w:val="24"/>
          <w:szCs w:val="24"/>
        </w:rPr>
        <w:t>3 结构</w:t>
      </w:r>
      <w:r>
        <w:rPr>
          <w:rFonts w:hint="default" w:ascii="Times New Roman" w:hAnsi="Times New Roman" w:eastAsia="宋体" w:cs="Times New Roman"/>
          <w:color w:val="auto"/>
          <w:spacing w:val="-6"/>
          <w:sz w:val="24"/>
          <w:szCs w:val="24"/>
        </w:rPr>
        <w:t>加固</w:t>
      </w:r>
      <w:r>
        <w:rPr>
          <w:rFonts w:hint="default" w:ascii="Times New Roman" w:hAnsi="Times New Roman" w:eastAsia="宋体" w:cs="Times New Roman"/>
          <w:color w:val="auto"/>
          <w:spacing w:val="-1"/>
          <w:sz w:val="24"/>
          <w:szCs w:val="24"/>
        </w:rPr>
        <w:t>用的胶粘剂，应通过耐湿热老化能力和</w:t>
      </w:r>
      <w:r>
        <w:rPr>
          <w:rFonts w:hint="default" w:ascii="Times New Roman" w:hAnsi="Times New Roman" w:eastAsia="宋体" w:cs="Times New Roman"/>
          <w:color w:val="auto"/>
          <w:spacing w:val="-2"/>
          <w:sz w:val="24"/>
          <w:szCs w:val="24"/>
        </w:rPr>
        <w:t>耐长期应力作用能力的检验。</w:t>
      </w:r>
    </w:p>
    <w:p w14:paraId="540B3919">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条文说明：本规程要求既有建筑加固用的结构胶长期使用性能鉴定皆应通过耐湿热老化能力和耐长期应力作用能力的检验。加固用结构胶长期工作安全性能指标应符合《既有建筑鉴定与加固通用规范》GB 55021-2021表B.0.6的要求，并应按《工程结构加固材料安全性鉴定技术规范》GB 50728的要求通过专项的检验与鉴定。结构胶粘剂的设计工作年限，在一定范围内，是可以根据其所采用的主粘剂、固化剂、改性材料和其他添加剂进行设计的，结构加固用的胶粘剂按照设计工作年限50年的要求时，应进行专门设计，在供应时均应出具“可安全工作50年”的质量保证书。</w:t>
      </w:r>
    </w:p>
    <w:p w14:paraId="34C62DC5">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若在申请加固材料安全性鉴定前已委托有关科研机构完成该品牌结构胶耐长期应力作用能力的验证性试验与合格评定工作，且该评定报告已通过加固材料安全性鉴定机构的审查，则允许免作结构胶长期使用性能鉴定，而改作楔子快速测定，详见《工程结构加固材料安全性鉴定技术规范》GB 50728附录C。</w:t>
      </w:r>
    </w:p>
    <w:p w14:paraId="3AF7C3F0">
      <w:pPr>
        <w:keepNext w:val="0"/>
        <w:keepLines w:val="0"/>
        <w:pageBreakBefore w:val="0"/>
        <w:widowControl w:val="0"/>
        <w:kinsoku/>
        <w:wordWrap/>
        <w:overflowPunct/>
        <w:topLinePunct w:val="0"/>
        <w:autoSpaceDE/>
        <w:autoSpaceDN/>
        <w:bidi w:val="0"/>
        <w:adjustRightInd/>
        <w:snapToGrid/>
        <w:spacing w:line="360" w:lineRule="exact"/>
        <w:ind w:left="0" w:right="0" w:firstLine="480"/>
        <w:textAlignment w:val="auto"/>
        <w:rPr>
          <w:rFonts w:hint="default" w:ascii="Times New Roman" w:hAnsi="Times New Roman" w:eastAsia="宋体" w:cs="Times New Roman"/>
          <w:color w:val="auto"/>
          <w:spacing w:val="-6"/>
          <w:sz w:val="24"/>
          <w:szCs w:val="24"/>
        </w:rPr>
      </w:pPr>
      <w:r>
        <w:rPr>
          <w:rFonts w:hint="default" w:ascii="Times New Roman" w:hAnsi="Times New Roman" w:eastAsia="宋体" w:cs="Times New Roman"/>
          <w:color w:val="auto"/>
          <w:spacing w:val="-6"/>
          <w:sz w:val="24"/>
          <w:szCs w:val="24"/>
        </w:rPr>
        <w:t>4 对使用胶粘方法的结构、构件，尚应定</w:t>
      </w:r>
      <w:r>
        <w:rPr>
          <w:rFonts w:hint="default" w:ascii="Times New Roman" w:hAnsi="Times New Roman" w:eastAsia="宋体" w:cs="Times New Roman"/>
          <w:color w:val="auto"/>
          <w:spacing w:val="-7"/>
          <w:sz w:val="24"/>
          <w:szCs w:val="24"/>
        </w:rPr>
        <w:t>期检查其工作状态；设计单位应在施工图设计</w:t>
      </w:r>
      <w:r>
        <w:rPr>
          <w:rFonts w:hint="default" w:ascii="Times New Roman" w:hAnsi="Times New Roman" w:eastAsia="宋体" w:cs="Times New Roman"/>
          <w:color w:val="auto"/>
          <w:spacing w:val="-1"/>
          <w:sz w:val="24"/>
          <w:szCs w:val="24"/>
        </w:rPr>
        <w:t>说明中明确定期检查其工作状态的具体要求，第一次检查时间不应</w:t>
      </w:r>
      <w:r>
        <w:rPr>
          <w:rFonts w:hint="default" w:ascii="Times New Roman" w:hAnsi="Times New Roman" w:eastAsia="宋体" w:cs="Times New Roman"/>
          <w:color w:val="auto"/>
          <w:spacing w:val="-2"/>
          <w:sz w:val="24"/>
          <w:szCs w:val="24"/>
        </w:rPr>
        <w:t>迟于10年。当结构胶到</w:t>
      </w:r>
      <w:r>
        <w:rPr>
          <w:rFonts w:hint="default" w:ascii="Times New Roman" w:hAnsi="Times New Roman" w:eastAsia="宋体" w:cs="Times New Roman"/>
          <w:color w:val="auto"/>
          <w:sz w:val="24"/>
          <w:szCs w:val="24"/>
        </w:rPr>
        <w:t>达设计工作年限时，若其胶粘能力经鉴定未发现有明显退化者，允许适当延长其工作年限，</w:t>
      </w:r>
      <w:r>
        <w:rPr>
          <w:rFonts w:hint="default" w:ascii="Times New Roman" w:hAnsi="Times New Roman" w:eastAsia="宋体" w:cs="Times New Roman"/>
          <w:color w:val="auto"/>
          <w:spacing w:val="-1"/>
          <w:sz w:val="24"/>
          <w:szCs w:val="24"/>
        </w:rPr>
        <w:t>但延长的年限须由鉴定机构通过检测，会同产</w:t>
      </w:r>
      <w:r>
        <w:rPr>
          <w:rFonts w:hint="default" w:ascii="Times New Roman" w:hAnsi="Times New Roman" w:eastAsia="宋体" w:cs="Times New Roman"/>
          <w:color w:val="auto"/>
          <w:spacing w:val="-2"/>
          <w:sz w:val="24"/>
          <w:szCs w:val="24"/>
        </w:rPr>
        <w:t>权人或委托方共同确定。</w:t>
      </w:r>
    </w:p>
    <w:p w14:paraId="414A6BD9">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3.4.7</w:t>
      </w:r>
      <w:r>
        <w:rPr>
          <w:rFonts w:hint="default" w:ascii="Times New Roman" w:hAnsi="Times New Roman" w:eastAsia="宋体" w:cs="Times New Roman"/>
          <w:color w:val="auto"/>
          <w:spacing w:val="-3"/>
          <w:sz w:val="24"/>
          <w:szCs w:val="24"/>
        </w:rPr>
        <w:t xml:space="preserve"> 结构加固用的钢材及焊接材料，应符合下列规定：</w:t>
      </w:r>
    </w:p>
    <w:p w14:paraId="09E9051F">
      <w:pPr>
        <w:keepNext w:val="0"/>
        <w:keepLines w:val="0"/>
        <w:pageBreakBefore w:val="0"/>
        <w:widowControl w:val="0"/>
        <w:kinsoku/>
        <w:wordWrap/>
        <w:overflowPunct/>
        <w:topLinePunct w:val="0"/>
        <w:autoSpaceDE/>
        <w:autoSpaceDN/>
        <w:bidi w:val="0"/>
        <w:adjustRightInd/>
        <w:snapToGrid/>
        <w:spacing w:line="360" w:lineRule="exact"/>
        <w:ind w:left="0" w:right="0" w:firstLine="503"/>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4"/>
          <w:sz w:val="24"/>
          <w:szCs w:val="24"/>
        </w:rPr>
        <w:t>1 加固用的钢筋，宜选用</w:t>
      </w:r>
      <w:r>
        <w:rPr>
          <w:rFonts w:hint="default" w:ascii="Times New Roman" w:hAnsi="Times New Roman" w:eastAsia="宋体" w:cs="Times New Roman"/>
          <w:color w:val="auto"/>
          <w:sz w:val="24"/>
          <w:szCs w:val="24"/>
        </w:rPr>
        <w:t>HRB</w:t>
      </w:r>
      <w:r>
        <w:rPr>
          <w:rFonts w:hint="default" w:ascii="Times New Roman" w:hAnsi="Times New Roman" w:eastAsia="宋体" w:cs="Times New Roman"/>
          <w:color w:val="auto"/>
          <w:spacing w:val="4"/>
          <w:sz w:val="24"/>
          <w:szCs w:val="24"/>
        </w:rPr>
        <w:t>400级或</w:t>
      </w:r>
      <w:r>
        <w:rPr>
          <w:rFonts w:hint="default" w:ascii="Times New Roman" w:hAnsi="Times New Roman" w:eastAsia="宋体" w:cs="Times New Roman"/>
          <w:color w:val="auto"/>
          <w:sz w:val="24"/>
          <w:szCs w:val="24"/>
        </w:rPr>
        <w:t>HPB</w:t>
      </w:r>
      <w:r>
        <w:rPr>
          <w:rFonts w:hint="default" w:ascii="Times New Roman" w:hAnsi="Times New Roman" w:eastAsia="宋体" w:cs="Times New Roman"/>
          <w:color w:val="auto"/>
          <w:spacing w:val="4"/>
          <w:sz w:val="24"/>
          <w:szCs w:val="24"/>
        </w:rPr>
        <w:t>300级钢筋。对体外预应力加固，宜使用</w:t>
      </w:r>
      <w:r>
        <w:rPr>
          <w:rFonts w:hint="default" w:ascii="Times New Roman" w:hAnsi="Times New Roman" w:eastAsia="宋体" w:cs="Times New Roman"/>
          <w:color w:val="auto"/>
          <w:spacing w:val="-6"/>
          <w:sz w:val="24"/>
          <w:szCs w:val="24"/>
        </w:rPr>
        <w:t>UPS15.2-1860低松弛无粘结钢绞线。当采用高强度级别牌号时，应考虑二次受力的不利影响。</w:t>
      </w:r>
    </w:p>
    <w:p w14:paraId="18C09A52">
      <w:pPr>
        <w:keepNext w:val="0"/>
        <w:keepLines w:val="0"/>
        <w:pageBreakBefore w:val="0"/>
        <w:widowControl w:val="0"/>
        <w:kinsoku/>
        <w:wordWrap/>
        <w:overflowPunct/>
        <w:topLinePunct w:val="0"/>
        <w:autoSpaceDE/>
        <w:autoSpaceDN/>
        <w:bidi w:val="0"/>
        <w:adjustRightInd/>
        <w:snapToGrid/>
        <w:spacing w:line="360" w:lineRule="exact"/>
        <w:ind w:left="0" w:right="0" w:firstLine="478"/>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2 抗震等级为一、二、三级的框架和斜撑构件(含梯段)，其纵向受力钢筋采用普通钢筋</w:t>
      </w:r>
      <w:r>
        <w:rPr>
          <w:rFonts w:hint="default" w:ascii="Times New Roman" w:hAnsi="Times New Roman" w:eastAsia="宋体" w:cs="Times New Roman"/>
          <w:color w:val="auto"/>
          <w:spacing w:val="-4"/>
          <w:sz w:val="24"/>
          <w:szCs w:val="24"/>
        </w:rPr>
        <w:t>时，钢筋的抗拉强度实测值与屈服强度实测值的比值不应小于1.25；钢筋的屈服强度实测值与屈服强度标准值的比值不应大于1.3，且钢筋在最大拉力下的总伸长率实测值不应小于9%。</w:t>
      </w:r>
    </w:p>
    <w:p w14:paraId="00AE8BE7">
      <w:pPr>
        <w:keepNext w:val="0"/>
        <w:keepLines w:val="0"/>
        <w:pageBreakBefore w:val="0"/>
        <w:widowControl w:val="0"/>
        <w:kinsoku/>
        <w:wordWrap/>
        <w:overflowPunct/>
        <w:topLinePunct w:val="0"/>
        <w:autoSpaceDE/>
        <w:autoSpaceDN/>
        <w:bidi w:val="0"/>
        <w:adjustRightInd/>
        <w:snapToGrid/>
        <w:spacing w:line="360" w:lineRule="exact"/>
        <w:ind w:left="0" w:right="0" w:firstLine="486"/>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
          <w:sz w:val="24"/>
          <w:szCs w:val="24"/>
        </w:rPr>
        <w:t>3 加固用的钢板、型钢、扁钢和钢管，其品种、质量和性能应不低于Q235B级或Q355B</w:t>
      </w:r>
      <w:r>
        <w:rPr>
          <w:rFonts w:hint="default" w:ascii="Times New Roman" w:hAnsi="Times New Roman" w:eastAsia="宋体" w:cs="Times New Roman"/>
          <w:color w:val="auto"/>
          <w:sz w:val="24"/>
          <w:szCs w:val="24"/>
        </w:rPr>
        <w:t>级钢材；钢材质量应分别符合现行国家标准《碳素结构钢</w:t>
      </w:r>
      <w:r>
        <w:rPr>
          <w:rFonts w:hint="default" w:ascii="Times New Roman" w:hAnsi="Times New Roman" w:eastAsia="宋体" w:cs="Times New Roman"/>
          <w:color w:val="auto"/>
          <w:spacing w:val="-1"/>
          <w:sz w:val="24"/>
          <w:szCs w:val="24"/>
        </w:rPr>
        <w:t>》GB/T</w:t>
      </w:r>
      <w:r>
        <w:rPr>
          <w:rFonts w:hint="default" w:ascii="Times New Roman" w:hAnsi="Times New Roman" w:eastAsia="宋体" w:cs="Times New Roman"/>
          <w:color w:val="auto"/>
          <w:spacing w:val="-1"/>
          <w:sz w:val="24"/>
          <w:szCs w:val="24"/>
          <w:lang w:val="en-US" w:eastAsia="zh-CN"/>
        </w:rPr>
        <w:t xml:space="preserve"> </w:t>
      </w:r>
      <w:r>
        <w:rPr>
          <w:rFonts w:hint="default" w:ascii="Times New Roman" w:hAnsi="Times New Roman" w:eastAsia="宋体" w:cs="Times New Roman"/>
          <w:color w:val="auto"/>
          <w:spacing w:val="-1"/>
          <w:sz w:val="24"/>
          <w:szCs w:val="24"/>
        </w:rPr>
        <w:t>700和《低合金高强度结构</w:t>
      </w:r>
      <w:r>
        <w:rPr>
          <w:rFonts w:hint="default" w:ascii="Times New Roman" w:hAnsi="Times New Roman" w:eastAsia="宋体" w:cs="Times New Roman"/>
          <w:color w:val="auto"/>
          <w:spacing w:val="-4"/>
          <w:sz w:val="24"/>
          <w:szCs w:val="24"/>
        </w:rPr>
        <w:t>钢》GB/T</w:t>
      </w:r>
      <w:r>
        <w:rPr>
          <w:rFonts w:hint="default" w:ascii="Times New Roman" w:hAnsi="Times New Roman" w:eastAsia="宋体" w:cs="Times New Roman"/>
          <w:color w:val="auto"/>
          <w:spacing w:val="-4"/>
          <w:sz w:val="24"/>
          <w:szCs w:val="24"/>
          <w:lang w:val="en-US" w:eastAsia="zh-CN"/>
        </w:rPr>
        <w:t xml:space="preserve"> </w:t>
      </w:r>
      <w:r>
        <w:rPr>
          <w:rFonts w:hint="default" w:ascii="Times New Roman" w:hAnsi="Times New Roman" w:eastAsia="宋体" w:cs="Times New Roman"/>
          <w:color w:val="auto"/>
          <w:spacing w:val="-4"/>
          <w:sz w:val="24"/>
          <w:szCs w:val="24"/>
        </w:rPr>
        <w:t>1591的规定。</w:t>
      </w:r>
    </w:p>
    <w:p w14:paraId="7293ABE1">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3.4.8</w:t>
      </w:r>
      <w:r>
        <w:rPr>
          <w:rFonts w:hint="default" w:ascii="Times New Roman" w:hAnsi="Times New Roman" w:eastAsia="宋体" w:cs="Times New Roman"/>
          <w:color w:val="auto"/>
          <w:spacing w:val="-5"/>
          <w:sz w:val="24"/>
          <w:szCs w:val="24"/>
        </w:rPr>
        <w:t xml:space="preserve"> 加固用型钢、钢板外表面应进行防腐蚀处理，表面防腐蚀涂层应对钢板及胶粘剂无害。</w:t>
      </w:r>
    </w:p>
    <w:p w14:paraId="687A0906">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3.4.9</w:t>
      </w:r>
      <w:r>
        <w:rPr>
          <w:rFonts w:hint="default" w:ascii="Times New Roman" w:hAnsi="Times New Roman" w:eastAsia="宋体" w:cs="Times New Roman"/>
          <w:color w:val="auto"/>
          <w:spacing w:val="1"/>
          <w:sz w:val="24"/>
          <w:szCs w:val="24"/>
        </w:rPr>
        <w:t xml:space="preserve"> 当被加固构件的表面有防火要求时，其防护层效能应符合耐火等级及耐火极限要求。</w:t>
      </w:r>
    </w:p>
    <w:p w14:paraId="5194AF2E">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3.4.10</w:t>
      </w:r>
      <w:r>
        <w:rPr>
          <w:rFonts w:hint="default" w:ascii="Times New Roman" w:hAnsi="Times New Roman" w:eastAsia="宋体" w:cs="Times New Roman"/>
          <w:color w:val="auto"/>
          <w:spacing w:val="-2"/>
          <w:sz w:val="24"/>
          <w:szCs w:val="24"/>
        </w:rPr>
        <w:t xml:space="preserve"> 凡涉及工程安全的加固材料应通过安全性能的检验和鉴定。</w:t>
      </w:r>
    </w:p>
    <w:p w14:paraId="6C81DD99">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条文说明：加固材料的检验和鉴定标准可参考国家标准《工程结构加固材料安全性鉴定技术规范》GB 50728的相关要求。</w:t>
      </w:r>
    </w:p>
    <w:p w14:paraId="4DA7F808">
      <w:pPr>
        <w:rPr>
          <w:rFonts w:hint="default" w:ascii="Times New Roman" w:hAnsi="Times New Roman" w:eastAsia="宋体" w:cs="Times New Roman"/>
          <w:color w:val="auto"/>
          <w:spacing w:val="-4"/>
          <w:sz w:val="24"/>
          <w:szCs w:val="24"/>
        </w:rPr>
      </w:pPr>
      <w:r>
        <w:rPr>
          <w:rFonts w:hint="default" w:ascii="Times New Roman" w:hAnsi="Times New Roman" w:eastAsia="宋体" w:cs="Times New Roman"/>
          <w:color w:val="auto"/>
          <w:spacing w:val="-4"/>
          <w:sz w:val="24"/>
          <w:szCs w:val="24"/>
        </w:rPr>
        <w:br w:type="page"/>
      </w:r>
    </w:p>
    <w:p w14:paraId="24EAF960">
      <w:pPr>
        <w:pStyle w:val="2"/>
        <w:bidi w:val="0"/>
        <w:rPr>
          <w:rFonts w:hint="default"/>
          <w:lang w:val="en-US" w:eastAsia="zh-CN"/>
        </w:rPr>
      </w:pPr>
      <w:bookmarkStart w:id="22" w:name="bookmark19"/>
      <w:bookmarkEnd w:id="22"/>
      <w:bookmarkStart w:id="23" w:name="_Toc9516"/>
      <w:bookmarkStart w:id="24" w:name="_Toc398"/>
      <w:r>
        <w:rPr>
          <w:rFonts w:hint="default"/>
          <w:lang w:val="en-US" w:eastAsia="zh-CN"/>
        </w:rPr>
        <w:t>4  既有建筑的检测鉴定与加固</w:t>
      </w:r>
      <w:bookmarkEnd w:id="23"/>
    </w:p>
    <w:p w14:paraId="318C4385">
      <w:pPr>
        <w:pStyle w:val="3"/>
        <w:bidi w:val="0"/>
        <w:rPr>
          <w:rFonts w:hint="default"/>
          <w:lang w:val="en-US" w:eastAsia="zh-CN"/>
        </w:rPr>
      </w:pPr>
      <w:bookmarkStart w:id="25" w:name="_Toc7964"/>
      <w:r>
        <w:rPr>
          <w:rFonts w:hint="default"/>
          <w:lang w:val="en-US" w:eastAsia="zh-CN"/>
        </w:rPr>
        <w:t>4</w:t>
      </w:r>
      <w:r>
        <w:rPr>
          <w:rFonts w:hint="default"/>
        </w:rPr>
        <w:t xml:space="preserve">.1 </w:t>
      </w:r>
      <w:bookmarkEnd w:id="24"/>
      <w:r>
        <w:rPr>
          <w:rFonts w:hint="default"/>
          <w:lang w:val="en-US" w:eastAsia="zh-CN"/>
        </w:rPr>
        <w:t>一般规定</w:t>
      </w:r>
      <w:bookmarkEnd w:id="25"/>
    </w:p>
    <w:p w14:paraId="2C8615E9">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4.1.1</w:t>
      </w:r>
      <w:r>
        <w:rPr>
          <w:rFonts w:hint="default" w:ascii="Times New Roman" w:hAnsi="Times New Roman" w:eastAsia="宋体" w:cs="Times New Roman"/>
          <w:color w:val="auto"/>
          <w:spacing w:val="-1"/>
          <w:sz w:val="24"/>
          <w:szCs w:val="24"/>
        </w:rPr>
        <w:t xml:space="preserve"> 既有建筑的加固改造前，应先按相关规范标准及设计要求进行针对性检测与鉴定。</w:t>
      </w:r>
    </w:p>
    <w:p w14:paraId="4B4EC02F">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既有建筑没有加固改造需求，但按照规范要求有其它鉴定需要时，也应进行鉴定。当经过鉴定确认需进行加固时，其检测内容、抽样比例、鉴定报告的编制深度等需补充至满足加固改造设计的要求方可作为设计依据。</w:t>
      </w:r>
    </w:p>
    <w:p w14:paraId="498E0F12">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default" w:ascii="Times New Roman" w:hAnsi="Times New Roman" w:eastAsia="宋体" w:cs="Times New Roman"/>
          <w:color w:val="auto"/>
          <w:spacing w:val="-4"/>
          <w:sz w:val="24"/>
          <w:szCs w:val="24"/>
        </w:rPr>
      </w:pPr>
      <w:r>
        <w:rPr>
          <w:rFonts w:hint="default" w:ascii="Times New Roman" w:hAnsi="Times New Roman" w:eastAsia="宋体" w:cs="Times New Roman"/>
          <w:b/>
          <w:bCs/>
          <w:color w:val="auto"/>
          <w:sz w:val="24"/>
          <w:szCs w:val="24"/>
          <w:lang w:val="en-US" w:eastAsia="zh-CN"/>
        </w:rPr>
        <w:t>4.1.2</w:t>
      </w:r>
      <w:r>
        <w:rPr>
          <w:rFonts w:hint="default" w:ascii="Times New Roman" w:hAnsi="Times New Roman" w:eastAsia="宋体" w:cs="Times New Roman"/>
          <w:color w:val="auto"/>
          <w:spacing w:val="-2"/>
          <w:sz w:val="24"/>
          <w:szCs w:val="24"/>
        </w:rPr>
        <w:t xml:space="preserve"> 既有建筑在下列情况下应同时进行安全性鉴定和抗震鉴定：</w:t>
      </w:r>
    </w:p>
    <w:p w14:paraId="19C6AB52">
      <w:pPr>
        <w:keepNext w:val="0"/>
        <w:keepLines w:val="0"/>
        <w:pageBreakBefore w:val="0"/>
        <w:widowControl w:val="0"/>
        <w:kinsoku/>
        <w:wordWrap/>
        <w:overflowPunct/>
        <w:topLinePunct w:val="0"/>
        <w:autoSpaceDE/>
        <w:autoSpaceDN/>
        <w:bidi w:val="0"/>
        <w:adjustRightInd/>
        <w:snapToGrid/>
        <w:spacing w:line="360" w:lineRule="exact"/>
        <w:ind w:left="0" w:right="0" w:firstLine="464" w:firstLineChars="200"/>
        <w:textAlignment w:val="auto"/>
        <w:rPr>
          <w:rFonts w:hint="default" w:ascii="Times New Roman" w:hAnsi="Times New Roman" w:eastAsia="宋体" w:cs="Times New Roman"/>
          <w:color w:val="auto"/>
          <w:spacing w:val="-4"/>
          <w:sz w:val="24"/>
          <w:szCs w:val="24"/>
          <w:lang w:eastAsia="zh-CN"/>
        </w:rPr>
      </w:pPr>
      <w:r>
        <w:rPr>
          <w:rFonts w:hint="default" w:ascii="Times New Roman" w:hAnsi="Times New Roman" w:eastAsia="宋体" w:cs="Times New Roman"/>
          <w:color w:val="auto"/>
          <w:spacing w:val="-4"/>
          <w:sz w:val="24"/>
          <w:szCs w:val="24"/>
        </w:rPr>
        <w:t xml:space="preserve">1 </w:t>
      </w:r>
      <w:r>
        <w:rPr>
          <w:rFonts w:hint="default" w:ascii="Times New Roman" w:hAnsi="Times New Roman" w:eastAsia="宋体" w:cs="Times New Roman"/>
          <w:color w:val="auto"/>
          <w:spacing w:val="-4"/>
          <w:sz w:val="24"/>
          <w:szCs w:val="24"/>
          <w:lang w:val="en-US" w:eastAsia="zh-CN"/>
        </w:rPr>
        <w:t>达到</w:t>
      </w:r>
      <w:r>
        <w:rPr>
          <w:rFonts w:hint="default" w:ascii="Times New Roman" w:hAnsi="Times New Roman" w:eastAsia="宋体" w:cs="Times New Roman"/>
          <w:color w:val="auto"/>
          <w:spacing w:val="-4"/>
          <w:sz w:val="24"/>
          <w:szCs w:val="24"/>
        </w:rPr>
        <w:t>建筑设计工作年限需要继续使用的建筑</w:t>
      </w:r>
      <w:r>
        <w:rPr>
          <w:rFonts w:hint="default" w:ascii="Times New Roman" w:hAnsi="Times New Roman" w:eastAsia="宋体" w:cs="Times New Roman"/>
          <w:color w:val="auto"/>
          <w:spacing w:val="-4"/>
          <w:sz w:val="24"/>
          <w:szCs w:val="24"/>
          <w:lang w:eastAsia="zh-CN"/>
        </w:rPr>
        <w:t>；</w:t>
      </w:r>
    </w:p>
    <w:p w14:paraId="7BE2BB63">
      <w:pPr>
        <w:keepNext w:val="0"/>
        <w:keepLines w:val="0"/>
        <w:pageBreakBefore w:val="0"/>
        <w:widowControl w:val="0"/>
        <w:kinsoku/>
        <w:wordWrap/>
        <w:overflowPunct/>
        <w:topLinePunct w:val="0"/>
        <w:autoSpaceDE/>
        <w:autoSpaceDN/>
        <w:bidi w:val="0"/>
        <w:adjustRightInd/>
        <w:snapToGrid/>
        <w:spacing w:line="360" w:lineRule="exact"/>
        <w:ind w:left="0" w:right="0" w:firstLine="464" w:firstLineChars="200"/>
        <w:textAlignment w:val="auto"/>
        <w:rPr>
          <w:rFonts w:hint="default" w:ascii="Times New Roman" w:hAnsi="Times New Roman" w:eastAsia="宋体" w:cs="Times New Roman"/>
          <w:color w:val="auto"/>
          <w:spacing w:val="-4"/>
          <w:sz w:val="24"/>
          <w:szCs w:val="24"/>
          <w:lang w:eastAsia="zh-CN"/>
        </w:rPr>
      </w:pPr>
      <w:r>
        <w:rPr>
          <w:rFonts w:hint="default" w:ascii="Times New Roman" w:hAnsi="Times New Roman" w:eastAsia="宋体" w:cs="Times New Roman"/>
          <w:color w:val="auto"/>
          <w:spacing w:val="-4"/>
          <w:sz w:val="24"/>
          <w:szCs w:val="24"/>
          <w:lang w:val="en-US" w:eastAsia="zh-CN"/>
        </w:rPr>
        <w:t>2</w:t>
      </w:r>
      <w:r>
        <w:rPr>
          <w:rFonts w:hint="default" w:ascii="Times New Roman" w:hAnsi="Times New Roman" w:eastAsia="宋体" w:cs="Times New Roman"/>
          <w:color w:val="auto"/>
          <w:spacing w:val="-4"/>
          <w:sz w:val="24"/>
          <w:szCs w:val="24"/>
        </w:rPr>
        <w:t xml:space="preserve"> </w:t>
      </w:r>
      <w:r>
        <w:rPr>
          <w:rFonts w:hint="default" w:ascii="Times New Roman" w:hAnsi="Times New Roman" w:eastAsia="宋体" w:cs="Times New Roman"/>
          <w:color w:val="auto"/>
          <w:spacing w:val="-4"/>
          <w:sz w:val="24"/>
          <w:szCs w:val="24"/>
          <w:lang w:val="en-US" w:eastAsia="zh-CN"/>
        </w:rPr>
        <w:t>改建、扩建、移位以及建筑用途或使用环境改变前</w:t>
      </w:r>
      <w:r>
        <w:rPr>
          <w:rFonts w:hint="default" w:ascii="Times New Roman" w:hAnsi="Times New Roman" w:eastAsia="宋体" w:cs="Times New Roman"/>
          <w:color w:val="auto"/>
          <w:spacing w:val="-4"/>
          <w:sz w:val="24"/>
          <w:szCs w:val="24"/>
          <w:lang w:eastAsia="zh-CN"/>
        </w:rPr>
        <w:t>；</w:t>
      </w:r>
    </w:p>
    <w:p w14:paraId="79382D25">
      <w:pPr>
        <w:keepNext w:val="0"/>
        <w:keepLines w:val="0"/>
        <w:pageBreakBefore w:val="0"/>
        <w:widowControl w:val="0"/>
        <w:kinsoku/>
        <w:wordWrap/>
        <w:overflowPunct/>
        <w:topLinePunct w:val="0"/>
        <w:autoSpaceDE/>
        <w:autoSpaceDN/>
        <w:bidi w:val="0"/>
        <w:adjustRightInd/>
        <w:snapToGrid/>
        <w:spacing w:line="360" w:lineRule="exact"/>
        <w:ind w:left="0" w:right="0" w:firstLine="464" w:firstLineChars="200"/>
        <w:textAlignment w:val="auto"/>
        <w:rPr>
          <w:rFonts w:hint="default" w:ascii="Times New Roman" w:hAnsi="Times New Roman" w:eastAsia="宋体" w:cs="Times New Roman"/>
          <w:color w:val="auto"/>
          <w:spacing w:val="-4"/>
          <w:sz w:val="24"/>
          <w:szCs w:val="24"/>
          <w:lang w:val="en-US" w:eastAsia="zh-CN"/>
        </w:rPr>
      </w:pPr>
      <w:r>
        <w:rPr>
          <w:rFonts w:hint="default" w:ascii="Times New Roman" w:hAnsi="Times New Roman" w:eastAsia="宋体" w:cs="Times New Roman"/>
          <w:color w:val="auto"/>
          <w:spacing w:val="-4"/>
          <w:sz w:val="24"/>
          <w:szCs w:val="24"/>
          <w:lang w:val="en-US" w:eastAsia="zh-CN"/>
        </w:rPr>
        <w:t>3 原设计未考虑抗震设防或抗震设防要求提高的建筑；</w:t>
      </w:r>
    </w:p>
    <w:p w14:paraId="74D4AD06">
      <w:pPr>
        <w:keepNext w:val="0"/>
        <w:keepLines w:val="0"/>
        <w:pageBreakBefore w:val="0"/>
        <w:widowControl w:val="0"/>
        <w:kinsoku/>
        <w:wordWrap/>
        <w:overflowPunct/>
        <w:topLinePunct w:val="0"/>
        <w:autoSpaceDE/>
        <w:autoSpaceDN/>
        <w:bidi w:val="0"/>
        <w:adjustRightInd/>
        <w:snapToGrid/>
        <w:spacing w:line="360" w:lineRule="exact"/>
        <w:ind w:left="0" w:right="0" w:firstLine="464" w:firstLineChars="200"/>
        <w:textAlignment w:val="auto"/>
        <w:rPr>
          <w:rFonts w:hint="default" w:ascii="Times New Roman" w:hAnsi="Times New Roman" w:eastAsia="宋体" w:cs="Times New Roman"/>
          <w:color w:val="auto"/>
          <w:spacing w:val="-4"/>
          <w:sz w:val="24"/>
          <w:szCs w:val="24"/>
          <w:lang w:val="en-US" w:eastAsia="zh-CN"/>
        </w:rPr>
      </w:pPr>
      <w:r>
        <w:rPr>
          <w:rFonts w:hint="default" w:ascii="Times New Roman" w:hAnsi="Times New Roman" w:eastAsia="宋体" w:cs="Times New Roman"/>
          <w:color w:val="auto"/>
          <w:spacing w:val="-4"/>
          <w:sz w:val="24"/>
          <w:szCs w:val="24"/>
          <w:lang w:val="en-US" w:eastAsia="zh-CN"/>
        </w:rPr>
        <w:t>4 遭受灾害后，其抗震能力及安全明显受到影响的建筑；</w:t>
      </w:r>
    </w:p>
    <w:p w14:paraId="23700336">
      <w:pPr>
        <w:keepNext w:val="0"/>
        <w:keepLines w:val="0"/>
        <w:pageBreakBefore w:val="0"/>
        <w:widowControl w:val="0"/>
        <w:kinsoku/>
        <w:wordWrap/>
        <w:overflowPunct/>
        <w:topLinePunct w:val="0"/>
        <w:autoSpaceDE/>
        <w:autoSpaceDN/>
        <w:bidi w:val="0"/>
        <w:adjustRightInd/>
        <w:snapToGrid/>
        <w:spacing w:line="360" w:lineRule="exact"/>
        <w:ind w:left="0" w:right="0" w:firstLine="464" w:firstLineChars="200"/>
        <w:textAlignment w:val="auto"/>
        <w:rPr>
          <w:rFonts w:hint="default" w:ascii="Times New Roman" w:hAnsi="Times New Roman" w:eastAsia="宋体" w:cs="Times New Roman"/>
          <w:color w:val="auto"/>
          <w:spacing w:val="-4"/>
          <w:sz w:val="24"/>
          <w:szCs w:val="24"/>
          <w:lang w:val="en-US" w:eastAsia="zh-CN"/>
        </w:rPr>
      </w:pPr>
      <w:r>
        <w:rPr>
          <w:rFonts w:hint="default" w:ascii="Times New Roman" w:hAnsi="Times New Roman" w:eastAsia="宋体" w:cs="Times New Roman"/>
          <w:color w:val="auto"/>
          <w:spacing w:val="-4"/>
          <w:sz w:val="24"/>
          <w:szCs w:val="24"/>
          <w:lang w:val="en-US" w:eastAsia="zh-CN"/>
        </w:rPr>
        <w:t>5 按89规范及以前设计的建筑；</w:t>
      </w:r>
    </w:p>
    <w:p w14:paraId="0E7763C2">
      <w:pPr>
        <w:keepNext w:val="0"/>
        <w:keepLines w:val="0"/>
        <w:pageBreakBefore w:val="0"/>
        <w:widowControl w:val="0"/>
        <w:kinsoku/>
        <w:wordWrap/>
        <w:overflowPunct/>
        <w:topLinePunct w:val="0"/>
        <w:autoSpaceDE/>
        <w:autoSpaceDN/>
        <w:bidi w:val="0"/>
        <w:adjustRightInd/>
        <w:snapToGrid/>
        <w:spacing w:line="360" w:lineRule="exact"/>
        <w:ind w:left="0" w:right="0" w:firstLine="464" w:firstLineChars="200"/>
        <w:textAlignment w:val="auto"/>
        <w:rPr>
          <w:rFonts w:hint="default" w:ascii="Times New Roman" w:hAnsi="Times New Roman" w:eastAsia="宋体" w:cs="Times New Roman"/>
          <w:color w:val="auto"/>
          <w:spacing w:val="-4"/>
          <w:sz w:val="24"/>
          <w:szCs w:val="24"/>
          <w:lang w:val="en-US" w:eastAsia="zh-CN"/>
        </w:rPr>
      </w:pPr>
      <w:r>
        <w:rPr>
          <w:rFonts w:hint="default" w:ascii="Times New Roman" w:hAnsi="Times New Roman" w:eastAsia="宋体" w:cs="Times New Roman"/>
          <w:color w:val="auto"/>
          <w:spacing w:val="-4"/>
          <w:sz w:val="24"/>
          <w:szCs w:val="24"/>
          <w:lang w:val="en-US" w:eastAsia="zh-CN"/>
        </w:rPr>
        <w:t>5 存在较严重的质量缺陷或损伤、疲劳、变形、振动影响、毗邻工程施工影响;</w:t>
      </w:r>
    </w:p>
    <w:p w14:paraId="2A9551BD">
      <w:pPr>
        <w:keepNext w:val="0"/>
        <w:keepLines w:val="0"/>
        <w:pageBreakBefore w:val="0"/>
        <w:widowControl w:val="0"/>
        <w:kinsoku/>
        <w:wordWrap/>
        <w:overflowPunct/>
        <w:topLinePunct w:val="0"/>
        <w:autoSpaceDE/>
        <w:autoSpaceDN/>
        <w:bidi w:val="0"/>
        <w:adjustRightInd/>
        <w:snapToGrid/>
        <w:spacing w:line="360" w:lineRule="exact"/>
        <w:ind w:left="0" w:right="0" w:firstLine="464" w:firstLineChars="200"/>
        <w:textAlignment w:val="auto"/>
        <w:rPr>
          <w:rFonts w:hint="default" w:ascii="Times New Roman" w:hAnsi="Times New Roman" w:eastAsia="宋体" w:cs="Times New Roman"/>
          <w:color w:val="auto"/>
          <w:spacing w:val="-4"/>
          <w:sz w:val="24"/>
          <w:szCs w:val="24"/>
          <w:lang w:val="en-US" w:eastAsia="zh-CN"/>
        </w:rPr>
      </w:pPr>
      <w:r>
        <w:rPr>
          <w:rFonts w:hint="default" w:ascii="Times New Roman" w:hAnsi="Times New Roman" w:eastAsia="宋体" w:cs="Times New Roman"/>
          <w:color w:val="auto"/>
          <w:spacing w:val="-4"/>
          <w:sz w:val="24"/>
          <w:szCs w:val="24"/>
          <w:lang w:val="en-US" w:eastAsia="zh-CN"/>
        </w:rPr>
        <w:t>6 日常使用中发现安全隐患;</w:t>
      </w:r>
    </w:p>
    <w:p w14:paraId="0BEE362F">
      <w:pPr>
        <w:keepNext w:val="0"/>
        <w:keepLines w:val="0"/>
        <w:pageBreakBefore w:val="0"/>
        <w:widowControl w:val="0"/>
        <w:kinsoku/>
        <w:wordWrap/>
        <w:overflowPunct/>
        <w:topLinePunct w:val="0"/>
        <w:autoSpaceDE/>
        <w:autoSpaceDN/>
        <w:bidi w:val="0"/>
        <w:adjustRightInd/>
        <w:snapToGrid/>
        <w:spacing w:line="360" w:lineRule="exact"/>
        <w:ind w:left="0" w:right="0" w:firstLine="464" w:firstLineChars="200"/>
        <w:textAlignment w:val="auto"/>
        <w:rPr>
          <w:rFonts w:hint="default" w:ascii="Times New Roman" w:hAnsi="Times New Roman" w:eastAsia="宋体" w:cs="Times New Roman"/>
          <w:color w:val="auto"/>
          <w:spacing w:val="-4"/>
          <w:sz w:val="24"/>
          <w:szCs w:val="24"/>
          <w:lang w:val="en-US" w:eastAsia="zh-CN"/>
        </w:rPr>
      </w:pPr>
      <w:r>
        <w:rPr>
          <w:rFonts w:hint="default" w:ascii="Times New Roman" w:hAnsi="Times New Roman" w:eastAsia="宋体" w:cs="Times New Roman"/>
          <w:color w:val="auto"/>
          <w:spacing w:val="-4"/>
          <w:sz w:val="24"/>
          <w:szCs w:val="24"/>
          <w:lang w:val="en-US" w:eastAsia="zh-CN"/>
        </w:rPr>
        <w:t>7 有要求需进行质量评价时。</w:t>
      </w:r>
    </w:p>
    <w:p w14:paraId="116F7096">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进行抗震鉴定前，必须先进行安全性鉴定。在某些情况下，也可以仅进行安全性鉴定，详见本规程4.1.3。房屋建筑抗震鉴定应以整栋建筑实施，不应以局部楼层、分户单元分离实施。当建筑与相邻建筑或结构单元间设有符合要求防震缝分隔时，可分别进行抗震鉴定。</w:t>
      </w:r>
    </w:p>
    <w:p w14:paraId="5ABE649B">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建筑用途改变的定义可参考《民用建筑通用规范》GB 55031中的民用建筑分类，从抗震安全角度出发，指使用功能改变导致抗震设防类别提高、抗侧力构件发生变化或楼面均布活荷载增加的情况。需注意的是，使用功能未改变也可能存在抗震设防类别提高、抗侧力构件发生变化或局部楼（屋）盖均布活荷载增加的情况。</w:t>
      </w:r>
    </w:p>
    <w:p w14:paraId="3456E64A">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下列情况的既有建筑改造，可认定为建筑主体功能未发生改变：</w:t>
      </w:r>
    </w:p>
    <w:p w14:paraId="79DC0D46">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1 科研建筑、办公建筑增设对内服务的生活、文化、健身等服务设施；</w:t>
      </w:r>
    </w:p>
    <w:p w14:paraId="2F3FBA57">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2 文化、体育、教育、医疗建筑增设小型商业服务配套设施；</w:t>
      </w:r>
    </w:p>
    <w:p w14:paraId="017D731E">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3 商业建筑内的业态调整或互换，如：商店、超市、购物中心、专业卖场综合商场、商业综合体的商业部分等商业建筑内，经营（服务）内容、店铺布置方式的调整或互换。</w:t>
      </w:r>
    </w:p>
    <w:p w14:paraId="749AEE23">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4 商业建筑增加电影院、餐饮等使用功能，酒店建筑调整配套设施和客房区域布置等均可视为使用功能未改变。</w:t>
      </w:r>
    </w:p>
    <w:p w14:paraId="25C67B47">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4.1.3</w:t>
      </w:r>
      <w:r>
        <w:rPr>
          <w:rFonts w:hint="default" w:ascii="Times New Roman" w:hAnsi="Times New Roman" w:eastAsia="宋体" w:cs="Times New Roman"/>
          <w:color w:val="auto"/>
          <w:spacing w:val="-2"/>
          <w:sz w:val="24"/>
          <w:szCs w:val="24"/>
        </w:rPr>
        <w:t xml:space="preserve"> 满足以下条件之一的既有建筑，可以只进行安全性鉴定：</w:t>
      </w:r>
    </w:p>
    <w:p w14:paraId="2539C433">
      <w:pPr>
        <w:keepNext w:val="0"/>
        <w:keepLines w:val="0"/>
        <w:pageBreakBefore w:val="0"/>
        <w:widowControl w:val="0"/>
        <w:kinsoku/>
        <w:wordWrap/>
        <w:overflowPunct/>
        <w:topLinePunct w:val="0"/>
        <w:autoSpaceDE/>
        <w:autoSpaceDN/>
        <w:bidi w:val="0"/>
        <w:adjustRightInd/>
        <w:snapToGrid/>
        <w:spacing w:line="360" w:lineRule="exact"/>
        <w:ind w:left="0" w:right="0" w:firstLine="476"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
          <w:sz w:val="24"/>
          <w:szCs w:val="24"/>
        </w:rPr>
        <w:t>1 房屋局部改造（不包括局部加层）仅影响较小范围内的结构构件安全。</w:t>
      </w:r>
    </w:p>
    <w:p w14:paraId="681A804C">
      <w:pPr>
        <w:keepNext w:val="0"/>
        <w:keepLines w:val="0"/>
        <w:pageBreakBefore w:val="0"/>
        <w:widowControl w:val="0"/>
        <w:kinsoku/>
        <w:wordWrap/>
        <w:overflowPunct/>
        <w:topLinePunct w:val="0"/>
        <w:autoSpaceDE/>
        <w:autoSpaceDN/>
        <w:bidi w:val="0"/>
        <w:adjustRightInd/>
        <w:snapToGrid/>
        <w:spacing w:line="360" w:lineRule="exact"/>
        <w:ind w:left="0" w:right="0" w:firstLine="468"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3"/>
          <w:sz w:val="24"/>
          <w:szCs w:val="24"/>
        </w:rPr>
        <w:t>2 因灾害或者事故导致结构局部损伤的。</w:t>
      </w:r>
    </w:p>
    <w:p w14:paraId="293507F1">
      <w:pPr>
        <w:keepNext w:val="0"/>
        <w:keepLines w:val="0"/>
        <w:pageBreakBefore w:val="0"/>
        <w:widowControl w:val="0"/>
        <w:kinsoku/>
        <w:wordWrap/>
        <w:overflowPunct/>
        <w:topLinePunct w:val="0"/>
        <w:autoSpaceDE/>
        <w:autoSpaceDN/>
        <w:bidi w:val="0"/>
        <w:adjustRightInd/>
        <w:snapToGrid/>
        <w:spacing w:line="360" w:lineRule="exact"/>
        <w:ind w:left="0" w:right="0" w:firstLine="47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3 正常使用中发现结构构件存在局部安全问题</w:t>
      </w:r>
      <w:r>
        <w:rPr>
          <w:rFonts w:hint="default" w:ascii="Times New Roman" w:hAnsi="Times New Roman" w:eastAsia="宋体" w:cs="Times New Roman"/>
          <w:color w:val="auto"/>
          <w:spacing w:val="-3"/>
          <w:sz w:val="24"/>
          <w:szCs w:val="24"/>
        </w:rPr>
        <w:t>的。</w:t>
      </w:r>
    </w:p>
    <w:p w14:paraId="27294D1D">
      <w:pPr>
        <w:keepNext w:val="0"/>
        <w:keepLines w:val="0"/>
        <w:pageBreakBefore w:val="0"/>
        <w:widowControl w:val="0"/>
        <w:kinsoku/>
        <w:wordWrap/>
        <w:overflowPunct/>
        <w:topLinePunct w:val="0"/>
        <w:autoSpaceDE/>
        <w:autoSpaceDN/>
        <w:bidi w:val="0"/>
        <w:adjustRightInd/>
        <w:snapToGrid/>
        <w:spacing w:line="360" w:lineRule="exact"/>
        <w:ind w:left="0" w:right="0" w:firstLine="468"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3"/>
          <w:sz w:val="24"/>
          <w:szCs w:val="24"/>
        </w:rPr>
        <w:t>4 其他需要仅进行结构安全性鉴定的房屋。</w:t>
      </w:r>
    </w:p>
    <w:p w14:paraId="11DA8786">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条文说明：本条的局部改造、局部损伤、局部安全问题指的是不影响整体抗震性能的情况。对于局部改造的定义及其限制条件详见本规程第3.1.12条的条文说明。</w:t>
      </w:r>
    </w:p>
    <w:p w14:paraId="235DCD4E">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《西安市城市房屋使用安全管理条例》第二十五条规定：学校、医院、场馆、车站、商场等大中型公共建筑的使用年限达到设计使用年限三分之二的，房屋使用安全责任人应当委托房屋安全鉴定。</w:t>
      </w:r>
    </w:p>
    <w:p w14:paraId="5DBA878C">
      <w:pPr>
        <w:keepNext w:val="0"/>
        <w:keepLines w:val="0"/>
        <w:pageBreakBefore w:val="0"/>
        <w:widowControl w:val="0"/>
        <w:kinsoku/>
        <w:wordWrap/>
        <w:overflowPunct/>
        <w:topLinePunct w:val="0"/>
        <w:autoSpaceDE/>
        <w:autoSpaceDN/>
        <w:bidi w:val="0"/>
        <w:adjustRightInd/>
        <w:snapToGrid/>
        <w:spacing w:line="360" w:lineRule="exact"/>
        <w:ind w:left="0" w:right="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4.1.4</w:t>
      </w:r>
      <w:r>
        <w:rPr>
          <w:rFonts w:hint="default" w:ascii="Times New Roman" w:hAnsi="Times New Roman" w:eastAsia="宋体" w:cs="Times New Roman"/>
          <w:color w:val="auto"/>
          <w:sz w:val="24"/>
          <w:szCs w:val="24"/>
        </w:rPr>
        <w:t xml:space="preserve"> 当仅对既有建筑的局部进行安全性鉴定时，应根据结构体系的构成情况和实际需要，</w:t>
      </w:r>
      <w:r>
        <w:rPr>
          <w:rFonts w:hint="default" w:ascii="Times New Roman" w:hAnsi="Times New Roman" w:eastAsia="宋体" w:cs="Times New Roman"/>
          <w:color w:val="auto"/>
          <w:spacing w:val="-1"/>
          <w:sz w:val="24"/>
          <w:szCs w:val="24"/>
        </w:rPr>
        <w:t>进行至某一层次，同时应进行结构体系及其整体</w:t>
      </w:r>
      <w:r>
        <w:rPr>
          <w:rFonts w:hint="default" w:ascii="Times New Roman" w:hAnsi="Times New Roman" w:eastAsia="宋体" w:cs="Times New Roman"/>
          <w:color w:val="auto"/>
          <w:spacing w:val="-2"/>
          <w:sz w:val="24"/>
          <w:szCs w:val="24"/>
        </w:rPr>
        <w:t>牢固性的调查。若存在材料强度较低、结构</w:t>
      </w:r>
      <w:r>
        <w:rPr>
          <w:rFonts w:hint="default" w:ascii="Times New Roman" w:hAnsi="Times New Roman" w:eastAsia="宋体" w:cs="Times New Roman"/>
          <w:color w:val="auto"/>
          <w:spacing w:val="-1"/>
          <w:sz w:val="24"/>
          <w:szCs w:val="24"/>
        </w:rPr>
        <w:t>拆改严重或结构体系复杂等异常情况，仍应进行整体安全性</w:t>
      </w:r>
      <w:r>
        <w:rPr>
          <w:rFonts w:hint="default" w:ascii="Times New Roman" w:hAnsi="Times New Roman" w:eastAsia="宋体" w:cs="Times New Roman"/>
          <w:color w:val="auto"/>
          <w:spacing w:val="-2"/>
          <w:sz w:val="24"/>
          <w:szCs w:val="24"/>
        </w:rPr>
        <w:t>鉴定和抗震鉴定。</w:t>
      </w:r>
    </w:p>
    <w:p w14:paraId="009B7D4B">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当针对局部改造进行的安全性鉴定时，其鉴定范围应包括改造范围相关楼层（至少包括改造所在楼层及其上下一层）结构构件及相关各层墙柱（至少包括改造所在楼层、相邻上一层以及下面各层的墙柱），必要时应包括对应的基础，要对鉴定范围内的结构进行结构布置、使用功能等现状安全调查，并在检测鉴定报告中明确调查结论，如调查发现与原竣工图纸有不一致之处，应视差异程度补充检测范围，检测数量应满足相关规范、标准的规定，以及结构复核验算的要求。</w:t>
      </w:r>
    </w:p>
    <w:p w14:paraId="56A22AEA">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当针对局部改造进行的安全性鉴定时，宜增加鉴定范围内重要抗侧力构件抗震构造措施的检测。</w:t>
      </w:r>
    </w:p>
    <w:p w14:paraId="5D6F9F02">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4.1.5</w:t>
      </w:r>
      <w:r>
        <w:rPr>
          <w:rFonts w:hint="default" w:ascii="Times New Roman" w:hAnsi="Times New Roman" w:eastAsia="宋体" w:cs="Times New Roman"/>
          <w:color w:val="auto"/>
          <w:spacing w:val="-2"/>
          <w:sz w:val="24"/>
          <w:szCs w:val="24"/>
        </w:rPr>
        <w:t xml:space="preserve"> 当延长后续工作年限时，应进行耐久性检测和鉴定。</w:t>
      </w:r>
    </w:p>
    <w:p w14:paraId="50EAB2F7">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4.1.6</w:t>
      </w:r>
      <w:r>
        <w:rPr>
          <w:rFonts w:hint="default" w:ascii="Times New Roman" w:hAnsi="Times New Roman" w:eastAsia="宋体" w:cs="Times New Roman"/>
          <w:color w:val="auto"/>
          <w:spacing w:val="-2"/>
          <w:sz w:val="24"/>
          <w:szCs w:val="24"/>
        </w:rPr>
        <w:t xml:space="preserve"> 既有建筑的安全性鉴定应根据下列情</w:t>
      </w:r>
      <w:r>
        <w:rPr>
          <w:rFonts w:hint="default" w:ascii="Times New Roman" w:hAnsi="Times New Roman" w:eastAsia="宋体" w:cs="Times New Roman"/>
          <w:color w:val="auto"/>
          <w:spacing w:val="-3"/>
          <w:sz w:val="24"/>
          <w:szCs w:val="24"/>
        </w:rPr>
        <w:t>况区别对待：</w:t>
      </w:r>
    </w:p>
    <w:p w14:paraId="28A26F71">
      <w:pPr>
        <w:keepNext w:val="0"/>
        <w:keepLines w:val="0"/>
        <w:pageBreakBefore w:val="0"/>
        <w:widowControl w:val="0"/>
        <w:kinsoku/>
        <w:wordWrap/>
        <w:overflowPunct/>
        <w:topLinePunct w:val="0"/>
        <w:autoSpaceDE/>
        <w:autoSpaceDN/>
        <w:bidi w:val="0"/>
        <w:adjustRightInd/>
        <w:snapToGrid/>
        <w:spacing w:line="360" w:lineRule="exact"/>
        <w:ind w:left="0" w:right="0" w:firstLine="47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1 既有建筑应根据不同的鉴定目的，采用不</w:t>
      </w:r>
      <w:r>
        <w:rPr>
          <w:rFonts w:hint="default" w:ascii="Times New Roman" w:hAnsi="Times New Roman" w:eastAsia="宋体" w:cs="Times New Roman"/>
          <w:color w:val="auto"/>
          <w:spacing w:val="-3"/>
          <w:sz w:val="24"/>
          <w:szCs w:val="24"/>
        </w:rPr>
        <w:t>同的鉴定方法。</w:t>
      </w:r>
    </w:p>
    <w:p w14:paraId="31E88D14">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对原结构、构件安全性鉴定主要有两种目的：一是为评估剩余设计工作年限内的安全性，二是为评估结构加固、改变用途、延长工作年限后的安全性，两者的鉴定方法是不同的，详见本规程第3.2.3-1、3.2.3-2条。</w:t>
      </w:r>
    </w:p>
    <w:p w14:paraId="21260E6E">
      <w:pPr>
        <w:keepNext w:val="0"/>
        <w:keepLines w:val="0"/>
        <w:pageBreakBefore w:val="0"/>
        <w:widowControl w:val="0"/>
        <w:kinsoku/>
        <w:wordWrap/>
        <w:overflowPunct/>
        <w:topLinePunct w:val="0"/>
        <w:autoSpaceDE/>
        <w:autoSpaceDN/>
        <w:bidi w:val="0"/>
        <w:adjustRightInd/>
        <w:snapToGrid/>
        <w:spacing w:line="360" w:lineRule="exact"/>
        <w:ind w:left="0" w:right="0" w:firstLine="47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2 既有建筑应</w:t>
      </w:r>
      <w:r>
        <w:rPr>
          <w:rFonts w:hint="default" w:ascii="Times New Roman" w:hAnsi="Times New Roman" w:eastAsia="宋体" w:cs="Times New Roman"/>
          <w:color w:val="auto"/>
          <w:spacing w:val="-3"/>
          <w:sz w:val="24"/>
          <w:szCs w:val="24"/>
        </w:rPr>
        <w:t>区分</w:t>
      </w:r>
      <w:r>
        <w:rPr>
          <w:rFonts w:hint="default" w:ascii="Times New Roman" w:hAnsi="Times New Roman" w:eastAsia="宋体" w:cs="Times New Roman"/>
          <w:color w:val="auto"/>
          <w:spacing w:val="-2"/>
          <w:sz w:val="24"/>
          <w:szCs w:val="24"/>
        </w:rPr>
        <w:t>主要构件和一般构件，采用不同的鉴定方法。</w:t>
      </w:r>
    </w:p>
    <w:p w14:paraId="0AFA31A6">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主要构件指的是其自身失效将导致其他构件失效，并危及承重结构系统安全工作的构件。一般构件指的是其自身失效为孤立事件，不会导致其他构件失效的构件。两者的鉴定方法是不同的，详见《民用建筑可靠性鉴定标准》GB 50292相关内容。</w:t>
      </w:r>
    </w:p>
    <w:p w14:paraId="527229EB">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4.1.7</w:t>
      </w:r>
      <w:r>
        <w:rPr>
          <w:rFonts w:hint="default" w:ascii="Times New Roman" w:hAnsi="Times New Roman" w:eastAsia="宋体" w:cs="Times New Roman"/>
          <w:color w:val="auto"/>
          <w:spacing w:val="-2"/>
          <w:sz w:val="24"/>
          <w:szCs w:val="24"/>
        </w:rPr>
        <w:t xml:space="preserve"> 既有建筑的抗震鉴定应根据下列</w:t>
      </w:r>
      <w:r>
        <w:rPr>
          <w:rFonts w:hint="default" w:ascii="Times New Roman" w:hAnsi="Times New Roman" w:eastAsia="宋体" w:cs="Times New Roman"/>
          <w:color w:val="auto"/>
          <w:spacing w:val="-3"/>
          <w:sz w:val="24"/>
          <w:szCs w:val="24"/>
        </w:rPr>
        <w:t>情况区别对待：</w:t>
      </w:r>
    </w:p>
    <w:p w14:paraId="62B3D6DF">
      <w:pPr>
        <w:keepNext w:val="0"/>
        <w:keepLines w:val="0"/>
        <w:pageBreakBefore w:val="0"/>
        <w:widowControl w:val="0"/>
        <w:kinsoku/>
        <w:wordWrap/>
        <w:overflowPunct/>
        <w:topLinePunct w:val="0"/>
        <w:autoSpaceDE/>
        <w:autoSpaceDN/>
        <w:bidi w:val="0"/>
        <w:adjustRightInd/>
        <w:snapToGrid/>
        <w:spacing w:line="360" w:lineRule="exact"/>
        <w:ind w:left="0" w:right="0" w:firstLine="496"/>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1 建筑结构类型不同的结构，其检查的重点﹑项目内容和要求不同，应采用不同的鉴定</w:t>
      </w:r>
      <w:r>
        <w:rPr>
          <w:rFonts w:hint="default" w:ascii="Times New Roman" w:hAnsi="Times New Roman" w:eastAsia="宋体" w:cs="Times New Roman"/>
          <w:color w:val="auto"/>
          <w:spacing w:val="-3"/>
          <w:sz w:val="24"/>
          <w:szCs w:val="24"/>
        </w:rPr>
        <w:t>方法，并符合后续相应章节的要求。</w:t>
      </w:r>
    </w:p>
    <w:p w14:paraId="3DB9F8F5">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条文说明：针对不同的结构类型，如砌体结构、混凝土结构、钢结构等，需要鉴定的侧重点也有所不同，详细内容见《建筑抗震鉴定标准》GB 50023。</w:t>
      </w:r>
    </w:p>
    <w:p w14:paraId="5C7E7656">
      <w:pPr>
        <w:keepNext w:val="0"/>
        <w:keepLines w:val="0"/>
        <w:pageBreakBefore w:val="0"/>
        <w:widowControl w:val="0"/>
        <w:kinsoku/>
        <w:wordWrap/>
        <w:overflowPunct/>
        <w:topLinePunct w:val="0"/>
        <w:autoSpaceDE/>
        <w:autoSpaceDN/>
        <w:bidi w:val="0"/>
        <w:adjustRightInd/>
        <w:snapToGrid/>
        <w:spacing w:line="360" w:lineRule="exact"/>
        <w:ind w:left="0" w:right="0" w:firstLine="485"/>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2 对重点部位与一般部位，应按不同的要求进行检查、鉴定。</w:t>
      </w:r>
    </w:p>
    <w:p w14:paraId="0B7AF1F3">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条文说明：重点部位指影响该类建筑结构整体抗震性能的关键部位和易导致局部倒塌伤人的构件、部件，以及地震时可能造成次生灾害的部位。</w:t>
      </w:r>
    </w:p>
    <w:p w14:paraId="00326C30">
      <w:pPr>
        <w:keepNext w:val="0"/>
        <w:keepLines w:val="0"/>
        <w:pageBreakBefore w:val="0"/>
        <w:widowControl w:val="0"/>
        <w:kinsoku/>
        <w:wordWrap/>
        <w:overflowPunct/>
        <w:topLinePunct w:val="0"/>
        <w:autoSpaceDE/>
        <w:autoSpaceDN/>
        <w:bidi w:val="0"/>
        <w:adjustRightInd/>
        <w:snapToGrid/>
        <w:spacing w:line="360" w:lineRule="exact"/>
        <w:ind w:left="0" w:right="0" w:firstLine="485"/>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3 对抗震性能有整体影响的构件和仅有局部影响的构件，在综合抗震能力分析时应区别</w:t>
      </w:r>
      <w:r>
        <w:rPr>
          <w:rFonts w:hint="default" w:ascii="Times New Roman" w:hAnsi="Times New Roman" w:eastAsia="宋体" w:cs="Times New Roman"/>
          <w:color w:val="auto"/>
          <w:spacing w:val="-10"/>
          <w:sz w:val="24"/>
          <w:szCs w:val="24"/>
        </w:rPr>
        <w:t>对待。</w:t>
      </w:r>
    </w:p>
    <w:p w14:paraId="449E5847">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4.1.8</w:t>
      </w:r>
      <w:r>
        <w:rPr>
          <w:rFonts w:hint="default" w:ascii="Times New Roman" w:hAnsi="Times New Roman" w:eastAsia="宋体" w:cs="Times New Roman"/>
          <w:color w:val="auto"/>
          <w:spacing w:val="-3"/>
          <w:sz w:val="24"/>
          <w:szCs w:val="24"/>
        </w:rPr>
        <w:t xml:space="preserve"> 既有建筑鉴定应按照以下规定的程序进行：</w:t>
      </w:r>
    </w:p>
    <w:p w14:paraId="0E7D1EED">
      <w:pPr>
        <w:keepNext w:val="0"/>
        <w:keepLines w:val="0"/>
        <w:pageBreakBefore w:val="0"/>
        <w:widowControl w:val="0"/>
        <w:kinsoku/>
        <w:wordWrap/>
        <w:overflowPunct/>
        <w:topLinePunct w:val="0"/>
        <w:autoSpaceDE/>
        <w:autoSpaceDN/>
        <w:bidi w:val="0"/>
        <w:adjustRightInd/>
        <w:snapToGrid/>
        <w:spacing w:line="360" w:lineRule="exact"/>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 产权人或委托方办理委托和提供资料。</w:t>
      </w:r>
    </w:p>
    <w:p w14:paraId="106D42EA">
      <w:pPr>
        <w:keepNext w:val="0"/>
        <w:keepLines w:val="0"/>
        <w:pageBreakBefore w:val="0"/>
        <w:widowControl w:val="0"/>
        <w:kinsoku/>
        <w:wordWrap/>
        <w:overflowPunct/>
        <w:topLinePunct w:val="0"/>
        <w:autoSpaceDE/>
        <w:autoSpaceDN/>
        <w:bidi w:val="0"/>
        <w:adjustRightInd/>
        <w:snapToGrid/>
        <w:spacing w:line="360" w:lineRule="exact"/>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 搜集、查阅工程图纸资料并进行资料核查。</w:t>
      </w:r>
    </w:p>
    <w:p w14:paraId="2A996DB5">
      <w:pPr>
        <w:keepNext w:val="0"/>
        <w:keepLines w:val="0"/>
        <w:pageBreakBefore w:val="0"/>
        <w:widowControl w:val="0"/>
        <w:kinsoku/>
        <w:wordWrap/>
        <w:overflowPunct/>
        <w:topLinePunct w:val="0"/>
        <w:autoSpaceDE/>
        <w:autoSpaceDN/>
        <w:bidi w:val="0"/>
        <w:adjustRightInd/>
        <w:snapToGrid/>
        <w:spacing w:line="360" w:lineRule="exact"/>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 进行现场初步调查。</w:t>
      </w:r>
    </w:p>
    <w:p w14:paraId="6598574D">
      <w:pPr>
        <w:keepNext w:val="0"/>
        <w:keepLines w:val="0"/>
        <w:pageBreakBefore w:val="0"/>
        <w:widowControl w:val="0"/>
        <w:kinsoku/>
        <w:wordWrap/>
        <w:overflowPunct/>
        <w:topLinePunct w:val="0"/>
        <w:autoSpaceDE/>
        <w:autoSpaceDN/>
        <w:bidi w:val="0"/>
        <w:adjustRightInd/>
        <w:snapToGrid/>
        <w:spacing w:line="360" w:lineRule="exact"/>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 制定结构鉴定方案。</w:t>
      </w:r>
    </w:p>
    <w:p w14:paraId="2351AB54">
      <w:pPr>
        <w:keepNext w:val="0"/>
        <w:keepLines w:val="0"/>
        <w:pageBreakBefore w:val="0"/>
        <w:widowControl w:val="0"/>
        <w:kinsoku/>
        <w:wordWrap/>
        <w:overflowPunct/>
        <w:topLinePunct w:val="0"/>
        <w:autoSpaceDE/>
        <w:autoSpaceDN/>
        <w:bidi w:val="0"/>
        <w:adjustRightInd/>
        <w:snapToGrid/>
        <w:spacing w:line="360" w:lineRule="exact"/>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 进行现场检查和检测，必要时单独出具检测报告。</w:t>
      </w:r>
    </w:p>
    <w:p w14:paraId="5E2F9984">
      <w:pPr>
        <w:keepNext w:val="0"/>
        <w:keepLines w:val="0"/>
        <w:pageBreakBefore w:val="0"/>
        <w:widowControl w:val="0"/>
        <w:kinsoku/>
        <w:wordWrap/>
        <w:overflowPunct/>
        <w:topLinePunct w:val="0"/>
        <w:autoSpaceDE/>
        <w:autoSpaceDN/>
        <w:bidi w:val="0"/>
        <w:adjustRightInd/>
        <w:snapToGrid/>
        <w:spacing w:line="360" w:lineRule="exact"/>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6 对检测数据进行分析、对主体结构承载能力与抗震能力进行计算分析。</w:t>
      </w:r>
    </w:p>
    <w:p w14:paraId="78E931BF">
      <w:pPr>
        <w:keepNext w:val="0"/>
        <w:keepLines w:val="0"/>
        <w:pageBreakBefore w:val="0"/>
        <w:widowControl w:val="0"/>
        <w:kinsoku/>
        <w:wordWrap/>
        <w:overflowPunct/>
        <w:topLinePunct w:val="0"/>
        <w:autoSpaceDE/>
        <w:autoSpaceDN/>
        <w:bidi w:val="0"/>
        <w:adjustRightInd/>
        <w:snapToGrid/>
        <w:spacing w:line="360" w:lineRule="exact"/>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7 进行结构安全性鉴定与抗震鉴定。</w:t>
      </w:r>
    </w:p>
    <w:p w14:paraId="04D24BD8">
      <w:pPr>
        <w:keepNext w:val="0"/>
        <w:keepLines w:val="0"/>
        <w:pageBreakBefore w:val="0"/>
        <w:widowControl w:val="0"/>
        <w:kinsoku/>
        <w:wordWrap/>
        <w:overflowPunct/>
        <w:topLinePunct w:val="0"/>
        <w:autoSpaceDE/>
        <w:autoSpaceDN/>
        <w:bidi w:val="0"/>
        <w:adjustRightInd/>
        <w:snapToGrid/>
        <w:spacing w:line="360" w:lineRule="exact"/>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8</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出具结构鉴定报告。</w:t>
      </w:r>
    </w:p>
    <w:p w14:paraId="13FAE3A9">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4.1.9</w:t>
      </w:r>
      <w:r>
        <w:rPr>
          <w:rFonts w:hint="default" w:ascii="Times New Roman" w:hAnsi="Times New Roman" w:eastAsia="宋体" w:cs="Times New Roman"/>
          <w:color w:val="auto"/>
          <w:spacing w:val="-1"/>
          <w:sz w:val="24"/>
          <w:szCs w:val="24"/>
        </w:rPr>
        <w:t xml:space="preserve"> 鉴定报告正文应信息完备、层</w:t>
      </w:r>
      <w:r>
        <w:rPr>
          <w:rFonts w:hint="default" w:ascii="Times New Roman" w:hAnsi="Times New Roman" w:eastAsia="宋体" w:cs="Times New Roman"/>
          <w:color w:val="auto"/>
          <w:spacing w:val="-2"/>
          <w:sz w:val="24"/>
          <w:szCs w:val="24"/>
        </w:rPr>
        <w:t>次清楚、文字简练、结论准确，且满足以下要求：</w:t>
      </w:r>
    </w:p>
    <w:p w14:paraId="1D869E62">
      <w:pPr>
        <w:keepNext w:val="0"/>
        <w:keepLines w:val="0"/>
        <w:pageBreakBefore w:val="0"/>
        <w:widowControl w:val="0"/>
        <w:kinsoku/>
        <w:wordWrap/>
        <w:overflowPunct/>
        <w:topLinePunct w:val="0"/>
        <w:autoSpaceDE/>
        <w:autoSpaceDN/>
        <w:bidi w:val="0"/>
        <w:adjustRightInd/>
        <w:snapToGrid/>
        <w:spacing w:line="360" w:lineRule="exact"/>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 既有建筑概况宜包括建筑名称、工程地址、结构类型、规模、设计年代、竣工年代、</w:t>
      </w:r>
      <w:r>
        <w:rPr>
          <w:rFonts w:hint="default" w:ascii="Times New Roman" w:hAnsi="Times New Roman" w:eastAsia="宋体" w:cs="Times New Roman"/>
          <w:color w:val="auto"/>
          <w:spacing w:val="1"/>
          <w:sz w:val="24"/>
          <w:szCs w:val="24"/>
        </w:rPr>
        <w:t>设计单位名称、施工单位名称、图纸资料、使用</w:t>
      </w:r>
      <w:r>
        <w:rPr>
          <w:rFonts w:hint="default" w:ascii="Times New Roman" w:hAnsi="Times New Roman" w:eastAsia="宋体" w:cs="Times New Roman"/>
          <w:color w:val="auto"/>
          <w:sz w:val="24"/>
          <w:szCs w:val="24"/>
        </w:rPr>
        <w:t>环境、使用历史等情况，并对房屋的基础、</w:t>
      </w:r>
      <w:r>
        <w:rPr>
          <w:rFonts w:hint="default" w:ascii="Times New Roman" w:hAnsi="Times New Roman" w:eastAsia="宋体" w:cs="Times New Roman"/>
          <w:color w:val="auto"/>
          <w:spacing w:val="-8"/>
          <w:sz w:val="24"/>
          <w:szCs w:val="24"/>
        </w:rPr>
        <w:t>梁、板、柱、墙体、屋盖等组成部分进行描述。鉴定单位还需提供房屋建筑立面</w:t>
      </w:r>
      <w:r>
        <w:rPr>
          <w:rFonts w:hint="default" w:ascii="Times New Roman" w:hAnsi="Times New Roman" w:eastAsia="宋体" w:cs="Times New Roman"/>
          <w:color w:val="auto"/>
          <w:spacing w:val="-9"/>
          <w:sz w:val="24"/>
          <w:szCs w:val="24"/>
        </w:rPr>
        <w:t>照片、建筑、</w:t>
      </w:r>
      <w:r>
        <w:rPr>
          <w:rFonts w:hint="default" w:ascii="Times New Roman" w:hAnsi="Times New Roman" w:eastAsia="宋体" w:cs="Times New Roman"/>
          <w:color w:val="auto"/>
          <w:spacing w:val="-6"/>
          <w:sz w:val="24"/>
          <w:szCs w:val="24"/>
        </w:rPr>
        <w:t>结构平面图等。</w:t>
      </w:r>
    </w:p>
    <w:p w14:paraId="69975452">
      <w:pPr>
        <w:keepNext w:val="0"/>
        <w:keepLines w:val="0"/>
        <w:pageBreakBefore w:val="0"/>
        <w:widowControl w:val="0"/>
        <w:kinsoku/>
        <w:wordWrap/>
        <w:overflowPunct/>
        <w:topLinePunct w:val="0"/>
        <w:autoSpaceDE/>
        <w:autoSpaceDN/>
        <w:bidi w:val="0"/>
        <w:adjustRightInd/>
        <w:snapToGrid/>
        <w:spacing w:line="360" w:lineRule="exact"/>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 应根据委托方的需求和鉴定目的，确定鉴定范围和检查、检测的内容。</w:t>
      </w:r>
    </w:p>
    <w:p w14:paraId="56DB0316">
      <w:pPr>
        <w:keepNext w:val="0"/>
        <w:keepLines w:val="0"/>
        <w:pageBreakBefore w:val="0"/>
        <w:widowControl w:val="0"/>
        <w:kinsoku/>
        <w:wordWrap/>
        <w:overflowPunct/>
        <w:topLinePunct w:val="0"/>
        <w:autoSpaceDE/>
        <w:autoSpaceDN/>
        <w:bidi w:val="0"/>
        <w:adjustRightInd/>
        <w:snapToGrid/>
        <w:spacing w:line="360" w:lineRule="exact"/>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 应根据抗震鉴定类别和检查、检测内容，确定鉴定和检测所依据的标准等。</w:t>
      </w:r>
    </w:p>
    <w:p w14:paraId="5E12C403">
      <w:pPr>
        <w:keepNext w:val="0"/>
        <w:keepLines w:val="0"/>
        <w:pageBreakBefore w:val="0"/>
        <w:widowControl w:val="0"/>
        <w:kinsoku/>
        <w:wordWrap/>
        <w:overflowPunct/>
        <w:topLinePunct w:val="0"/>
        <w:autoSpaceDE/>
        <w:autoSpaceDN/>
        <w:bidi w:val="0"/>
        <w:adjustRightInd/>
        <w:snapToGrid/>
        <w:spacing w:line="360" w:lineRule="exact"/>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 当房屋建筑原建筑、原结构图纸缺失或失效时，检测鉴定单位应根据检查和检测结果提供建筑现状测绘图及主要的结构现状复原图。</w:t>
      </w:r>
    </w:p>
    <w:p w14:paraId="42223110">
      <w:pPr>
        <w:keepNext w:val="0"/>
        <w:keepLines w:val="0"/>
        <w:pageBreakBefore w:val="0"/>
        <w:widowControl w:val="0"/>
        <w:kinsoku/>
        <w:wordWrap/>
        <w:overflowPunct/>
        <w:topLinePunct w:val="0"/>
        <w:autoSpaceDE/>
        <w:autoSpaceDN/>
        <w:bidi w:val="0"/>
        <w:adjustRightInd/>
        <w:snapToGrid/>
        <w:spacing w:line="360" w:lineRule="exact"/>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 现场检查和检测应主要记录图纸与现场相符性核查结果、结构及构件的变形与损伤、材料强度和结构构造措施等。涉及结构实体检测的，应当有相应的检测报告。</w:t>
      </w:r>
    </w:p>
    <w:p w14:paraId="2D816093">
      <w:pPr>
        <w:keepNext w:val="0"/>
        <w:keepLines w:val="0"/>
        <w:pageBreakBefore w:val="0"/>
        <w:widowControl w:val="0"/>
        <w:kinsoku/>
        <w:wordWrap/>
        <w:overflowPunct/>
        <w:topLinePunct w:val="0"/>
        <w:autoSpaceDE/>
        <w:autoSpaceDN/>
        <w:bidi w:val="0"/>
        <w:adjustRightInd/>
        <w:snapToGrid/>
        <w:spacing w:line="360" w:lineRule="exact"/>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6 涉及结构和构件验算的，应提供计算书。</w:t>
      </w:r>
    </w:p>
    <w:p w14:paraId="2A49F6E2">
      <w:pPr>
        <w:keepNext w:val="0"/>
        <w:keepLines w:val="0"/>
        <w:pageBreakBefore w:val="0"/>
        <w:widowControl w:val="0"/>
        <w:kinsoku/>
        <w:wordWrap/>
        <w:overflowPunct/>
        <w:topLinePunct w:val="0"/>
        <w:autoSpaceDE/>
        <w:autoSpaceDN/>
        <w:bidi w:val="0"/>
        <w:adjustRightInd/>
        <w:snapToGrid/>
        <w:spacing w:line="360" w:lineRule="exact"/>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7 鉴定评级过程应清晰完整，依据标准、规范和规程规定的方法和步骤逐级评定。</w:t>
      </w:r>
    </w:p>
    <w:p w14:paraId="6AC187AD">
      <w:pPr>
        <w:keepNext w:val="0"/>
        <w:keepLines w:val="0"/>
        <w:pageBreakBefore w:val="0"/>
        <w:widowControl w:val="0"/>
        <w:kinsoku/>
        <w:wordWrap/>
        <w:overflowPunct/>
        <w:topLinePunct w:val="0"/>
        <w:autoSpaceDE/>
        <w:autoSpaceDN/>
        <w:bidi w:val="0"/>
        <w:adjustRightInd/>
        <w:snapToGrid/>
        <w:spacing w:line="360" w:lineRule="exact"/>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8 鉴定结论应使用标准、规范和规程的结论术语，且应包含对鉴定结论的解释；在鉴定结论后，应给出处理建议。</w:t>
      </w:r>
    </w:p>
    <w:p w14:paraId="20D63AF4">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4.1.10</w:t>
      </w:r>
      <w:r>
        <w:rPr>
          <w:rFonts w:hint="default" w:ascii="Times New Roman" w:hAnsi="Times New Roman" w:eastAsia="宋体" w:cs="Times New Roman"/>
          <w:color w:val="auto"/>
          <w:spacing w:val="-2"/>
          <w:sz w:val="24"/>
          <w:szCs w:val="24"/>
        </w:rPr>
        <w:t xml:space="preserve"> 一般情况下，鉴定报告宜在出具之日起2年内使用。</w:t>
      </w:r>
    </w:p>
    <w:p w14:paraId="4A166A17">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条文说明：鉴定报告宜注明在正常使用条件下的使用有效时限。此条要求比《城市危险房屋管理规定》(建设部令第129号)的第十一条中的规定略有放松。</w:t>
      </w:r>
    </w:p>
    <w:p w14:paraId="0E6196BE">
      <w:pPr>
        <w:pStyle w:val="3"/>
        <w:bidi w:val="0"/>
        <w:rPr>
          <w:rFonts w:hint="default"/>
        </w:rPr>
      </w:pPr>
      <w:bookmarkStart w:id="26" w:name="_Toc2162"/>
      <w:r>
        <w:rPr>
          <w:rFonts w:hint="default"/>
        </w:rPr>
        <w:t>4.2 资料核查、现场调查、检测与监测</w:t>
      </w:r>
      <w:bookmarkEnd w:id="26"/>
    </w:p>
    <w:p w14:paraId="07D6D5AF">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4.2.1</w:t>
      </w:r>
      <w:r>
        <w:rPr>
          <w:rFonts w:hint="default" w:ascii="Times New Roman" w:hAnsi="Times New Roman" w:eastAsia="宋体" w:cs="Times New Roman"/>
          <w:color w:val="auto"/>
          <w:sz w:val="24"/>
          <w:szCs w:val="24"/>
        </w:rPr>
        <w:t xml:space="preserve"> 既有建筑鉴定前应搜集、查阅工程图纸资料，并进行资料与现状符合情况的核查。</w:t>
      </w:r>
    </w:p>
    <w:p w14:paraId="75028F10">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资料核查应包括岩土工程勘察报告、竣工图或设计图、施工及验收资料等；资料核查时应核实委托方提供的房屋建筑建设资料齐全、有效情况及资料与房屋建筑现状的符合情况等。如果没有原结构的图纸资料，结构图绘制工作量将大幅增加，并且绘制工作还将受限于以下条件：</w:t>
      </w:r>
    </w:p>
    <w:p w14:paraId="372BEECD">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1 房屋处于使用过程中时，委托方所能提供检测条件的往往只有局部范围，无法全面检测。</w:t>
      </w:r>
    </w:p>
    <w:p w14:paraId="275C5D6C">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2 房屋检测时有损伤检测较多，对原结构损伤较大。</w:t>
      </w:r>
    </w:p>
    <w:p w14:paraId="2E164481">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3 检测工作量较大，工期长。</w:t>
      </w:r>
    </w:p>
    <w:p w14:paraId="39773966">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实际上有些年代不太久远的工程，图纸资料并未丢失，如果能够认真对待，仔细寻找，有可能找到相关图纸资料，这将会大大推进工程的进度。</w:t>
      </w:r>
    </w:p>
    <w:p w14:paraId="2ECFB04D">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b/>
          <w:bCs/>
          <w:color w:val="auto"/>
          <w:sz w:val="24"/>
          <w:szCs w:val="24"/>
          <w:lang w:val="en-US" w:eastAsia="zh-CN"/>
        </w:rPr>
        <w:t>4.2.2</w:t>
      </w:r>
      <w:r>
        <w:rPr>
          <w:rFonts w:hint="default" w:ascii="Times New Roman" w:hAnsi="Times New Roman" w:eastAsia="宋体" w:cs="Times New Roman"/>
          <w:color w:val="auto"/>
          <w:spacing w:val="-2"/>
          <w:sz w:val="24"/>
          <w:szCs w:val="24"/>
          <w:lang w:val="en-US" w:eastAsia="zh-CN"/>
        </w:rPr>
        <w:t xml:space="preserve"> 既有建筑改造和加固工程资料一般包括：</w:t>
      </w:r>
    </w:p>
    <w:p w14:paraId="5D6DEBD9">
      <w:pPr>
        <w:keepNext w:val="0"/>
        <w:keepLines w:val="0"/>
        <w:pageBreakBefore w:val="0"/>
        <w:widowControl w:val="0"/>
        <w:kinsoku/>
        <w:wordWrap/>
        <w:overflowPunct/>
        <w:topLinePunct w:val="0"/>
        <w:autoSpaceDE/>
        <w:autoSpaceDN/>
        <w:bidi w:val="0"/>
        <w:adjustRightInd/>
        <w:snapToGrid/>
        <w:spacing w:line="360" w:lineRule="exact"/>
        <w:ind w:left="0" w:right="0" w:firstLine="482"/>
        <w:textAlignment w:val="auto"/>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1 既有建筑加固改造可行性研究报告；</w:t>
      </w:r>
    </w:p>
    <w:p w14:paraId="498EBFD1">
      <w:pPr>
        <w:keepNext w:val="0"/>
        <w:keepLines w:val="0"/>
        <w:pageBreakBefore w:val="0"/>
        <w:widowControl w:val="0"/>
        <w:kinsoku/>
        <w:wordWrap/>
        <w:overflowPunct/>
        <w:topLinePunct w:val="0"/>
        <w:autoSpaceDE/>
        <w:autoSpaceDN/>
        <w:bidi w:val="0"/>
        <w:adjustRightInd/>
        <w:snapToGrid/>
        <w:spacing w:line="360" w:lineRule="exact"/>
        <w:ind w:left="0" w:right="0" w:firstLine="482"/>
        <w:textAlignment w:val="auto"/>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2 改造涉及的原设计资料；</w:t>
      </w:r>
    </w:p>
    <w:p w14:paraId="18F0E347">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right="0" w:firstLine="482"/>
        <w:textAlignment w:val="auto"/>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相关专业竣工图纸，房屋图纸资料不全或房屋无有效图纸资料时，应根据4.2.5条进行调查与检测，给出完善后的图纸资料，并能够反映结构现有真实工作状态的涉及结构性能的各种技术参数；</w:t>
      </w:r>
    </w:p>
    <w:p w14:paraId="7C178F8E">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right="0" w:firstLine="482"/>
        <w:textAlignment w:val="auto"/>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历次加固、改造的资料；</w:t>
      </w:r>
    </w:p>
    <w:p w14:paraId="467FC15F">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right="0" w:firstLine="482"/>
        <w:textAlignment w:val="auto"/>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必要时提供原结构计算书。</w:t>
      </w:r>
    </w:p>
    <w:p w14:paraId="06DE8375">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82" w:leftChars="0" w:right="0" w:rightChars="0"/>
        <w:textAlignment w:val="auto"/>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3 必要时提供原结构检测、鉴定报告（材料强度检测报告、安全性鉴定报告和抗震鉴定报告等）。</w:t>
      </w:r>
    </w:p>
    <w:p w14:paraId="55A5945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82" w:leftChars="0" w:right="0" w:rightChars="0"/>
        <w:textAlignment w:val="auto"/>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4 必要时提供原《岩土工程勘察报告》，若涉及加固设计的需要，还应提供经审查合格的《岩土工程补充勘察报告》。</w:t>
      </w:r>
    </w:p>
    <w:p w14:paraId="536BD4D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82" w:leftChars="0" w:right="0" w:rightChars="0"/>
        <w:textAlignment w:val="auto"/>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5 改造后采用桩基，因根据桩基设计等级的要求，必要时提供单桩静载检测报告。</w:t>
      </w:r>
    </w:p>
    <w:p w14:paraId="06ED30AD">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检测和鉴定工作可以由同一机构或不同机构分别完成。检测工作应由具有检测资质的机构承担，而鉴定工作则需由具有设计资质的机构承担。若由同一机构完成检测和鉴定工作，该机构必须具备检测和设计双资质。</w:t>
      </w:r>
    </w:p>
    <w:p w14:paraId="4101D083">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检测报告应附建筑物主要建筑结构平面图。如建筑物的原始设计图纸遗失或原始设计图纸和建筑物的现状不符，应在检测报告中附上按建筑物现状测绘的建筑、结构图。</w:t>
      </w:r>
    </w:p>
    <w:p w14:paraId="1DF82C88">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1 当没有房屋的建筑图时，应根据房屋的使用现状对房屋的建筑图纸进行现场测绘。建筑测绘图的内容宜包括建筑平面图、建筑立面图、建筑剖面图和细部大样等。</w:t>
      </w:r>
    </w:p>
    <w:p w14:paraId="2C763B6D">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2 当没有房屋的结构图时，应根据房屋结构现状对房屋的结构图纸进行现场测绘。结构测绘图的内容应包括结构平面布置图、构件尺寸、截面形式、主要配筋形式、配筋量和连接构造等。</w:t>
      </w:r>
    </w:p>
    <w:p w14:paraId="03A198C5">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4.2.3</w:t>
      </w:r>
      <w:r>
        <w:rPr>
          <w:rFonts w:hint="default" w:ascii="Times New Roman" w:hAnsi="Times New Roman" w:eastAsia="宋体" w:cs="Times New Roman"/>
          <w:color w:val="auto"/>
          <w:spacing w:val="-2"/>
          <w:sz w:val="24"/>
          <w:szCs w:val="24"/>
        </w:rPr>
        <w:t xml:space="preserve"> 既有建筑鉴定前应进行现场初步调查。现场初步调查工作包括：</w:t>
      </w:r>
    </w:p>
    <w:p w14:paraId="3D1AC3F6">
      <w:pPr>
        <w:keepNext w:val="0"/>
        <w:keepLines w:val="0"/>
        <w:pageBreakBefore w:val="0"/>
        <w:widowControl w:val="0"/>
        <w:kinsoku/>
        <w:wordWrap/>
        <w:overflowPunct/>
        <w:topLinePunct w:val="0"/>
        <w:autoSpaceDE/>
        <w:autoSpaceDN/>
        <w:bidi w:val="0"/>
        <w:adjustRightInd/>
        <w:snapToGrid/>
        <w:spacing w:line="360" w:lineRule="exact"/>
        <w:ind w:left="0" w:right="0" w:firstLine="482"/>
        <w:textAlignment w:val="auto"/>
        <w:rPr>
          <w:rFonts w:hint="default" w:ascii="Times New Roman" w:hAnsi="Times New Roman" w:eastAsia="宋体" w:cs="Times New Roman"/>
          <w:color w:val="auto"/>
          <w:spacing w:val="-2"/>
          <w:sz w:val="24"/>
          <w:szCs w:val="24"/>
        </w:rPr>
      </w:pPr>
      <w:r>
        <w:rPr>
          <w:rFonts w:hint="default" w:ascii="Times New Roman" w:hAnsi="Times New Roman" w:eastAsia="宋体" w:cs="Times New Roman"/>
          <w:color w:val="auto"/>
          <w:spacing w:val="-2"/>
          <w:sz w:val="24"/>
          <w:szCs w:val="24"/>
        </w:rPr>
        <w:t>1 调查建筑物使用历史，包括历次改造以及受灾</w:t>
      </w:r>
      <w:r>
        <w:rPr>
          <w:rFonts w:hint="default" w:ascii="Times New Roman" w:hAnsi="Times New Roman" w:eastAsia="宋体" w:cs="Times New Roman"/>
          <w:color w:val="auto"/>
          <w:spacing w:val="-3"/>
          <w:sz w:val="24"/>
          <w:szCs w:val="24"/>
        </w:rPr>
        <w:t>情况等内容。</w:t>
      </w:r>
    </w:p>
    <w:p w14:paraId="2C3C4B9E">
      <w:pPr>
        <w:keepNext w:val="0"/>
        <w:keepLines w:val="0"/>
        <w:pageBreakBefore w:val="0"/>
        <w:widowControl w:val="0"/>
        <w:kinsoku/>
        <w:wordWrap/>
        <w:overflowPunct/>
        <w:topLinePunct w:val="0"/>
        <w:autoSpaceDE/>
        <w:autoSpaceDN/>
        <w:bidi w:val="0"/>
        <w:adjustRightInd/>
        <w:snapToGrid/>
        <w:spacing w:line="360" w:lineRule="exact"/>
        <w:ind w:left="0" w:right="0" w:firstLine="482"/>
        <w:textAlignment w:val="auto"/>
        <w:rPr>
          <w:rFonts w:hint="default" w:ascii="Times New Roman" w:hAnsi="Times New Roman" w:eastAsia="宋体" w:cs="Times New Roman"/>
          <w:color w:val="auto"/>
          <w:spacing w:val="-2"/>
          <w:sz w:val="24"/>
          <w:szCs w:val="24"/>
        </w:rPr>
      </w:pPr>
      <w:r>
        <w:rPr>
          <w:rFonts w:hint="default" w:ascii="Times New Roman" w:hAnsi="Times New Roman" w:eastAsia="宋体" w:cs="Times New Roman"/>
          <w:color w:val="auto"/>
          <w:spacing w:val="-2"/>
          <w:sz w:val="24"/>
          <w:szCs w:val="24"/>
        </w:rPr>
        <w:t>2 调查建筑物使用条件、使用环境、结构现状。</w:t>
      </w:r>
    </w:p>
    <w:p w14:paraId="5E6AF8E7">
      <w:pPr>
        <w:keepNext w:val="0"/>
        <w:keepLines w:val="0"/>
        <w:pageBreakBefore w:val="0"/>
        <w:widowControl w:val="0"/>
        <w:kinsoku/>
        <w:wordWrap/>
        <w:overflowPunct/>
        <w:topLinePunct w:val="0"/>
        <w:autoSpaceDE/>
        <w:autoSpaceDN/>
        <w:bidi w:val="0"/>
        <w:adjustRightInd/>
        <w:snapToGrid/>
        <w:spacing w:line="360" w:lineRule="exact"/>
        <w:ind w:left="0" w:right="0" w:firstLine="482"/>
        <w:textAlignment w:val="auto"/>
        <w:rPr>
          <w:rFonts w:hint="default" w:ascii="Times New Roman" w:hAnsi="Times New Roman" w:eastAsia="宋体" w:cs="Times New Roman"/>
          <w:color w:val="auto"/>
          <w:spacing w:val="-2"/>
          <w:sz w:val="24"/>
          <w:szCs w:val="24"/>
        </w:rPr>
      </w:pPr>
      <w:r>
        <w:rPr>
          <w:rFonts w:hint="default" w:ascii="Times New Roman" w:hAnsi="Times New Roman" w:eastAsia="宋体" w:cs="Times New Roman"/>
          <w:color w:val="auto"/>
          <w:spacing w:val="-2"/>
          <w:sz w:val="24"/>
          <w:szCs w:val="24"/>
        </w:rPr>
        <w:t>3 调查地基基础的变形、稳定、砂土液化、软弱土层及特殊土层的状况。</w:t>
      </w:r>
    </w:p>
    <w:p w14:paraId="041C4A7D">
      <w:pPr>
        <w:keepNext w:val="0"/>
        <w:keepLines w:val="0"/>
        <w:pageBreakBefore w:val="0"/>
        <w:widowControl w:val="0"/>
        <w:kinsoku/>
        <w:wordWrap/>
        <w:overflowPunct/>
        <w:topLinePunct w:val="0"/>
        <w:autoSpaceDE/>
        <w:autoSpaceDN/>
        <w:bidi w:val="0"/>
        <w:adjustRightInd/>
        <w:snapToGrid/>
        <w:spacing w:line="360" w:lineRule="exact"/>
        <w:ind w:left="0" w:right="0" w:firstLine="482"/>
        <w:textAlignment w:val="auto"/>
        <w:rPr>
          <w:rFonts w:hint="default" w:ascii="Times New Roman" w:hAnsi="Times New Roman" w:eastAsia="宋体" w:cs="Times New Roman"/>
          <w:color w:val="auto"/>
          <w:spacing w:val="-2"/>
          <w:sz w:val="24"/>
          <w:szCs w:val="24"/>
        </w:rPr>
      </w:pPr>
      <w:r>
        <w:rPr>
          <w:rFonts w:hint="default" w:ascii="Times New Roman" w:hAnsi="Times New Roman" w:eastAsia="宋体" w:cs="Times New Roman"/>
          <w:color w:val="auto"/>
          <w:spacing w:val="-2"/>
          <w:sz w:val="24"/>
          <w:szCs w:val="24"/>
        </w:rPr>
        <w:t>4 调查结构和构件中出现的变形、裂缝、其他损伤的情况。</w:t>
      </w:r>
    </w:p>
    <w:p w14:paraId="4E89C3D3">
      <w:pPr>
        <w:keepNext w:val="0"/>
        <w:keepLines w:val="0"/>
        <w:pageBreakBefore w:val="0"/>
        <w:widowControl w:val="0"/>
        <w:kinsoku/>
        <w:wordWrap/>
        <w:overflowPunct/>
        <w:topLinePunct w:val="0"/>
        <w:autoSpaceDE/>
        <w:autoSpaceDN/>
        <w:bidi w:val="0"/>
        <w:adjustRightInd/>
        <w:snapToGrid/>
        <w:spacing w:line="360" w:lineRule="exact"/>
        <w:ind w:left="0" w:right="0" w:firstLine="482"/>
        <w:textAlignment w:val="auto"/>
        <w:rPr>
          <w:rFonts w:hint="default" w:ascii="Times New Roman" w:hAnsi="Times New Roman" w:eastAsia="宋体" w:cs="Times New Roman"/>
          <w:color w:val="auto"/>
          <w:spacing w:val="-2"/>
          <w:sz w:val="24"/>
          <w:szCs w:val="24"/>
        </w:rPr>
      </w:pPr>
      <w:r>
        <w:rPr>
          <w:rFonts w:hint="default" w:ascii="Times New Roman" w:hAnsi="Times New Roman" w:eastAsia="宋体" w:cs="Times New Roman"/>
          <w:color w:val="auto"/>
          <w:spacing w:val="-2"/>
          <w:sz w:val="24"/>
          <w:szCs w:val="24"/>
        </w:rPr>
        <w:t>5 调查房屋易塌落伤人的悬挑阳台、雨棚等构件的现状以及房屋人员疏散通道的畅通情况。</w:t>
      </w:r>
    </w:p>
    <w:p w14:paraId="094E27E7">
      <w:pPr>
        <w:keepNext w:val="0"/>
        <w:keepLines w:val="0"/>
        <w:pageBreakBefore w:val="0"/>
        <w:widowControl w:val="0"/>
        <w:kinsoku/>
        <w:wordWrap/>
        <w:overflowPunct/>
        <w:topLinePunct w:val="0"/>
        <w:autoSpaceDE/>
        <w:autoSpaceDN/>
        <w:bidi w:val="0"/>
        <w:adjustRightInd/>
        <w:snapToGrid/>
        <w:spacing w:line="360" w:lineRule="exact"/>
        <w:ind w:left="0" w:right="0" w:firstLine="482"/>
        <w:textAlignment w:val="auto"/>
        <w:rPr>
          <w:rFonts w:hint="default" w:ascii="Times New Roman" w:hAnsi="Times New Roman" w:eastAsia="宋体" w:cs="Times New Roman"/>
          <w:color w:val="auto"/>
          <w:spacing w:val="-2"/>
          <w:sz w:val="24"/>
          <w:szCs w:val="24"/>
        </w:rPr>
      </w:pPr>
      <w:r>
        <w:rPr>
          <w:rFonts w:hint="default" w:ascii="Times New Roman" w:hAnsi="Times New Roman" w:eastAsia="宋体" w:cs="Times New Roman"/>
          <w:color w:val="auto"/>
          <w:spacing w:val="-2"/>
          <w:sz w:val="24"/>
          <w:szCs w:val="24"/>
        </w:rPr>
        <w:t>6 调查建筑周围是否存在地铁或隧道施工以及振动源、较长期积水等造成的影响。</w:t>
      </w:r>
    </w:p>
    <w:p w14:paraId="34FA31C9">
      <w:pPr>
        <w:keepNext w:val="0"/>
        <w:keepLines w:val="0"/>
        <w:pageBreakBefore w:val="0"/>
        <w:widowControl w:val="0"/>
        <w:kinsoku/>
        <w:wordWrap/>
        <w:overflowPunct/>
        <w:topLinePunct w:val="0"/>
        <w:autoSpaceDE/>
        <w:autoSpaceDN/>
        <w:bidi w:val="0"/>
        <w:adjustRightInd/>
        <w:snapToGrid/>
        <w:spacing w:line="360" w:lineRule="exact"/>
        <w:ind w:left="0" w:right="0" w:firstLine="482"/>
        <w:textAlignment w:val="auto"/>
        <w:rPr>
          <w:rFonts w:hint="default" w:ascii="Times New Roman" w:hAnsi="Times New Roman" w:eastAsia="宋体" w:cs="Times New Roman"/>
          <w:color w:val="auto"/>
          <w:spacing w:val="-2"/>
          <w:sz w:val="24"/>
          <w:szCs w:val="24"/>
        </w:rPr>
      </w:pPr>
      <w:r>
        <w:rPr>
          <w:rFonts w:hint="default" w:ascii="Times New Roman" w:hAnsi="Times New Roman" w:eastAsia="宋体" w:cs="Times New Roman"/>
          <w:color w:val="auto"/>
          <w:spacing w:val="-2"/>
          <w:sz w:val="24"/>
          <w:szCs w:val="24"/>
        </w:rPr>
        <w:t>7 调查由于个别构件发生破损或变动结构主体引发大范围倒塌的可能性。</w:t>
      </w:r>
    </w:p>
    <w:p w14:paraId="4E88F388">
      <w:pPr>
        <w:keepNext w:val="0"/>
        <w:keepLines w:val="0"/>
        <w:pageBreakBefore w:val="0"/>
        <w:widowControl w:val="0"/>
        <w:kinsoku/>
        <w:wordWrap/>
        <w:overflowPunct/>
        <w:topLinePunct w:val="0"/>
        <w:autoSpaceDE/>
        <w:autoSpaceDN/>
        <w:bidi w:val="0"/>
        <w:adjustRightInd/>
        <w:snapToGrid/>
        <w:spacing w:line="360" w:lineRule="exact"/>
        <w:ind w:left="0" w:right="0" w:firstLine="48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8 调查建筑周边易受结构位移、变形影响的管道系统等其他环境因素。</w:t>
      </w:r>
    </w:p>
    <w:p w14:paraId="09CCA727">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现场初步调查是对搜集、核查资料工作的补充，主要形式为现场踏勘并辅以向相关人员询问、了解一些在图纸资料上无法反映的现场情况。主要内容是了解房屋建筑实际使用状况、结构体系和结构布置在使用过程中是否有变更等。现场初步调查工作对于确定后续检查与检测的内容和数量非常重要。</w:t>
      </w:r>
    </w:p>
    <w:p w14:paraId="6D93494F">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4.2.4</w:t>
      </w:r>
      <w:r>
        <w:rPr>
          <w:rFonts w:hint="default" w:ascii="Times New Roman" w:hAnsi="Times New Roman" w:eastAsia="宋体" w:cs="Times New Roman"/>
          <w:color w:val="auto"/>
          <w:spacing w:val="1"/>
          <w:sz w:val="24"/>
          <w:szCs w:val="24"/>
        </w:rPr>
        <w:t xml:space="preserve"> 既有建筑鉴定前应进行现场检查和检</w:t>
      </w:r>
      <w:r>
        <w:rPr>
          <w:rFonts w:hint="default" w:ascii="Times New Roman" w:hAnsi="Times New Roman" w:eastAsia="宋体" w:cs="Times New Roman"/>
          <w:color w:val="auto"/>
          <w:sz w:val="24"/>
          <w:szCs w:val="24"/>
        </w:rPr>
        <w:t>测，必要时应进行监测。其工作的范围、内容、</w:t>
      </w:r>
      <w:r>
        <w:rPr>
          <w:rFonts w:hint="default" w:ascii="Times New Roman" w:hAnsi="Times New Roman" w:eastAsia="宋体" w:cs="Times New Roman"/>
          <w:color w:val="auto"/>
          <w:spacing w:val="-2"/>
          <w:sz w:val="24"/>
          <w:szCs w:val="24"/>
        </w:rPr>
        <w:t>深度和技术要求，应满足鉴定与加固改造工作的需要。现场检查和检测应符合以下要求：</w:t>
      </w:r>
    </w:p>
    <w:p w14:paraId="4AF5BF04">
      <w:pPr>
        <w:keepNext w:val="0"/>
        <w:keepLines w:val="0"/>
        <w:pageBreakBefore w:val="0"/>
        <w:widowControl w:val="0"/>
        <w:kinsoku/>
        <w:wordWrap/>
        <w:overflowPunct/>
        <w:topLinePunct w:val="0"/>
        <w:autoSpaceDE/>
        <w:autoSpaceDN/>
        <w:bidi w:val="0"/>
        <w:adjustRightInd/>
        <w:snapToGrid/>
        <w:spacing w:line="360" w:lineRule="exact"/>
        <w:ind w:left="0" w:right="0" w:firstLine="481"/>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3"/>
          <w:sz w:val="24"/>
          <w:szCs w:val="24"/>
        </w:rPr>
        <w:t>1 应采用适合结构现状和现场作业的检测和监测方法。</w:t>
      </w:r>
    </w:p>
    <w:p w14:paraId="1EB1EDEF">
      <w:pPr>
        <w:keepNext w:val="0"/>
        <w:keepLines w:val="0"/>
        <w:pageBreakBefore w:val="0"/>
        <w:widowControl w:val="0"/>
        <w:kinsoku/>
        <w:wordWrap/>
        <w:overflowPunct/>
        <w:topLinePunct w:val="0"/>
        <w:autoSpaceDE/>
        <w:autoSpaceDN/>
        <w:bidi w:val="0"/>
        <w:adjustRightInd/>
        <w:snapToGrid/>
        <w:spacing w:line="360" w:lineRule="exact"/>
        <w:ind w:left="0" w:right="0" w:firstLine="481"/>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2 既有建筑检测宜根据委托方的要求、检测项目的特点确定检测对象和检测的数量。检测数量的选择除按照相关检测技术标准执行外还需满足加固改造设计的要求。当既有建筑结构取样量受条件限制时，应作为个案通过专门研究进行处理。</w:t>
      </w:r>
    </w:p>
    <w:p w14:paraId="2988872A">
      <w:pPr>
        <w:keepNext w:val="0"/>
        <w:keepLines w:val="0"/>
        <w:pageBreakBefore w:val="0"/>
        <w:widowControl w:val="0"/>
        <w:kinsoku/>
        <w:wordWrap/>
        <w:overflowPunct/>
        <w:topLinePunct w:val="0"/>
        <w:autoSpaceDE/>
        <w:autoSpaceDN/>
        <w:bidi w:val="0"/>
        <w:adjustRightInd/>
        <w:snapToGrid/>
        <w:spacing w:line="360" w:lineRule="exact"/>
        <w:ind w:left="0" w:right="0" w:firstLine="481"/>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6"/>
          <w:sz w:val="24"/>
          <w:szCs w:val="24"/>
        </w:rPr>
        <w:t>3 既有建筑结构构件的材料性能检测结果和变形、损伤的检测、监测结果，应能为结构</w:t>
      </w:r>
      <w:r>
        <w:rPr>
          <w:rFonts w:hint="default" w:ascii="Times New Roman" w:hAnsi="Times New Roman" w:eastAsia="宋体" w:cs="Times New Roman"/>
          <w:color w:val="auto"/>
          <w:spacing w:val="-1"/>
          <w:sz w:val="24"/>
          <w:szCs w:val="24"/>
        </w:rPr>
        <w:t>鉴定提供可靠的依据。检测、监测结果未经综合分析，</w:t>
      </w:r>
      <w:r>
        <w:rPr>
          <w:rFonts w:hint="default" w:ascii="Times New Roman" w:hAnsi="Times New Roman" w:eastAsia="宋体" w:cs="Times New Roman"/>
          <w:color w:val="auto"/>
          <w:spacing w:val="-2"/>
          <w:sz w:val="24"/>
          <w:szCs w:val="24"/>
        </w:rPr>
        <w:t>不得直接作出鉴定结论。</w:t>
      </w:r>
    </w:p>
    <w:p w14:paraId="3F4E4319">
      <w:pPr>
        <w:keepNext w:val="0"/>
        <w:keepLines w:val="0"/>
        <w:pageBreakBefore w:val="0"/>
        <w:widowControl w:val="0"/>
        <w:kinsoku/>
        <w:wordWrap/>
        <w:overflowPunct/>
        <w:topLinePunct w:val="0"/>
        <w:autoSpaceDE/>
        <w:autoSpaceDN/>
        <w:bidi w:val="0"/>
        <w:adjustRightInd/>
        <w:snapToGrid/>
        <w:spacing w:line="360" w:lineRule="exact"/>
        <w:ind w:left="0" w:right="0" w:firstLine="481"/>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
          <w:sz w:val="24"/>
          <w:szCs w:val="24"/>
        </w:rPr>
        <w:t>4 应采取措施保障现场检测、监测</w:t>
      </w:r>
      <w:r>
        <w:rPr>
          <w:rFonts w:hint="default" w:ascii="Times New Roman" w:hAnsi="Times New Roman" w:eastAsia="宋体" w:cs="Times New Roman"/>
          <w:color w:val="auto"/>
          <w:spacing w:val="-6"/>
          <w:sz w:val="24"/>
          <w:szCs w:val="24"/>
        </w:rPr>
        <w:t>作业</w:t>
      </w:r>
      <w:r>
        <w:rPr>
          <w:rFonts w:hint="default" w:ascii="Times New Roman" w:hAnsi="Times New Roman" w:eastAsia="宋体" w:cs="Times New Roman"/>
          <w:color w:val="auto"/>
          <w:spacing w:val="-1"/>
          <w:sz w:val="24"/>
          <w:szCs w:val="24"/>
        </w:rPr>
        <w:t>安全，</w:t>
      </w:r>
      <w:r>
        <w:rPr>
          <w:rFonts w:hint="default" w:ascii="Times New Roman" w:hAnsi="Times New Roman" w:eastAsia="宋体" w:cs="Times New Roman"/>
          <w:color w:val="auto"/>
          <w:spacing w:val="-2"/>
          <w:sz w:val="24"/>
          <w:szCs w:val="24"/>
        </w:rPr>
        <w:t>并应制定应急处理预案。</w:t>
      </w:r>
    </w:p>
    <w:p w14:paraId="2BB4C7AB">
      <w:pPr>
        <w:keepNext w:val="0"/>
        <w:keepLines w:val="0"/>
        <w:pageBreakBefore w:val="0"/>
        <w:widowControl w:val="0"/>
        <w:kinsoku/>
        <w:wordWrap/>
        <w:overflowPunct/>
        <w:topLinePunct w:val="0"/>
        <w:autoSpaceDE/>
        <w:autoSpaceDN/>
        <w:bidi w:val="0"/>
        <w:adjustRightInd/>
        <w:snapToGrid/>
        <w:spacing w:line="360" w:lineRule="exact"/>
        <w:ind w:left="0" w:right="0" w:firstLine="48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6"/>
          <w:sz w:val="24"/>
          <w:szCs w:val="24"/>
        </w:rPr>
        <w:t>5 检测、监测结束后，应及时对其所造成的结构构件局部破损进行修复，并应保证修补</w:t>
      </w:r>
      <w:r>
        <w:rPr>
          <w:rFonts w:hint="default" w:ascii="Times New Roman" w:hAnsi="Times New Roman" w:eastAsia="宋体" w:cs="Times New Roman"/>
          <w:color w:val="auto"/>
          <w:spacing w:val="-3"/>
          <w:sz w:val="24"/>
          <w:szCs w:val="24"/>
        </w:rPr>
        <w:t>后结构或构件的承载能力不降低。</w:t>
      </w:r>
    </w:p>
    <w:p w14:paraId="1CAEDBE7">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检查和检测工作主要指需要使用一些工具、设备、仪器以获得房屋信息的过程。如结构构件的垂直度、截面尺寸、混凝土强度、钢筋配置等。检查和检测工作的主要内容包括：地基基础、上部承重结构的检查和检测；围护系统的安全状况和使用功能检查和检测等。</w:t>
      </w:r>
    </w:p>
    <w:p w14:paraId="36CF5495">
      <w:pPr>
        <w:keepNext w:val="0"/>
        <w:keepLines w:val="0"/>
        <w:pageBreakBefore w:val="0"/>
        <w:widowControl w:val="0"/>
        <w:kinsoku/>
        <w:wordWrap/>
        <w:overflowPunct/>
        <w:topLinePunct w:val="0"/>
        <w:autoSpaceDE/>
        <w:autoSpaceDN/>
        <w:bidi w:val="0"/>
        <w:adjustRightInd/>
        <w:snapToGrid/>
        <w:spacing w:line="360" w:lineRule="exact"/>
        <w:ind w:left="0" w:right="0" w:hanging="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4.2.5</w:t>
      </w:r>
      <w:r>
        <w:rPr>
          <w:rFonts w:hint="default" w:ascii="Times New Roman" w:hAnsi="Times New Roman" w:eastAsia="宋体" w:cs="Times New Roman"/>
          <w:color w:val="auto"/>
          <w:spacing w:val="-1"/>
          <w:sz w:val="24"/>
          <w:szCs w:val="24"/>
        </w:rPr>
        <w:t xml:space="preserve"> 既有建筑现状检查与检测，可分为有效图纸资料齐</w:t>
      </w:r>
      <w:r>
        <w:rPr>
          <w:rFonts w:hint="default" w:ascii="Times New Roman" w:hAnsi="Times New Roman" w:eastAsia="宋体" w:cs="Times New Roman"/>
          <w:color w:val="auto"/>
          <w:spacing w:val="-2"/>
          <w:sz w:val="24"/>
          <w:szCs w:val="24"/>
        </w:rPr>
        <w:t>全、有效图纸资料不全和无有效图</w:t>
      </w:r>
      <w:r>
        <w:rPr>
          <w:rFonts w:hint="default" w:ascii="Times New Roman" w:hAnsi="Times New Roman" w:eastAsia="宋体" w:cs="Times New Roman"/>
          <w:color w:val="auto"/>
          <w:spacing w:val="-4"/>
          <w:sz w:val="24"/>
          <w:szCs w:val="24"/>
        </w:rPr>
        <w:t>纸资料等情况，并应按下列规定进行：</w:t>
      </w:r>
    </w:p>
    <w:p w14:paraId="5EF47917">
      <w:pPr>
        <w:keepNext w:val="0"/>
        <w:keepLines w:val="0"/>
        <w:pageBreakBefore w:val="0"/>
        <w:widowControl w:val="0"/>
        <w:kinsoku/>
        <w:wordWrap/>
        <w:overflowPunct/>
        <w:topLinePunct w:val="0"/>
        <w:autoSpaceDE/>
        <w:autoSpaceDN/>
        <w:bidi w:val="0"/>
        <w:adjustRightInd/>
        <w:snapToGrid/>
        <w:spacing w:line="360" w:lineRule="exact"/>
        <w:ind w:left="0" w:right="0" w:firstLine="496"/>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1 有效图纸资料齐全的房屋结构，应检查实际结构体系、布置、主要受力构件等与图纸资料相符合程度；检查结构布置或构件是否有变动；分析结构、构件与图纸资料不符合或变</w:t>
      </w:r>
      <w:r>
        <w:rPr>
          <w:rFonts w:hint="default" w:ascii="Times New Roman" w:hAnsi="Times New Roman" w:eastAsia="宋体" w:cs="Times New Roman"/>
          <w:color w:val="auto"/>
          <w:spacing w:val="-3"/>
          <w:sz w:val="24"/>
          <w:szCs w:val="24"/>
        </w:rPr>
        <w:t>动的部分对结构安全性的影响。</w:t>
      </w:r>
    </w:p>
    <w:p w14:paraId="26027914">
      <w:pPr>
        <w:keepNext w:val="0"/>
        <w:keepLines w:val="0"/>
        <w:pageBreakBefore w:val="0"/>
        <w:widowControl w:val="0"/>
        <w:kinsoku/>
        <w:wordWrap/>
        <w:overflowPunct/>
        <w:topLinePunct w:val="0"/>
        <w:autoSpaceDE/>
        <w:autoSpaceDN/>
        <w:bidi w:val="0"/>
        <w:adjustRightInd/>
        <w:snapToGrid/>
        <w:spacing w:line="360" w:lineRule="exact"/>
        <w:ind w:left="0" w:right="0" w:firstLine="459"/>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2</w:t>
      </w:r>
      <w:r>
        <w:rPr>
          <w:rFonts w:hint="default" w:ascii="Times New Roman" w:hAnsi="Times New Roman" w:eastAsia="宋体" w:cs="Times New Roman"/>
          <w:color w:val="auto"/>
          <w:spacing w:val="33"/>
          <w:sz w:val="24"/>
          <w:szCs w:val="24"/>
        </w:rPr>
        <w:t xml:space="preserve"> </w:t>
      </w:r>
      <w:r>
        <w:rPr>
          <w:rFonts w:hint="default" w:ascii="Times New Roman" w:hAnsi="Times New Roman" w:eastAsia="宋体" w:cs="Times New Roman"/>
          <w:color w:val="auto"/>
          <w:spacing w:val="-2"/>
          <w:sz w:val="24"/>
          <w:szCs w:val="24"/>
        </w:rPr>
        <w:t>图纸资料不全的房屋结构，除检查实际结</w:t>
      </w:r>
      <w:r>
        <w:rPr>
          <w:rFonts w:hint="default" w:ascii="Times New Roman" w:hAnsi="Times New Roman" w:eastAsia="宋体" w:cs="Times New Roman"/>
          <w:color w:val="auto"/>
          <w:spacing w:val="-3"/>
          <w:sz w:val="24"/>
          <w:szCs w:val="24"/>
        </w:rPr>
        <w:t>构与已有图纸资料的符合程度外，应对缺少</w:t>
      </w:r>
      <w:r>
        <w:rPr>
          <w:rFonts w:hint="default" w:ascii="Times New Roman" w:hAnsi="Times New Roman" w:eastAsia="宋体" w:cs="Times New Roman"/>
          <w:color w:val="auto"/>
          <w:spacing w:val="-2"/>
          <w:sz w:val="24"/>
          <w:szCs w:val="24"/>
        </w:rPr>
        <w:t>图纸资料部分的结构进行重点检查和检测，补充绘制缺少的主要结构现状复原图。</w:t>
      </w:r>
    </w:p>
    <w:p w14:paraId="3D4E0687">
      <w:pPr>
        <w:keepNext w:val="0"/>
        <w:keepLines w:val="0"/>
        <w:pageBreakBefore w:val="0"/>
        <w:widowControl w:val="0"/>
        <w:kinsoku/>
        <w:wordWrap/>
        <w:overflowPunct/>
        <w:topLinePunct w:val="0"/>
        <w:autoSpaceDE/>
        <w:autoSpaceDN/>
        <w:bidi w:val="0"/>
        <w:adjustRightInd/>
        <w:snapToGrid/>
        <w:spacing w:line="360" w:lineRule="exact"/>
        <w:ind w:left="0" w:right="0" w:firstLine="485"/>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
          <w:sz w:val="24"/>
          <w:szCs w:val="24"/>
        </w:rPr>
        <w:t>3 对于没有有效图纸资料的房屋结构，除通过现场检查确定结构类型、体系、布置外，</w:t>
      </w:r>
      <w:r>
        <w:rPr>
          <w:rFonts w:hint="default" w:ascii="Times New Roman" w:hAnsi="Times New Roman" w:eastAsia="宋体" w:cs="Times New Roman"/>
          <w:color w:val="auto"/>
          <w:spacing w:val="-6"/>
          <w:sz w:val="24"/>
          <w:szCs w:val="24"/>
        </w:rPr>
        <w:t>还应通过检测确定结构构件的类别、材料强度、构件几何尺寸、连接构造等，钢筋混凝土构</w:t>
      </w:r>
      <w:r>
        <w:rPr>
          <w:rFonts w:hint="default" w:ascii="Times New Roman" w:hAnsi="Times New Roman" w:eastAsia="宋体" w:cs="Times New Roman"/>
          <w:color w:val="auto"/>
          <w:spacing w:val="-2"/>
          <w:sz w:val="24"/>
          <w:szCs w:val="24"/>
        </w:rPr>
        <w:t>件还要确定主筋和箍筋配置及钢筋保护层等。应在检查与检测的</w:t>
      </w:r>
      <w:r>
        <w:rPr>
          <w:rFonts w:hint="default" w:ascii="Times New Roman" w:hAnsi="Times New Roman" w:eastAsia="宋体" w:cs="Times New Roman"/>
          <w:color w:val="auto"/>
          <w:spacing w:val="-3"/>
          <w:sz w:val="24"/>
          <w:szCs w:val="24"/>
        </w:rPr>
        <w:t>基础上绘制建筑现状测绘图、</w:t>
      </w:r>
      <w:r>
        <w:rPr>
          <w:rFonts w:hint="default" w:ascii="Times New Roman" w:hAnsi="Times New Roman" w:eastAsia="宋体" w:cs="Times New Roman"/>
          <w:color w:val="auto"/>
          <w:spacing w:val="-5"/>
          <w:sz w:val="24"/>
          <w:szCs w:val="24"/>
        </w:rPr>
        <w:t>结构现状复原图。</w:t>
      </w:r>
    </w:p>
    <w:p w14:paraId="1F60E953">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条文说明:对于没有竣工图纸等有效图纸的项目，建筑图缺失时，应提供既有建筑现状测绘图；结构图缺失时，应提供满足加固改造设计要求的主要结构现状复原图。应依据《民用建筑可靠性鉴定标准》（GB 50292）、《工业建筑可靠性鉴定标准》（GB 50144）、《建筑结构检测技术标准》（GB/T 50344）等标准进行相应结构单元整体检测，由具备相应资质的单位，根据满足要求的检测报告绘制建筑现状测绘图、结构现状复原图，并加盖单位签章或出图专用章，以及注册结构工程师签章。</w:t>
      </w:r>
    </w:p>
    <w:p w14:paraId="2D0F1862">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4.2.6</w:t>
      </w:r>
      <w:r>
        <w:rPr>
          <w:rFonts w:hint="default" w:ascii="Times New Roman" w:hAnsi="Times New Roman" w:eastAsia="宋体" w:cs="Times New Roman"/>
          <w:color w:val="auto"/>
          <w:spacing w:val="-3"/>
          <w:sz w:val="24"/>
          <w:szCs w:val="24"/>
        </w:rPr>
        <w:t xml:space="preserve"> 地基基础现状检查与检测应进行下列工作：</w:t>
      </w:r>
    </w:p>
    <w:p w14:paraId="462C4E56">
      <w:pPr>
        <w:keepNext w:val="0"/>
        <w:keepLines w:val="0"/>
        <w:pageBreakBefore w:val="0"/>
        <w:widowControl w:val="0"/>
        <w:kinsoku/>
        <w:wordWrap/>
        <w:overflowPunct/>
        <w:topLinePunct w:val="0"/>
        <w:autoSpaceDE/>
        <w:autoSpaceDN/>
        <w:bidi w:val="0"/>
        <w:adjustRightInd/>
        <w:snapToGrid/>
        <w:spacing w:line="360" w:lineRule="exact"/>
        <w:ind w:left="0" w:right="0" w:firstLine="499"/>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1 查阅岩土工程勘察报告以及有关图纸资料，查勘建筑实际使用荷载、地基变形引起的</w:t>
      </w:r>
      <w:r>
        <w:rPr>
          <w:rFonts w:hint="default" w:ascii="Times New Roman" w:hAnsi="Times New Roman" w:eastAsia="宋体" w:cs="Times New Roman"/>
          <w:color w:val="auto"/>
          <w:spacing w:val="-1"/>
          <w:sz w:val="24"/>
          <w:szCs w:val="24"/>
        </w:rPr>
        <w:t>沉降与沉降稳定情况、沉降差、上部结构倾斜、扭曲</w:t>
      </w:r>
      <w:r>
        <w:rPr>
          <w:rFonts w:hint="default" w:ascii="Times New Roman" w:hAnsi="Times New Roman" w:eastAsia="宋体" w:cs="Times New Roman"/>
          <w:color w:val="auto"/>
          <w:spacing w:val="-2"/>
          <w:sz w:val="24"/>
          <w:szCs w:val="24"/>
        </w:rPr>
        <w:t>、裂缝、地下室和管线情况。当地基资</w:t>
      </w:r>
      <w:r>
        <w:rPr>
          <w:rFonts w:hint="default" w:ascii="Times New Roman" w:hAnsi="Times New Roman" w:eastAsia="宋体" w:cs="Times New Roman"/>
          <w:color w:val="auto"/>
          <w:spacing w:val="-1"/>
          <w:sz w:val="24"/>
          <w:szCs w:val="24"/>
        </w:rPr>
        <w:t>料不足时，可根据房屋上部结构是否存在地基变</w:t>
      </w:r>
      <w:r>
        <w:rPr>
          <w:rFonts w:hint="default" w:ascii="Times New Roman" w:hAnsi="Times New Roman" w:eastAsia="宋体" w:cs="Times New Roman"/>
          <w:color w:val="auto"/>
          <w:spacing w:val="-2"/>
          <w:sz w:val="24"/>
          <w:szCs w:val="24"/>
        </w:rPr>
        <w:t>形的反应进行评估；必要时，可对场地地基</w:t>
      </w:r>
      <w:r>
        <w:rPr>
          <w:rFonts w:hint="default" w:ascii="Times New Roman" w:hAnsi="Times New Roman" w:eastAsia="宋体" w:cs="Times New Roman"/>
          <w:color w:val="auto"/>
          <w:spacing w:val="-1"/>
          <w:sz w:val="24"/>
          <w:szCs w:val="24"/>
        </w:rPr>
        <w:t>进行近位勘察或沉降观测。</w:t>
      </w:r>
    </w:p>
    <w:p w14:paraId="1C7A2BA0">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当既有建筑改造涉及到地基基础设计，且缺少该建筑岩土工程勘察资料时，应由具有资质的单位对既有建筑场地进行岩土工程勘察。当原结构图纸中无场地类别等资料时，可以采用临近建筑的场地类别。</w:t>
      </w:r>
    </w:p>
    <w:p w14:paraId="5E5E75CB">
      <w:pPr>
        <w:keepNext w:val="0"/>
        <w:keepLines w:val="0"/>
        <w:pageBreakBefore w:val="0"/>
        <w:widowControl w:val="0"/>
        <w:kinsoku/>
        <w:wordWrap/>
        <w:overflowPunct/>
        <w:topLinePunct w:val="0"/>
        <w:autoSpaceDE/>
        <w:autoSpaceDN/>
        <w:bidi w:val="0"/>
        <w:adjustRightInd/>
        <w:snapToGrid/>
        <w:spacing w:line="360" w:lineRule="exact"/>
        <w:ind w:left="0" w:right="0" w:firstLine="484"/>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2 基础的种类和材料性能，可通过查阅图纸资料确定；当资料不足或资料虽然基本齐全</w:t>
      </w:r>
      <w:r>
        <w:rPr>
          <w:rFonts w:hint="default" w:ascii="Times New Roman" w:hAnsi="Times New Roman" w:eastAsia="宋体" w:cs="Times New Roman"/>
          <w:color w:val="auto"/>
          <w:spacing w:val="-6"/>
          <w:sz w:val="24"/>
          <w:szCs w:val="24"/>
        </w:rPr>
        <w:t>但有怀疑时，可开挖个别基础检测，查明基础类型、尺寸、埋深，检验基础材料强度，检测</w:t>
      </w:r>
      <w:r>
        <w:rPr>
          <w:rFonts w:hint="default" w:ascii="Times New Roman" w:hAnsi="Times New Roman" w:eastAsia="宋体" w:cs="Times New Roman"/>
          <w:color w:val="auto"/>
          <w:spacing w:val="-1"/>
          <w:sz w:val="24"/>
          <w:szCs w:val="24"/>
        </w:rPr>
        <w:t>基础开裂、腐蚀和损伤等情况。如涉及到基础加固，应按照相关规定对基础</w:t>
      </w:r>
      <w:r>
        <w:rPr>
          <w:rFonts w:hint="default" w:ascii="Times New Roman" w:hAnsi="Times New Roman" w:eastAsia="宋体" w:cs="Times New Roman"/>
          <w:color w:val="auto"/>
          <w:spacing w:val="-2"/>
          <w:sz w:val="24"/>
          <w:szCs w:val="24"/>
        </w:rPr>
        <w:t>进行检测。</w:t>
      </w:r>
    </w:p>
    <w:p w14:paraId="43247BA2">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当地基基础的图纸资料缺失时，对桩基基础或者带地下室的筏板基础，其检测尤其困难，不得已不进行直接检查。此时加固改造设计应控制改造后的荷载，如确实因功能的改变需增加荷载，可以考虑增加锚杆静压桩等方法进行加固，此时增加的荷载宜全部由新增桩基础承担。</w:t>
      </w:r>
    </w:p>
    <w:p w14:paraId="2EFBE955">
      <w:pPr>
        <w:keepNext w:val="0"/>
        <w:keepLines w:val="0"/>
        <w:pageBreakBefore w:val="0"/>
        <w:widowControl w:val="0"/>
        <w:kinsoku/>
        <w:wordWrap/>
        <w:overflowPunct/>
        <w:topLinePunct w:val="0"/>
        <w:autoSpaceDE/>
        <w:autoSpaceDN/>
        <w:bidi w:val="0"/>
        <w:adjustRightInd/>
        <w:snapToGrid/>
        <w:spacing w:line="360" w:lineRule="exact"/>
        <w:ind w:left="0" w:right="0" w:hanging="4"/>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4.2.7</w:t>
      </w:r>
      <w:r>
        <w:rPr>
          <w:rFonts w:hint="default" w:ascii="Times New Roman" w:hAnsi="Times New Roman" w:eastAsia="宋体" w:cs="Times New Roman"/>
          <w:color w:val="auto"/>
          <w:spacing w:val="-5"/>
          <w:sz w:val="24"/>
          <w:szCs w:val="24"/>
        </w:rPr>
        <w:t xml:space="preserve"> 上部结构现场检查与检测，应根据结构的具体情况和鉴</w:t>
      </w:r>
      <w:r>
        <w:rPr>
          <w:rFonts w:hint="default" w:ascii="Times New Roman" w:hAnsi="Times New Roman" w:eastAsia="宋体" w:cs="Times New Roman"/>
          <w:color w:val="auto"/>
          <w:spacing w:val="-6"/>
          <w:sz w:val="24"/>
          <w:szCs w:val="24"/>
        </w:rPr>
        <w:t>定内容、要求，按下列规定进</w:t>
      </w:r>
      <w:r>
        <w:rPr>
          <w:rFonts w:hint="default" w:ascii="Times New Roman" w:hAnsi="Times New Roman" w:eastAsia="宋体" w:cs="Times New Roman"/>
          <w:color w:val="auto"/>
          <w:spacing w:val="-18"/>
          <w:sz w:val="24"/>
          <w:szCs w:val="24"/>
        </w:rPr>
        <w:t>行：</w:t>
      </w:r>
    </w:p>
    <w:p w14:paraId="0ED68DFF">
      <w:pPr>
        <w:keepNext w:val="0"/>
        <w:keepLines w:val="0"/>
        <w:pageBreakBefore w:val="0"/>
        <w:widowControl w:val="0"/>
        <w:kinsoku/>
        <w:wordWrap/>
        <w:overflowPunct/>
        <w:topLinePunct w:val="0"/>
        <w:autoSpaceDE/>
        <w:autoSpaceDN/>
        <w:bidi w:val="0"/>
        <w:adjustRightInd/>
        <w:snapToGrid/>
        <w:spacing w:line="360" w:lineRule="exact"/>
        <w:ind w:left="0" w:right="0" w:firstLine="498"/>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1 结构体系及其整体牢固性的检查与检测，应包括结构平面布置、竖向和水平向承重构件布置、结构抗侧力作用体系（支撑系统）、抗侧力构件平面布置的对称性、竖向抗侧力构</w:t>
      </w:r>
      <w:r>
        <w:rPr>
          <w:rFonts w:hint="default" w:ascii="Times New Roman" w:hAnsi="Times New Roman" w:eastAsia="宋体" w:cs="Times New Roman"/>
          <w:color w:val="auto"/>
          <w:spacing w:val="-4"/>
          <w:sz w:val="24"/>
          <w:szCs w:val="24"/>
        </w:rPr>
        <w:t>件的连续性、房屋有无错层、结构间的连接构造等；应</w:t>
      </w:r>
      <w:r>
        <w:rPr>
          <w:rFonts w:hint="default" w:ascii="Times New Roman" w:hAnsi="Times New Roman" w:eastAsia="宋体" w:cs="Times New Roman"/>
          <w:color w:val="auto"/>
          <w:spacing w:val="-5"/>
          <w:sz w:val="24"/>
          <w:szCs w:val="24"/>
        </w:rPr>
        <w:t>找出其破坏会导致整个体系丧失抗震</w:t>
      </w:r>
      <w:r>
        <w:rPr>
          <w:rFonts w:hint="default" w:ascii="Times New Roman" w:hAnsi="Times New Roman" w:eastAsia="宋体" w:cs="Times New Roman"/>
          <w:color w:val="auto"/>
          <w:spacing w:val="-1"/>
          <w:sz w:val="24"/>
          <w:szCs w:val="24"/>
        </w:rPr>
        <w:t>能力或丧失静载下的承载能力的结构构件；对砌体</w:t>
      </w:r>
      <w:r>
        <w:rPr>
          <w:rFonts w:hint="default" w:ascii="Times New Roman" w:hAnsi="Times New Roman" w:eastAsia="宋体" w:cs="Times New Roman"/>
          <w:color w:val="auto"/>
          <w:spacing w:val="-2"/>
          <w:sz w:val="24"/>
          <w:szCs w:val="24"/>
        </w:rPr>
        <w:t>结构还应包括圈梁和构造柱体系、局部尺</w:t>
      </w:r>
      <w:r>
        <w:rPr>
          <w:rFonts w:hint="default" w:ascii="Times New Roman" w:hAnsi="Times New Roman" w:eastAsia="宋体" w:cs="Times New Roman"/>
          <w:color w:val="auto"/>
          <w:spacing w:val="-10"/>
          <w:sz w:val="24"/>
          <w:szCs w:val="24"/>
        </w:rPr>
        <w:t>寸等。</w:t>
      </w:r>
    </w:p>
    <w:p w14:paraId="79194D51">
      <w:pPr>
        <w:keepNext w:val="0"/>
        <w:keepLines w:val="0"/>
        <w:pageBreakBefore w:val="0"/>
        <w:widowControl w:val="0"/>
        <w:kinsoku/>
        <w:wordWrap/>
        <w:overflowPunct/>
        <w:topLinePunct w:val="0"/>
        <w:autoSpaceDE/>
        <w:autoSpaceDN/>
        <w:bidi w:val="0"/>
        <w:adjustRightInd/>
        <w:snapToGrid/>
        <w:spacing w:line="360" w:lineRule="exact"/>
        <w:ind w:left="0" w:right="0" w:firstLine="476"/>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
          <w:sz w:val="24"/>
          <w:szCs w:val="24"/>
        </w:rPr>
        <w:t>2 结构构件及其连接的检查与检测，应包</w:t>
      </w:r>
      <w:r>
        <w:rPr>
          <w:rFonts w:hint="default" w:ascii="Times New Roman" w:hAnsi="Times New Roman" w:eastAsia="宋体" w:cs="Times New Roman"/>
          <w:color w:val="auto"/>
          <w:sz w:val="24"/>
          <w:szCs w:val="24"/>
        </w:rPr>
        <w:t>括结构构件的材料强度、几何参数、预埋件、</w:t>
      </w:r>
      <w:r>
        <w:rPr>
          <w:rFonts w:hint="default" w:ascii="Times New Roman" w:hAnsi="Times New Roman" w:eastAsia="宋体" w:cs="Times New Roman"/>
          <w:color w:val="auto"/>
          <w:spacing w:val="-2"/>
          <w:sz w:val="24"/>
          <w:szCs w:val="24"/>
        </w:rPr>
        <w:t>紧固件与构件连接，结构间的连系，以及进行鉴定工作所需要的其它内容。</w:t>
      </w:r>
    </w:p>
    <w:p w14:paraId="6474A013">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鉴定工作需包括结构构件的稳定性、抗裂性、延性与刚度，对混凝土结构还应包括短柱、深梁的承载性能；对砌体结构还应包括局部承压、墙梁与底部框架-抗震的墙抗震措施；对钢结构还应包括构件的长细比等。进行现场检查与检测时应关注与鉴定工作相关的内容。</w:t>
      </w:r>
    </w:p>
    <w:p w14:paraId="3ECEC149">
      <w:pPr>
        <w:keepNext w:val="0"/>
        <w:keepLines w:val="0"/>
        <w:pageBreakBefore w:val="0"/>
        <w:widowControl w:val="0"/>
        <w:kinsoku/>
        <w:wordWrap/>
        <w:overflowPunct/>
        <w:topLinePunct w:val="0"/>
        <w:autoSpaceDE/>
        <w:autoSpaceDN/>
        <w:bidi w:val="0"/>
        <w:adjustRightInd/>
        <w:snapToGrid/>
        <w:spacing w:line="360" w:lineRule="exact"/>
        <w:ind w:left="0" w:right="0" w:firstLine="483"/>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3 结构缺陷、损伤和腐蚀的检查与检测，应包括材料和施工缺陷、施工偏差、构件及其</w:t>
      </w:r>
      <w:r>
        <w:rPr>
          <w:rFonts w:hint="default" w:ascii="Times New Roman" w:hAnsi="Times New Roman" w:eastAsia="宋体" w:cs="Times New Roman"/>
          <w:color w:val="auto"/>
          <w:spacing w:val="-6"/>
          <w:sz w:val="24"/>
          <w:szCs w:val="24"/>
        </w:rPr>
        <w:t>连接、节点的裂缝或其他损伤以及腐蚀，如钢筋和钢构件的锈蚀，砌体块材的风化和砂浆的酥碱、粉化等。</w:t>
      </w:r>
    </w:p>
    <w:p w14:paraId="26153A90">
      <w:pPr>
        <w:keepNext w:val="0"/>
        <w:keepLines w:val="0"/>
        <w:pageBreakBefore w:val="0"/>
        <w:widowControl w:val="0"/>
        <w:kinsoku/>
        <w:wordWrap/>
        <w:overflowPunct/>
        <w:topLinePunct w:val="0"/>
        <w:autoSpaceDE/>
        <w:autoSpaceDN/>
        <w:bidi w:val="0"/>
        <w:adjustRightInd/>
        <w:snapToGrid/>
        <w:spacing w:line="360" w:lineRule="exact"/>
        <w:ind w:left="0" w:right="0"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
          <w:sz w:val="24"/>
          <w:szCs w:val="24"/>
        </w:rPr>
        <w:t>4 结构位移和变形的检查与检测，应包括结</w:t>
      </w:r>
      <w:r>
        <w:rPr>
          <w:rFonts w:hint="default" w:ascii="Times New Roman" w:hAnsi="Times New Roman" w:eastAsia="宋体" w:cs="Times New Roman"/>
          <w:color w:val="auto"/>
          <w:spacing w:val="-2"/>
          <w:sz w:val="24"/>
          <w:szCs w:val="24"/>
        </w:rPr>
        <w:t>构顶点位移和层间位移，受弯构件的挠度与</w:t>
      </w:r>
      <w:r>
        <w:rPr>
          <w:rFonts w:hint="default" w:ascii="Times New Roman" w:hAnsi="Times New Roman" w:eastAsia="宋体" w:cs="Times New Roman"/>
          <w:color w:val="auto"/>
          <w:spacing w:val="-4"/>
          <w:sz w:val="24"/>
          <w:szCs w:val="24"/>
        </w:rPr>
        <w:t>侧弯，墙、柱的侧倾等。</w:t>
      </w:r>
    </w:p>
    <w:p w14:paraId="114859B9">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4.2.8</w:t>
      </w:r>
      <w:r>
        <w:rPr>
          <w:rFonts w:hint="default" w:ascii="Times New Roman" w:hAnsi="Times New Roman" w:eastAsia="宋体" w:cs="Times New Roman"/>
          <w:color w:val="auto"/>
          <w:spacing w:val="-9"/>
          <w:sz w:val="24"/>
          <w:szCs w:val="24"/>
        </w:rPr>
        <w:t xml:space="preserve"> 结构、构件的材料性能、几何尺寸、变形、缺陷和损伤等的调查，应按下列规定进行：</w:t>
      </w:r>
    </w:p>
    <w:p w14:paraId="4DD73D31">
      <w:pPr>
        <w:keepNext w:val="0"/>
        <w:keepLines w:val="0"/>
        <w:pageBreakBefore w:val="0"/>
        <w:widowControl w:val="0"/>
        <w:kinsoku/>
        <w:wordWrap/>
        <w:overflowPunct/>
        <w:topLinePunct w:val="0"/>
        <w:autoSpaceDE/>
        <w:autoSpaceDN/>
        <w:bidi w:val="0"/>
        <w:adjustRightInd/>
        <w:snapToGrid/>
        <w:spacing w:line="360" w:lineRule="exact"/>
        <w:ind w:left="0" w:right="0" w:firstLine="493"/>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1"/>
          <w:sz w:val="24"/>
          <w:szCs w:val="24"/>
        </w:rPr>
        <w:t>1 对结构、构件材料的性能，当图纸资料完整、齐全时，可仅</w:t>
      </w:r>
      <w:r>
        <w:rPr>
          <w:rFonts w:hint="default" w:ascii="Times New Roman" w:hAnsi="Times New Roman" w:eastAsia="宋体" w:cs="Times New Roman"/>
          <w:color w:val="auto"/>
          <w:spacing w:val="-12"/>
          <w:sz w:val="24"/>
          <w:szCs w:val="24"/>
        </w:rPr>
        <w:t>进行校核性检测，符合原</w:t>
      </w:r>
      <w:r>
        <w:rPr>
          <w:rFonts w:hint="default" w:ascii="Times New Roman" w:hAnsi="Times New Roman" w:eastAsia="宋体" w:cs="Times New Roman"/>
          <w:color w:val="auto"/>
          <w:spacing w:val="-8"/>
          <w:sz w:val="24"/>
          <w:szCs w:val="24"/>
        </w:rPr>
        <w:t>设计要求时，可采用原设计资料给出的结果；当缺少资料或有怀疑时，应进行现场</w:t>
      </w:r>
      <w:r>
        <w:rPr>
          <w:rFonts w:hint="default" w:ascii="Times New Roman" w:hAnsi="Times New Roman" w:eastAsia="宋体" w:cs="Times New Roman"/>
          <w:color w:val="auto"/>
          <w:spacing w:val="-9"/>
          <w:sz w:val="24"/>
          <w:szCs w:val="24"/>
        </w:rPr>
        <w:t>详细检测。</w:t>
      </w:r>
    </w:p>
    <w:p w14:paraId="1E77AC0C">
      <w:pPr>
        <w:keepNext w:val="0"/>
        <w:keepLines w:val="0"/>
        <w:pageBreakBefore w:val="0"/>
        <w:widowControl w:val="0"/>
        <w:kinsoku/>
        <w:wordWrap/>
        <w:overflowPunct/>
        <w:topLinePunct w:val="0"/>
        <w:autoSpaceDE/>
        <w:autoSpaceDN/>
        <w:bidi w:val="0"/>
        <w:adjustRightInd/>
        <w:snapToGrid/>
        <w:spacing w:line="360" w:lineRule="exact"/>
        <w:ind w:left="0" w:right="0"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6"/>
          <w:sz w:val="24"/>
          <w:szCs w:val="24"/>
        </w:rPr>
        <w:t>2 对结构、构件的几何尺寸，当图纸资料完整时，可仅</w:t>
      </w:r>
      <w:r>
        <w:rPr>
          <w:rFonts w:hint="default" w:ascii="Times New Roman" w:hAnsi="Times New Roman" w:eastAsia="宋体" w:cs="Times New Roman"/>
          <w:color w:val="auto"/>
          <w:spacing w:val="-7"/>
          <w:sz w:val="24"/>
          <w:szCs w:val="24"/>
        </w:rPr>
        <w:t>进行现场抽样复核；当缺少资料</w:t>
      </w:r>
      <w:r>
        <w:rPr>
          <w:rFonts w:hint="default" w:ascii="Times New Roman" w:hAnsi="Times New Roman" w:eastAsia="宋体" w:cs="Times New Roman"/>
          <w:color w:val="auto"/>
          <w:spacing w:val="1"/>
          <w:sz w:val="24"/>
          <w:szCs w:val="24"/>
        </w:rPr>
        <w:t>或资料基本齐全但可信度不高时，可按现行国家标准《建筑结构检测技术标准》</w:t>
      </w:r>
      <w:r>
        <w:rPr>
          <w:rFonts w:hint="default" w:ascii="Times New Roman" w:hAnsi="Times New Roman" w:eastAsia="宋体" w:cs="Times New Roman"/>
          <w:color w:val="auto"/>
          <w:sz w:val="24"/>
          <w:szCs w:val="24"/>
        </w:rPr>
        <w:t>GB</w:t>
      </w:r>
      <w:r>
        <w:rPr>
          <w:rFonts w:hint="default" w:ascii="Times New Roman" w:hAnsi="Times New Roman" w:eastAsia="宋体" w:cs="Times New Roman"/>
          <w:color w:val="auto"/>
          <w:spacing w:val="1"/>
          <w:sz w:val="24"/>
          <w:szCs w:val="24"/>
        </w:rPr>
        <w:t>/T</w:t>
      </w:r>
      <w:r>
        <w:rPr>
          <w:rFonts w:hint="default" w:ascii="Times New Roman" w:hAnsi="Times New Roman" w:eastAsia="宋体" w:cs="Times New Roman"/>
          <w:color w:val="auto"/>
          <w:spacing w:val="1"/>
          <w:sz w:val="24"/>
          <w:szCs w:val="24"/>
          <w:lang w:val="en-US" w:eastAsia="zh-CN"/>
        </w:rPr>
        <w:t xml:space="preserve"> </w:t>
      </w:r>
      <w:r>
        <w:rPr>
          <w:rFonts w:hint="default" w:ascii="Times New Roman" w:hAnsi="Times New Roman" w:eastAsia="宋体" w:cs="Times New Roman"/>
          <w:color w:val="auto"/>
          <w:spacing w:val="1"/>
          <w:sz w:val="24"/>
          <w:szCs w:val="24"/>
        </w:rPr>
        <w:t>50344</w:t>
      </w:r>
      <w:r>
        <w:rPr>
          <w:rFonts w:hint="default" w:ascii="Times New Roman" w:hAnsi="Times New Roman" w:eastAsia="宋体" w:cs="Times New Roman"/>
          <w:color w:val="auto"/>
          <w:spacing w:val="-6"/>
          <w:sz w:val="24"/>
          <w:szCs w:val="24"/>
        </w:rPr>
        <w:t>的规定进行现场检测。</w:t>
      </w:r>
    </w:p>
    <w:p w14:paraId="6053A656">
      <w:pPr>
        <w:keepNext w:val="0"/>
        <w:keepLines w:val="0"/>
        <w:pageBreakBefore w:val="0"/>
        <w:widowControl w:val="0"/>
        <w:kinsoku/>
        <w:wordWrap/>
        <w:overflowPunct/>
        <w:topLinePunct w:val="0"/>
        <w:autoSpaceDE/>
        <w:autoSpaceDN/>
        <w:bidi w:val="0"/>
        <w:adjustRightInd/>
        <w:snapToGrid/>
        <w:spacing w:line="360" w:lineRule="exact"/>
        <w:ind w:left="0" w:right="0" w:firstLine="484"/>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6"/>
          <w:sz w:val="24"/>
          <w:szCs w:val="24"/>
        </w:rPr>
        <w:t>3 对结构、构件的变形，应在普查的基础上，对整体结构和其中有明显变形的构件进行</w:t>
      </w:r>
      <w:r>
        <w:rPr>
          <w:rFonts w:hint="default" w:ascii="Times New Roman" w:hAnsi="Times New Roman" w:eastAsia="宋体" w:cs="Times New Roman"/>
          <w:color w:val="auto"/>
          <w:spacing w:val="-10"/>
          <w:sz w:val="24"/>
          <w:szCs w:val="24"/>
        </w:rPr>
        <w:t>检测。</w:t>
      </w:r>
    </w:p>
    <w:p w14:paraId="18D93B13">
      <w:pPr>
        <w:keepNext w:val="0"/>
        <w:keepLines w:val="0"/>
        <w:pageBreakBefore w:val="0"/>
        <w:widowControl w:val="0"/>
        <w:kinsoku/>
        <w:wordWrap/>
        <w:overflowPunct/>
        <w:topLinePunct w:val="0"/>
        <w:autoSpaceDE/>
        <w:autoSpaceDN/>
        <w:bidi w:val="0"/>
        <w:adjustRightInd/>
        <w:snapToGrid/>
        <w:spacing w:line="360" w:lineRule="exact"/>
        <w:ind w:left="0" w:right="0"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6"/>
          <w:sz w:val="24"/>
          <w:szCs w:val="24"/>
        </w:rPr>
        <w:t>4 对结构、构件的缺陷、损伤和腐蚀，应进行全面检测，并应详细记录缺陷、损伤和腐</w:t>
      </w:r>
      <w:r>
        <w:rPr>
          <w:rFonts w:hint="default" w:ascii="Times New Roman" w:hAnsi="Times New Roman" w:eastAsia="宋体" w:cs="Times New Roman"/>
          <w:color w:val="auto"/>
          <w:spacing w:val="-1"/>
          <w:sz w:val="24"/>
          <w:szCs w:val="24"/>
        </w:rPr>
        <w:t>蚀部位、范围、程度和形态；必要时尚应绘制缺陷、损伤</w:t>
      </w:r>
      <w:r>
        <w:rPr>
          <w:rFonts w:hint="default" w:ascii="Times New Roman" w:hAnsi="Times New Roman" w:eastAsia="宋体" w:cs="Times New Roman"/>
          <w:color w:val="auto"/>
          <w:spacing w:val="-2"/>
          <w:sz w:val="24"/>
          <w:szCs w:val="24"/>
        </w:rPr>
        <w:t>和腐蚀部位、范围、程度和形态分</w:t>
      </w:r>
      <w:r>
        <w:rPr>
          <w:rFonts w:hint="default" w:ascii="Times New Roman" w:hAnsi="Times New Roman" w:eastAsia="宋体" w:cs="Times New Roman"/>
          <w:color w:val="auto"/>
          <w:spacing w:val="-10"/>
          <w:sz w:val="24"/>
          <w:szCs w:val="24"/>
        </w:rPr>
        <w:t>布图。</w:t>
      </w:r>
    </w:p>
    <w:p w14:paraId="06AE3BE5">
      <w:pPr>
        <w:keepNext w:val="0"/>
        <w:keepLines w:val="0"/>
        <w:pageBreakBefore w:val="0"/>
        <w:widowControl w:val="0"/>
        <w:kinsoku/>
        <w:wordWrap/>
        <w:overflowPunct/>
        <w:topLinePunct w:val="0"/>
        <w:autoSpaceDE/>
        <w:autoSpaceDN/>
        <w:bidi w:val="0"/>
        <w:adjustRightInd/>
        <w:snapToGrid/>
        <w:spacing w:line="360" w:lineRule="exact"/>
        <w:ind w:left="0" w:right="0" w:firstLine="483"/>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5 当需要进行结构承载能力和结构动力特性测试时，应按现行国家标准《建筑结构检测技术标准》GB/T</w:t>
      </w:r>
      <w:r>
        <w:rPr>
          <w:rFonts w:hint="default" w:ascii="Times New Roman" w:hAnsi="Times New Roman" w:eastAsia="宋体" w:cs="Times New Roman"/>
          <w:color w:val="auto"/>
          <w:spacing w:val="-2"/>
          <w:sz w:val="24"/>
          <w:szCs w:val="24"/>
          <w:lang w:val="en-US" w:eastAsia="zh-CN"/>
        </w:rPr>
        <w:t xml:space="preserve"> </w:t>
      </w:r>
      <w:r>
        <w:rPr>
          <w:rFonts w:hint="default" w:ascii="Times New Roman" w:hAnsi="Times New Roman" w:eastAsia="宋体" w:cs="Times New Roman"/>
          <w:color w:val="auto"/>
          <w:spacing w:val="-2"/>
          <w:sz w:val="24"/>
          <w:szCs w:val="24"/>
        </w:rPr>
        <w:t>50344等有关检测标准的规定进行现场测试。</w:t>
      </w:r>
    </w:p>
    <w:p w14:paraId="5C68101F">
      <w:pPr>
        <w:keepNext w:val="0"/>
        <w:keepLines w:val="0"/>
        <w:pageBreakBefore w:val="0"/>
        <w:widowControl w:val="0"/>
        <w:kinsoku/>
        <w:wordWrap/>
        <w:overflowPunct/>
        <w:topLinePunct w:val="0"/>
        <w:autoSpaceDE/>
        <w:autoSpaceDN/>
        <w:bidi w:val="0"/>
        <w:adjustRightInd/>
        <w:snapToGrid/>
        <w:spacing w:line="360" w:lineRule="exact"/>
        <w:ind w:left="0" w:right="0" w:hanging="46"/>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4.2.9</w:t>
      </w:r>
      <w:r>
        <w:rPr>
          <w:rFonts w:hint="default" w:ascii="Times New Roman" w:hAnsi="Times New Roman" w:eastAsia="宋体" w:cs="Times New Roman"/>
          <w:color w:val="auto"/>
          <w:spacing w:val="-1"/>
          <w:sz w:val="24"/>
          <w:szCs w:val="24"/>
        </w:rPr>
        <w:t xml:space="preserve"> 结构检测应区分重点部位和一般部位，并应根</w:t>
      </w:r>
      <w:r>
        <w:rPr>
          <w:rFonts w:hint="default" w:ascii="Times New Roman" w:hAnsi="Times New Roman" w:eastAsia="宋体" w:cs="Times New Roman"/>
          <w:color w:val="auto"/>
          <w:spacing w:val="-2"/>
          <w:sz w:val="24"/>
          <w:szCs w:val="24"/>
        </w:rPr>
        <w:t>据各类结构的受力特点确定主要检测项</w:t>
      </w:r>
      <w:r>
        <w:rPr>
          <w:rFonts w:hint="default" w:ascii="Times New Roman" w:hAnsi="Times New Roman" w:eastAsia="宋体" w:cs="Times New Roman"/>
          <w:color w:val="auto"/>
          <w:spacing w:val="-28"/>
          <w:sz w:val="24"/>
          <w:szCs w:val="24"/>
        </w:rPr>
        <w:t>目：</w:t>
      </w:r>
    </w:p>
    <w:p w14:paraId="42D61200">
      <w:pPr>
        <w:keepNext w:val="0"/>
        <w:keepLines w:val="0"/>
        <w:pageBreakBefore w:val="0"/>
        <w:widowControl w:val="0"/>
        <w:kinsoku/>
        <w:wordWrap/>
        <w:overflowPunct/>
        <w:topLinePunct w:val="0"/>
        <w:autoSpaceDE/>
        <w:autoSpaceDN/>
        <w:bidi w:val="0"/>
        <w:adjustRightInd/>
        <w:snapToGrid/>
        <w:spacing w:line="360" w:lineRule="exact"/>
        <w:ind w:left="0" w:right="0" w:firstLine="498"/>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1 混凝土结构和砌体结构检测时应以结构的整体倾斜和局部外闪、构件酥裂和老化、构</w:t>
      </w:r>
      <w:r>
        <w:rPr>
          <w:rFonts w:hint="default" w:ascii="Times New Roman" w:hAnsi="Times New Roman" w:eastAsia="宋体" w:cs="Times New Roman"/>
          <w:color w:val="auto"/>
          <w:spacing w:val="-1"/>
          <w:sz w:val="24"/>
          <w:szCs w:val="24"/>
        </w:rPr>
        <w:t>造连接损伤、构件的材质与强度以及构件的</w:t>
      </w:r>
      <w:r>
        <w:rPr>
          <w:rFonts w:hint="default" w:ascii="Times New Roman" w:hAnsi="Times New Roman" w:eastAsia="宋体" w:cs="Times New Roman"/>
          <w:color w:val="auto"/>
          <w:spacing w:val="-2"/>
          <w:sz w:val="24"/>
          <w:szCs w:val="24"/>
        </w:rPr>
        <w:t>截面尺寸为主要检测项目。</w:t>
      </w:r>
    </w:p>
    <w:p w14:paraId="625AE04C">
      <w:pPr>
        <w:keepNext w:val="0"/>
        <w:keepLines w:val="0"/>
        <w:pageBreakBefore w:val="0"/>
        <w:widowControl w:val="0"/>
        <w:kinsoku/>
        <w:wordWrap/>
        <w:overflowPunct/>
        <w:topLinePunct w:val="0"/>
        <w:autoSpaceDE/>
        <w:autoSpaceDN/>
        <w:bidi w:val="0"/>
        <w:adjustRightInd/>
        <w:snapToGrid/>
        <w:spacing w:line="360" w:lineRule="exact"/>
        <w:ind w:left="0" w:right="0" w:firstLine="48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
          <w:sz w:val="24"/>
          <w:szCs w:val="24"/>
        </w:rPr>
        <w:t>2 钢结构检测时，除应以构件的材料性能</w:t>
      </w:r>
      <w:r>
        <w:rPr>
          <w:rFonts w:hint="default" w:ascii="Times New Roman" w:hAnsi="Times New Roman" w:eastAsia="宋体" w:cs="Times New Roman"/>
          <w:color w:val="auto"/>
          <w:sz w:val="24"/>
          <w:szCs w:val="24"/>
        </w:rPr>
        <w:t>和截面尺寸、构件及节点连接、构件的变形、</w:t>
      </w:r>
      <w:r>
        <w:rPr>
          <w:rFonts w:hint="default" w:ascii="Times New Roman" w:hAnsi="Times New Roman" w:eastAsia="宋体" w:cs="Times New Roman"/>
          <w:color w:val="auto"/>
          <w:spacing w:val="-2"/>
          <w:sz w:val="24"/>
          <w:szCs w:val="24"/>
        </w:rPr>
        <w:t>损伤、缺陷为主要检测项目外，还应重点检查易腐蚀部位的状况。</w:t>
      </w:r>
    </w:p>
    <w:p w14:paraId="2A13D47C">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default" w:ascii="Times New Roman" w:hAnsi="Times New Roman" w:eastAsia="宋体" w:cs="Times New Roman"/>
          <w:color w:val="auto"/>
          <w:spacing w:val="-5"/>
          <w:sz w:val="24"/>
          <w:szCs w:val="24"/>
        </w:rPr>
      </w:pPr>
      <w:r>
        <w:rPr>
          <w:rFonts w:hint="default" w:ascii="Times New Roman" w:hAnsi="Times New Roman" w:eastAsia="宋体" w:cs="Times New Roman"/>
          <w:b/>
          <w:bCs/>
          <w:color w:val="auto"/>
          <w:sz w:val="24"/>
          <w:szCs w:val="24"/>
          <w:lang w:val="en-US" w:eastAsia="zh-CN"/>
        </w:rPr>
        <w:t>4.2.10</w:t>
      </w:r>
      <w:r>
        <w:rPr>
          <w:rFonts w:hint="default" w:ascii="Times New Roman" w:hAnsi="Times New Roman" w:eastAsia="宋体" w:cs="Times New Roman"/>
          <w:color w:val="auto"/>
          <w:spacing w:val="-4"/>
          <w:sz w:val="24"/>
          <w:szCs w:val="24"/>
        </w:rPr>
        <w:t xml:space="preserve"> 既有建筑现场检测过程中如发现结构重大危险点、结构安全隐患，检测单位应履行对</w:t>
      </w:r>
      <w:r>
        <w:rPr>
          <w:rFonts w:hint="default" w:ascii="Times New Roman" w:hAnsi="Times New Roman" w:eastAsia="宋体" w:cs="Times New Roman"/>
          <w:color w:val="auto"/>
          <w:spacing w:val="-2"/>
          <w:sz w:val="24"/>
          <w:szCs w:val="24"/>
        </w:rPr>
        <w:t>产权人或委托方的告知义务，并反映在检测报告中。</w:t>
      </w:r>
    </w:p>
    <w:p w14:paraId="31FF1625">
      <w:pPr>
        <w:pStyle w:val="3"/>
        <w:bidi w:val="0"/>
        <w:rPr>
          <w:rFonts w:hint="default"/>
          <w:lang w:val="en-US" w:eastAsia="zh-CN"/>
        </w:rPr>
      </w:pPr>
      <w:bookmarkStart w:id="27" w:name="_Toc26290"/>
      <w:r>
        <w:rPr>
          <w:rFonts w:hint="default"/>
          <w:lang w:val="en-US" w:eastAsia="zh-CN"/>
        </w:rPr>
        <w:t>4.3 抗震鉴定</w:t>
      </w:r>
      <w:bookmarkEnd w:id="27"/>
    </w:p>
    <w:p w14:paraId="451A9616">
      <w:pPr>
        <w:keepNext w:val="0"/>
        <w:keepLines w:val="0"/>
        <w:pageBreakBefore w:val="0"/>
        <w:widowControl w:val="0"/>
        <w:kinsoku/>
        <w:wordWrap/>
        <w:overflowPunct/>
        <w:topLinePunct w:val="0"/>
        <w:autoSpaceDE/>
        <w:autoSpaceDN/>
        <w:bidi w:val="0"/>
        <w:spacing w:line="360" w:lineRule="exact"/>
        <w:ind w:left="0" w:right="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b/>
          <w:bCs/>
          <w:color w:val="auto"/>
          <w:sz w:val="24"/>
          <w:szCs w:val="24"/>
          <w:lang w:val="en-US" w:eastAsia="zh-CN"/>
        </w:rPr>
        <w:t>4.3.1</w:t>
      </w:r>
      <w:r>
        <w:rPr>
          <w:rFonts w:hint="default" w:ascii="Times New Roman" w:hAnsi="Times New Roman" w:eastAsia="宋体" w:cs="Times New Roman"/>
          <w:color w:val="auto"/>
          <w:sz w:val="24"/>
          <w:szCs w:val="24"/>
        </w:rPr>
        <w:t xml:space="preserve"> 既有建筑抗震鉴定时，应首先确定其抗震设防烈度、抗震设防类别以及后续工作年限。其中抗震设防烈度</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一般情况下，采用中国地震动参数区划图的地震基本烈度或现行国家标准</w:t>
      </w:r>
      <w:r>
        <w:rPr>
          <w:rFonts w:hint="default" w:ascii="Times New Roman" w:hAnsi="Times New Roman" w:eastAsia="宋体" w:cs="Times New Roman"/>
          <w:color w:val="auto"/>
          <w:sz w:val="24"/>
          <w:szCs w:val="24"/>
        </w:rPr>
        <w:t>《建筑抗震设计标准》GB/T 50011的</w:t>
      </w:r>
      <w:r>
        <w:rPr>
          <w:rFonts w:hint="default" w:ascii="Times New Roman" w:hAnsi="Times New Roman" w:eastAsia="宋体" w:cs="Times New Roman"/>
          <w:color w:val="auto"/>
          <w:sz w:val="24"/>
          <w:szCs w:val="24"/>
          <w:lang w:val="en-US" w:eastAsia="zh-CN"/>
        </w:rPr>
        <w:t>规定的抗震设防烈度</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抗震设防类别应采用现行国家标准《建筑工程抗震设防分类标准》GB 50223的相关规定。</w:t>
      </w:r>
    </w:p>
    <w:p w14:paraId="0EA79CFD">
      <w:pPr>
        <w:keepNext w:val="0"/>
        <w:keepLines w:val="0"/>
        <w:pageBreakBefore w:val="0"/>
        <w:widowControl w:val="0"/>
        <w:kinsoku/>
        <w:wordWrap/>
        <w:overflowPunct/>
        <w:topLinePunct w:val="0"/>
        <w:autoSpaceDE/>
        <w:autoSpaceDN/>
        <w:bidi w:val="0"/>
        <w:spacing w:line="360" w:lineRule="exact"/>
        <w:ind w:left="0" w:right="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bCs/>
          <w:color w:val="auto"/>
          <w:sz w:val="24"/>
          <w:szCs w:val="24"/>
          <w:lang w:val="en-US" w:eastAsia="zh-CN"/>
        </w:rPr>
        <w:t>4.3.2</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val="0"/>
          <w:bCs w:val="0"/>
          <w:color w:val="auto"/>
          <w:sz w:val="24"/>
          <w:szCs w:val="24"/>
          <w:lang w:val="en-US" w:eastAsia="zh-CN"/>
        </w:rPr>
        <w:t>既有建筑的抗震鉴定，应包含场地与地基基础的抗震鉴定、主体结构抗震能力验算以及主体结构抗震措施鉴定。</w:t>
      </w:r>
    </w:p>
    <w:p w14:paraId="19609807">
      <w:pPr>
        <w:keepNext w:val="0"/>
        <w:keepLines w:val="0"/>
        <w:pageBreakBefore w:val="0"/>
        <w:widowControl w:val="0"/>
        <w:kinsoku/>
        <w:wordWrap/>
        <w:overflowPunct/>
        <w:topLinePunct w:val="0"/>
        <w:autoSpaceDE/>
        <w:autoSpaceDN/>
        <w:bidi w:val="0"/>
        <w:spacing w:line="360" w:lineRule="exact"/>
        <w:ind w:left="0" w:right="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 xml:space="preserve">4.3.3 </w:t>
      </w:r>
      <w:r>
        <w:rPr>
          <w:rFonts w:hint="default" w:ascii="Times New Roman" w:hAnsi="Times New Roman" w:eastAsia="宋体" w:cs="Times New Roman"/>
          <w:color w:val="auto"/>
          <w:sz w:val="24"/>
          <w:szCs w:val="24"/>
        </w:rPr>
        <w:t>抗震鉴定分为两级。第一级鉴定应以宏观控制和构造鉴定为主进行综合评价，第二级鉴定应以抗震验算为主结合构造影响进行综合评价。</w:t>
      </w:r>
    </w:p>
    <w:p w14:paraId="29C4E21F">
      <w:pPr>
        <w:keepNext w:val="0"/>
        <w:keepLines w:val="0"/>
        <w:pageBreakBefore w:val="0"/>
        <w:widowControl w:val="0"/>
        <w:kinsoku/>
        <w:wordWrap/>
        <w:overflowPunct/>
        <w:topLinePunct w:val="0"/>
        <w:autoSpaceDE/>
        <w:autoSpaceDN/>
        <w:bidi w:val="0"/>
        <w:spacing w:line="360" w:lineRule="exact"/>
        <w:ind w:left="0" w:right="0" w:firstLine="241" w:firstLineChars="100"/>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b/>
          <w:color w:val="auto"/>
          <w:sz w:val="24"/>
          <w:szCs w:val="24"/>
          <w:u w:val="none"/>
          <w:lang w:val="en-US" w:eastAsia="zh-CN"/>
        </w:rPr>
        <w:t>1</w:t>
      </w:r>
      <w:r>
        <w:rPr>
          <w:rFonts w:hint="default" w:ascii="Times New Roman" w:hAnsi="Times New Roman" w:eastAsia="宋体" w:cs="Times New Roman"/>
          <w:color w:val="auto"/>
          <w:sz w:val="24"/>
          <w:szCs w:val="24"/>
          <w:u w:val="none"/>
          <w:lang w:val="en-US" w:eastAsia="zh-CN"/>
        </w:rPr>
        <w:t xml:space="preserve"> </w:t>
      </w:r>
      <w:r>
        <w:rPr>
          <w:rFonts w:hint="default" w:ascii="Times New Roman" w:hAnsi="Times New Roman" w:eastAsia="宋体" w:cs="Times New Roman"/>
          <w:b/>
          <w:color w:val="auto"/>
          <w:sz w:val="24"/>
          <w:szCs w:val="24"/>
          <w:u w:val="none"/>
        </w:rPr>
        <w:t>A</w:t>
      </w:r>
      <w:r>
        <w:rPr>
          <w:rFonts w:hint="default" w:ascii="Times New Roman" w:hAnsi="Times New Roman" w:eastAsia="宋体" w:cs="Times New Roman"/>
          <w:color w:val="auto"/>
          <w:sz w:val="24"/>
          <w:szCs w:val="24"/>
          <w:u w:val="none"/>
        </w:rPr>
        <w:t>类建筑的抗震鉴定，当符合第一级鉴定的各项要求时，建筑可评为满足抗震鉴定要求，不再进行第二级鉴定；当不符合第一级鉴定要求时，除本</w:t>
      </w:r>
      <w:r>
        <w:rPr>
          <w:rFonts w:hint="default" w:ascii="Times New Roman" w:hAnsi="Times New Roman" w:eastAsia="宋体" w:cs="Times New Roman"/>
          <w:color w:val="auto"/>
          <w:sz w:val="24"/>
          <w:szCs w:val="24"/>
          <w:u w:val="none"/>
          <w:lang w:val="en-US" w:eastAsia="zh-CN"/>
        </w:rPr>
        <w:t>规程</w:t>
      </w:r>
      <w:r>
        <w:rPr>
          <w:rFonts w:hint="default" w:ascii="Times New Roman" w:hAnsi="Times New Roman" w:eastAsia="宋体" w:cs="Times New Roman"/>
          <w:color w:val="auto"/>
          <w:sz w:val="24"/>
          <w:szCs w:val="24"/>
          <w:u w:val="none"/>
        </w:rPr>
        <w:t>各章有明确规定的情况外，应由第二级鉴定做出判断。</w:t>
      </w:r>
    </w:p>
    <w:p w14:paraId="00F5C359">
      <w:pPr>
        <w:keepNext w:val="0"/>
        <w:keepLines w:val="0"/>
        <w:pageBreakBefore w:val="0"/>
        <w:widowControl w:val="0"/>
        <w:kinsoku/>
        <w:wordWrap/>
        <w:overflowPunct/>
        <w:topLinePunct w:val="0"/>
        <w:autoSpaceDE/>
        <w:autoSpaceDN/>
        <w:bidi w:val="0"/>
        <w:adjustRightInd w:val="0"/>
        <w:snapToGrid w:val="0"/>
        <w:spacing w:line="360" w:lineRule="exact"/>
        <w:ind w:left="0" w:right="0" w:firstLine="241" w:firstLineChars="100"/>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b/>
          <w:color w:val="auto"/>
          <w:sz w:val="24"/>
          <w:szCs w:val="24"/>
          <w:u w:val="none"/>
        </w:rPr>
        <w:t>2</w:t>
      </w:r>
      <w:r>
        <w:rPr>
          <w:rFonts w:hint="default" w:ascii="Times New Roman" w:hAnsi="Times New Roman" w:eastAsia="宋体" w:cs="Times New Roman"/>
          <w:color w:val="auto"/>
          <w:sz w:val="24"/>
          <w:szCs w:val="24"/>
          <w:u w:val="none"/>
        </w:rPr>
        <w:t xml:space="preserve"> B类建筑的抗震鉴定，应检查其抗震措施和现有抗震承载力再做出判断。当抗震措施不满足鉴定要求而现有抗震承载力较高时，可通过构造影响系数进行综合抗震能力的评定；当抗震措施鉴定满足要求时，主要抗侧力构件的抗震承载力不低于规定的95%、次要抗侧力构件的抗震承载力不低于规定的90%，也可不要求进行加固处理。</w:t>
      </w:r>
    </w:p>
    <w:p w14:paraId="754D1300">
      <w:pPr>
        <w:keepNext w:val="0"/>
        <w:keepLines w:val="0"/>
        <w:pageBreakBefore w:val="0"/>
        <w:widowControl w:val="0"/>
        <w:kinsoku/>
        <w:wordWrap/>
        <w:overflowPunct/>
        <w:topLinePunct w:val="0"/>
        <w:autoSpaceDE/>
        <w:autoSpaceDN/>
        <w:bidi w:val="0"/>
        <w:spacing w:line="360" w:lineRule="exact"/>
        <w:ind w:left="0" w:right="0" w:firstLine="241" w:firstLineChars="100"/>
        <w:textAlignment w:val="auto"/>
        <w:rPr>
          <w:rFonts w:hint="default" w:ascii="Times New Roman" w:hAnsi="Times New Roman" w:eastAsia="宋体" w:cs="Times New Roman"/>
          <w:color w:val="auto"/>
          <w:sz w:val="24"/>
          <w:szCs w:val="24"/>
          <w:u w:val="single"/>
          <w:lang w:val="en-US" w:eastAsia="zh-CN"/>
        </w:rPr>
      </w:pPr>
      <w:r>
        <w:rPr>
          <w:rFonts w:hint="default" w:ascii="Times New Roman" w:hAnsi="Times New Roman" w:eastAsia="宋体" w:cs="Times New Roman"/>
          <w:b/>
          <w:color w:val="auto"/>
          <w:sz w:val="24"/>
          <w:szCs w:val="24"/>
          <w:u w:val="none"/>
        </w:rPr>
        <w:t>3</w:t>
      </w:r>
      <w:r>
        <w:rPr>
          <w:rFonts w:hint="default" w:ascii="Times New Roman" w:hAnsi="Times New Roman" w:eastAsia="宋体" w:cs="Times New Roman"/>
          <w:color w:val="auto"/>
          <w:sz w:val="24"/>
          <w:szCs w:val="24"/>
          <w:u w:val="none"/>
        </w:rPr>
        <w:t xml:space="preserve"> C类建筑的抗震鉴定，后续工作年限50年的建筑应</w:t>
      </w:r>
      <w:r>
        <w:rPr>
          <w:rFonts w:hint="default" w:ascii="Times New Roman" w:hAnsi="Times New Roman" w:eastAsia="宋体" w:cs="Times New Roman"/>
          <w:color w:val="auto"/>
          <w:sz w:val="24"/>
          <w:szCs w:val="24"/>
          <w:u w:val="none"/>
          <w:lang w:val="en-US" w:eastAsia="zh-CN"/>
        </w:rPr>
        <w:t>按</w:t>
      </w:r>
      <w:r>
        <w:rPr>
          <w:rFonts w:hint="default" w:ascii="Times New Roman" w:hAnsi="Times New Roman" w:eastAsia="宋体" w:cs="Times New Roman"/>
          <w:color w:val="auto"/>
          <w:sz w:val="24"/>
          <w:szCs w:val="24"/>
          <w:u w:val="none"/>
        </w:rPr>
        <w:t>现行国家标准</w:t>
      </w: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后续工作少于50年的</w:t>
      </w:r>
      <w:r>
        <w:rPr>
          <w:rFonts w:hint="default" w:ascii="Times New Roman" w:hAnsi="Times New Roman" w:eastAsia="宋体" w:cs="Times New Roman"/>
          <w:color w:val="auto"/>
          <w:sz w:val="24"/>
          <w:szCs w:val="24"/>
          <w:u w:val="none"/>
          <w:lang w:val="en-US" w:eastAsia="zh-CN"/>
        </w:rPr>
        <w:t>建筑应按不低于</w:t>
      </w:r>
      <w:r>
        <w:rPr>
          <w:rFonts w:hint="default" w:ascii="Times New Roman" w:hAnsi="Times New Roman" w:eastAsia="宋体" w:cs="Times New Roman"/>
          <w:color w:val="auto"/>
          <w:sz w:val="24"/>
          <w:szCs w:val="24"/>
          <w:u w:val="none"/>
        </w:rPr>
        <w:t>原设计标准，分别检查其抗震措施和现有抗震承载力后综合做出判断。</w:t>
      </w:r>
    </w:p>
    <w:p w14:paraId="5BB12C9A">
      <w:pPr>
        <w:keepNext w:val="0"/>
        <w:keepLines w:val="0"/>
        <w:pageBreakBefore w:val="0"/>
        <w:widowControl w:val="0"/>
        <w:kinsoku/>
        <w:wordWrap/>
        <w:overflowPunct/>
        <w:topLinePunct w:val="0"/>
        <w:autoSpaceDE/>
        <w:autoSpaceDN/>
        <w:bidi w:val="0"/>
        <w:spacing w:line="360" w:lineRule="exact"/>
        <w:ind w:left="0" w:right="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bCs/>
          <w:color w:val="auto"/>
          <w:sz w:val="24"/>
          <w:szCs w:val="24"/>
          <w:lang w:val="en-US" w:eastAsia="zh-CN"/>
        </w:rPr>
        <w:t xml:space="preserve">4.3.4 </w:t>
      </w:r>
      <w:r>
        <w:rPr>
          <w:rFonts w:hint="default" w:ascii="Times New Roman" w:hAnsi="Times New Roman" w:eastAsia="宋体" w:cs="Times New Roman"/>
          <w:b w:val="0"/>
          <w:bCs w:val="0"/>
          <w:color w:val="auto"/>
          <w:sz w:val="24"/>
          <w:szCs w:val="24"/>
          <w:lang w:val="en-US" w:eastAsia="zh-CN"/>
        </w:rPr>
        <w:t>高层钢结构建筑和高层钢-混凝土混合结构建筑，抗震鉴定时对应的建筑类别宜采用C类。</w:t>
      </w:r>
    </w:p>
    <w:p w14:paraId="73902EAC">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条文说明：现行《建筑抗震鉴定标准》GB 50023未明确钢结构建筑的抗震鉴定要求。多层钢结构建筑，抗震鉴定时可按照混凝土结构相关规定执行。</w:t>
      </w:r>
    </w:p>
    <w:p w14:paraId="6593C4F1">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考虑到《高层民用建筑钢结构技术规程》JGJ 99-1998于1998年12月1日正式施行、《高层建筑混凝土结构技术规程》JGJ 3-2002与2002年9月1日正式施行。高层钢结构和高层钢-混凝土混合结构的既有建筑基本建造于2000年以后，宜按照C类建筑相关要求进行抗震鉴定。</w:t>
      </w:r>
    </w:p>
    <w:p w14:paraId="21DA6194">
      <w:pPr>
        <w:keepNext w:val="0"/>
        <w:keepLines w:val="0"/>
        <w:pageBreakBefore w:val="0"/>
        <w:widowControl w:val="0"/>
        <w:kinsoku/>
        <w:wordWrap/>
        <w:overflowPunct/>
        <w:topLinePunct w:val="0"/>
        <w:autoSpaceDE/>
        <w:autoSpaceDN/>
        <w:bidi w:val="0"/>
        <w:spacing w:line="360" w:lineRule="exact"/>
        <w:ind w:left="0" w:righ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4.3.5</w:t>
      </w:r>
      <w:r>
        <w:rPr>
          <w:rFonts w:hint="default" w:ascii="Times New Roman" w:hAnsi="Times New Roman" w:eastAsia="宋体" w:cs="Times New Roman"/>
          <w:color w:val="auto"/>
          <w:sz w:val="24"/>
          <w:szCs w:val="24"/>
        </w:rPr>
        <w:t xml:space="preserve"> 既有建筑宏观控制和构造鉴定的基本内容及要求，应符合下列规定：</w:t>
      </w:r>
    </w:p>
    <w:p w14:paraId="77B561E2">
      <w:pPr>
        <w:keepNext w:val="0"/>
        <w:keepLines w:val="0"/>
        <w:pageBreakBefore w:val="0"/>
        <w:widowControl w:val="0"/>
        <w:kinsoku/>
        <w:wordWrap/>
        <w:overflowPunct/>
        <w:topLinePunct w:val="0"/>
        <w:autoSpaceDE/>
        <w:autoSpaceDN/>
        <w:bidi w:val="0"/>
        <w:spacing w:line="360" w:lineRule="exact"/>
        <w:ind w:left="0" w:right="0" w:firstLine="48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1</w:t>
      </w:r>
      <w:r>
        <w:rPr>
          <w:rFonts w:hint="default" w:ascii="Times New Roman" w:hAnsi="Times New Roman" w:eastAsia="宋体" w:cs="Times New Roman"/>
          <w:color w:val="auto"/>
          <w:sz w:val="24"/>
          <w:szCs w:val="24"/>
        </w:rPr>
        <w:t xml:space="preserve"> 当建筑的平、立面、质量、刚度分布和墙体等抗侧力构件的布置在平面内明显不对称时，应进行地震扭转效应不利影响的分析；当结构竖向构件上下不连续或刚度沿高度分布突变时，应找出薄弱部位并按相应的要求鉴定。</w:t>
      </w:r>
    </w:p>
    <w:p w14:paraId="03AA78AC">
      <w:pPr>
        <w:keepNext w:val="0"/>
        <w:keepLines w:val="0"/>
        <w:pageBreakBefore w:val="0"/>
        <w:widowControl w:val="0"/>
        <w:kinsoku/>
        <w:wordWrap/>
        <w:overflowPunct/>
        <w:topLinePunct w:val="0"/>
        <w:autoSpaceDE/>
        <w:autoSpaceDN/>
        <w:bidi w:val="0"/>
        <w:spacing w:line="360" w:lineRule="exact"/>
        <w:ind w:left="0" w:right="0" w:firstLine="48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2</w:t>
      </w:r>
      <w:r>
        <w:rPr>
          <w:rFonts w:hint="default" w:ascii="Times New Roman" w:hAnsi="Times New Roman" w:eastAsia="宋体" w:cs="Times New Roman"/>
          <w:color w:val="auto"/>
          <w:sz w:val="24"/>
          <w:szCs w:val="24"/>
        </w:rPr>
        <w:t xml:space="preserve"> 检查结构体系，应找出其破坏会导致整个体系丧失抗震能力或丧失对重力荷载的承载能力的部件或构件；当房屋有错层或与不同类型结构体系相连时，应提高其相应部位的抗震鉴定要求。</w:t>
      </w:r>
    </w:p>
    <w:p w14:paraId="7DCDB65D">
      <w:pPr>
        <w:keepNext w:val="0"/>
        <w:keepLines w:val="0"/>
        <w:pageBreakBefore w:val="0"/>
        <w:widowControl w:val="0"/>
        <w:kinsoku/>
        <w:wordWrap/>
        <w:overflowPunct/>
        <w:topLinePunct w:val="0"/>
        <w:autoSpaceDE/>
        <w:autoSpaceDN/>
        <w:bidi w:val="0"/>
        <w:spacing w:line="360" w:lineRule="exact"/>
        <w:ind w:left="0" w:right="0" w:firstLine="48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3</w:t>
      </w:r>
      <w:r>
        <w:rPr>
          <w:rFonts w:hint="default" w:ascii="Times New Roman" w:hAnsi="Times New Roman" w:eastAsia="宋体" w:cs="Times New Roman"/>
          <w:color w:val="auto"/>
          <w:sz w:val="24"/>
          <w:szCs w:val="24"/>
        </w:rPr>
        <w:t xml:space="preserve"> 检查结构材料实际达到的强度等级，当低于规定的最低要求时，应提出采取相应的抗震减灾对策。</w:t>
      </w:r>
    </w:p>
    <w:p w14:paraId="3EBFF81C">
      <w:pPr>
        <w:keepNext w:val="0"/>
        <w:keepLines w:val="0"/>
        <w:pageBreakBefore w:val="0"/>
        <w:widowControl w:val="0"/>
        <w:kinsoku/>
        <w:wordWrap/>
        <w:overflowPunct/>
        <w:topLinePunct w:val="0"/>
        <w:autoSpaceDE/>
        <w:autoSpaceDN/>
        <w:bidi w:val="0"/>
        <w:spacing w:line="360" w:lineRule="exact"/>
        <w:ind w:left="0" w:right="0" w:firstLine="48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4</w:t>
      </w:r>
      <w:r>
        <w:rPr>
          <w:rFonts w:hint="default" w:ascii="Times New Roman" w:hAnsi="Times New Roman" w:eastAsia="宋体" w:cs="Times New Roman"/>
          <w:color w:val="auto"/>
          <w:sz w:val="24"/>
          <w:szCs w:val="24"/>
        </w:rPr>
        <w:t xml:space="preserve"> 建筑的高度和层数，应符合本规程各章规定。</w:t>
      </w:r>
    </w:p>
    <w:p w14:paraId="6CDCE843">
      <w:pPr>
        <w:keepNext w:val="0"/>
        <w:keepLines w:val="0"/>
        <w:pageBreakBefore w:val="0"/>
        <w:widowControl w:val="0"/>
        <w:kinsoku/>
        <w:wordWrap/>
        <w:overflowPunct/>
        <w:topLinePunct w:val="0"/>
        <w:autoSpaceDE/>
        <w:autoSpaceDN/>
        <w:bidi w:val="0"/>
        <w:spacing w:line="360" w:lineRule="exact"/>
        <w:ind w:left="0" w:right="0" w:firstLine="48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5</w:t>
      </w:r>
      <w:r>
        <w:rPr>
          <w:rFonts w:hint="default" w:ascii="Times New Roman" w:hAnsi="Times New Roman" w:eastAsia="宋体" w:cs="Times New Roman"/>
          <w:color w:val="auto"/>
          <w:sz w:val="24"/>
          <w:szCs w:val="24"/>
        </w:rPr>
        <w:t xml:space="preserve"> 当结构构件的尺寸、截面形式等不利于抗震时，宜提高该构件的配筋等构造抗震鉴定要求。</w:t>
      </w:r>
    </w:p>
    <w:p w14:paraId="7B5F2329">
      <w:pPr>
        <w:keepNext w:val="0"/>
        <w:keepLines w:val="0"/>
        <w:pageBreakBefore w:val="0"/>
        <w:widowControl w:val="0"/>
        <w:kinsoku/>
        <w:wordWrap/>
        <w:overflowPunct/>
        <w:topLinePunct w:val="0"/>
        <w:autoSpaceDE/>
        <w:autoSpaceDN/>
        <w:bidi w:val="0"/>
        <w:spacing w:line="360" w:lineRule="exact"/>
        <w:ind w:left="0" w:right="0" w:firstLine="48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6</w:t>
      </w:r>
      <w:r>
        <w:rPr>
          <w:rFonts w:hint="default" w:ascii="Times New Roman" w:hAnsi="Times New Roman" w:eastAsia="宋体" w:cs="Times New Roman"/>
          <w:color w:val="auto"/>
          <w:sz w:val="24"/>
          <w:szCs w:val="24"/>
        </w:rPr>
        <w:t xml:space="preserve"> 结构构件的连接构造应满足结构整体性的要求。</w:t>
      </w:r>
    </w:p>
    <w:p w14:paraId="176C7201">
      <w:pPr>
        <w:keepNext w:val="0"/>
        <w:keepLines w:val="0"/>
        <w:pageBreakBefore w:val="0"/>
        <w:widowControl w:val="0"/>
        <w:kinsoku/>
        <w:wordWrap/>
        <w:overflowPunct/>
        <w:topLinePunct w:val="0"/>
        <w:autoSpaceDE/>
        <w:autoSpaceDN/>
        <w:bidi w:val="0"/>
        <w:spacing w:line="360" w:lineRule="exact"/>
        <w:ind w:left="0" w:right="0" w:firstLine="48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7</w:t>
      </w:r>
      <w:r>
        <w:rPr>
          <w:rFonts w:hint="default" w:ascii="Times New Roman" w:hAnsi="Times New Roman" w:eastAsia="宋体" w:cs="Times New Roman"/>
          <w:color w:val="auto"/>
          <w:sz w:val="24"/>
          <w:szCs w:val="24"/>
        </w:rPr>
        <w:t xml:space="preserve"> 非结构构件与主体结构的连接构造应满足不倒塌伤人的要求；位于出入口及人流通道等处，应有可靠的连接。</w:t>
      </w:r>
    </w:p>
    <w:p w14:paraId="68199611">
      <w:pPr>
        <w:keepNext w:val="0"/>
        <w:keepLines w:val="0"/>
        <w:pageBreakBefore w:val="0"/>
        <w:widowControl w:val="0"/>
        <w:kinsoku/>
        <w:wordWrap/>
        <w:overflowPunct/>
        <w:topLinePunct w:val="0"/>
        <w:autoSpaceDE/>
        <w:autoSpaceDN/>
        <w:bidi w:val="0"/>
        <w:spacing w:line="360" w:lineRule="exact"/>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 xml:space="preserve"> 对由多个结构单元组成的建筑，还应检查结构单元之间的净距是否存在相互影响，尤其是非结构构件的破坏性影响。</w:t>
      </w:r>
    </w:p>
    <w:p w14:paraId="1C966708">
      <w:pPr>
        <w:keepNext w:val="0"/>
        <w:keepLines w:val="0"/>
        <w:pageBreakBefore w:val="0"/>
        <w:widowControl w:val="0"/>
        <w:kinsoku/>
        <w:wordWrap/>
        <w:overflowPunct/>
        <w:topLinePunct w:val="0"/>
        <w:autoSpaceDE/>
        <w:autoSpaceDN/>
        <w:bidi w:val="0"/>
        <w:spacing w:line="360" w:lineRule="exact"/>
        <w:ind w:left="0" w:right="0" w:firstLine="48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9</w:t>
      </w:r>
      <w:r>
        <w:rPr>
          <w:rFonts w:hint="default" w:ascii="Times New Roman" w:hAnsi="Times New Roman" w:eastAsia="宋体" w:cs="Times New Roman"/>
          <w:color w:val="auto"/>
          <w:sz w:val="24"/>
          <w:szCs w:val="24"/>
        </w:rPr>
        <w:t xml:space="preserve"> 当建筑场地位于不利地段时，尚应符合地基基础的有关鉴定要求。</w:t>
      </w:r>
    </w:p>
    <w:p w14:paraId="0C9996D6">
      <w:pPr>
        <w:keepNext w:val="0"/>
        <w:keepLines w:val="0"/>
        <w:pageBreakBefore w:val="0"/>
        <w:widowControl w:val="0"/>
        <w:kinsoku/>
        <w:wordWrap/>
        <w:overflowPunct/>
        <w:topLinePunct w:val="0"/>
        <w:autoSpaceDE/>
        <w:autoSpaceDN/>
        <w:bidi w:val="0"/>
        <w:spacing w:line="360" w:lineRule="exact"/>
        <w:ind w:left="0" w:righ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4.3.6</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z w:val="24"/>
          <w:szCs w:val="24"/>
          <w:lang w:val="en-US" w:eastAsia="zh-CN"/>
        </w:rPr>
        <w:t>结构抗震承载力验算时，应至少在建筑两个主轴方向分别按本规程各章规定的具体方法进行结构的抗震验算。当未给出具体方法时，可采用《建筑与市政抗震通用规范》GB 55002</w:t>
      </w:r>
      <w:r>
        <w:rPr>
          <w:rFonts w:hint="default" w:ascii="Times New Roman" w:hAnsi="Times New Roman" w:eastAsia="宋体" w:cs="Times New Roman"/>
          <w:color w:val="auto"/>
          <w:sz w:val="24"/>
          <w:szCs w:val="24"/>
        </w:rPr>
        <w:t>规定的方法，按下式进行结构构件抗震验算：</w:t>
      </w:r>
    </w:p>
    <w:p w14:paraId="2522D567">
      <w:pPr>
        <w:keepNext w:val="0"/>
        <w:keepLines w:val="0"/>
        <w:pageBreakBefore w:val="0"/>
        <w:widowControl w:val="0"/>
        <w:kinsoku/>
        <w:wordWrap/>
        <w:overflowPunct/>
        <w:topLinePunct w:val="0"/>
        <w:autoSpaceDE/>
        <w:autoSpaceDN/>
        <w:bidi w:val="0"/>
        <w:adjustRightInd w:val="0"/>
        <w:spacing w:line="360" w:lineRule="exact"/>
        <w:ind w:left="0" w:right="0" w:firstLine="4080" w:firstLineChars="17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position w:val="-12"/>
          <w:sz w:val="24"/>
          <w:szCs w:val="24"/>
        </w:rPr>
        <w:object>
          <v:shape id="_x0000_i1033" o:spt="75" type="#_x0000_t75" style="height:19.5pt;width:56.25pt;" o:ole="t" filled="f" o:preferrelative="t" stroked="f" coordsize="21600,21600">
            <v:path/>
            <v:fill on="f" focussize="0,0"/>
            <v:stroke on="f" joinstyle="miter"/>
            <v:imagedata r:id="rId31" o:title=""/>
            <o:lock v:ext="edit" aspectratio="t"/>
            <w10:wrap type="none"/>
            <w10:anchorlock/>
          </v:shape>
          <o:OLEObject Type="Embed" ProgID="Equation.DSMT4" ShapeID="_x0000_i1033" DrawAspect="Content" ObjectID="_1468075733" r:id="rId30">
            <o:LockedField>false</o:LockedField>
          </o:OLEObject>
        </w:objec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z w:val="24"/>
          <w:szCs w:val="24"/>
          <w:lang w:val="en-US" w:eastAsia="zh-CN"/>
        </w:rPr>
        <w:t xml:space="preserve">      </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(4.3.6)</w:t>
      </w:r>
    </w:p>
    <w:p w14:paraId="35422D74">
      <w:pPr>
        <w:keepNext w:val="0"/>
        <w:keepLines w:val="0"/>
        <w:pageBreakBefore w:val="0"/>
        <w:widowControl w:val="0"/>
        <w:kinsoku/>
        <w:wordWrap/>
        <w:overflowPunct/>
        <w:topLinePunct w:val="0"/>
        <w:autoSpaceDE/>
        <w:autoSpaceDN/>
        <w:bidi w:val="0"/>
        <w:spacing w:line="360" w:lineRule="exact"/>
        <w:ind w:left="0" w:righ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w:t>
      </w:r>
      <w:r>
        <w:rPr>
          <w:rFonts w:hint="default" w:ascii="Times New Roman" w:hAnsi="Times New Roman" w:eastAsia="宋体" w:cs="Times New Roman"/>
          <w:color w:val="auto"/>
          <w:position w:val="-6"/>
          <w:sz w:val="24"/>
          <w:szCs w:val="24"/>
        </w:rPr>
        <w:object>
          <v:shape id="_x0000_i1034" o:spt="75" type="#_x0000_t75" style="height:13.75pt;width:10.8pt;" o:ole="t" filled="f" o:preferrelative="t" stroked="f" coordsize="21600,21600">
            <v:path/>
            <v:fill on="f" focussize="0,0"/>
            <v:stroke on="f" joinstyle="miter"/>
            <v:imagedata r:id="rId33" o:title=""/>
            <o:lock v:ext="edit" aspectratio="t"/>
            <w10:wrap type="none"/>
            <w10:anchorlock/>
          </v:shape>
          <o:OLEObject Type="Embed" ProgID="Equation.DSMT4" ShapeID="_x0000_i1034" DrawAspect="Content" ObjectID="_1468075734" r:id="rId32">
            <o:LockedField>false</o:LockedField>
          </o:OLEObject>
        </w:object>
      </w:r>
      <w:r>
        <w:rPr>
          <w:rFonts w:hint="default" w:ascii="Times New Roman" w:hAnsi="Times New Roman" w:eastAsia="宋体" w:cs="Times New Roman"/>
          <w:color w:val="auto"/>
          <w:sz w:val="24"/>
          <w:szCs w:val="24"/>
        </w:rPr>
        <w:t>——结构构</w:t>
      </w:r>
      <w:r>
        <w:rPr>
          <w:rFonts w:hint="default" w:ascii="Times New Roman" w:hAnsi="Times New Roman" w:eastAsia="宋体" w:cs="Times New Roman"/>
          <w:color w:val="auto"/>
          <w:sz w:val="24"/>
          <w:szCs w:val="24"/>
          <w:lang w:val="en-US" w:eastAsia="zh-CN"/>
        </w:rPr>
        <w:t>件的地震组合设计内力值（</w:t>
      </w:r>
      <w:r>
        <w:rPr>
          <w:rFonts w:hint="default" w:ascii="Times New Roman" w:hAnsi="Times New Roman" w:eastAsia="宋体" w:cs="Times New Roman"/>
          <w:color w:val="auto"/>
          <w:sz w:val="24"/>
          <w:szCs w:val="24"/>
        </w:rPr>
        <w:t>轴向力、剪力、弯矩等</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；计算时，有</w:t>
      </w:r>
    </w:p>
    <w:p w14:paraId="194F2D50">
      <w:pPr>
        <w:keepNext w:val="0"/>
        <w:keepLines w:val="0"/>
        <w:pageBreakBefore w:val="0"/>
        <w:widowControl w:val="0"/>
        <w:kinsoku/>
        <w:wordWrap/>
        <w:overflowPunct/>
        <w:topLinePunct w:val="0"/>
        <w:autoSpaceDE/>
        <w:autoSpaceDN/>
        <w:bidi w:val="0"/>
        <w:spacing w:line="360" w:lineRule="exact"/>
        <w:ind w:left="0" w:right="0" w:firstLine="1200" w:firstLineChars="5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关的</w:t>
      </w:r>
      <w:r>
        <w:rPr>
          <w:rFonts w:hint="default" w:ascii="Times New Roman" w:hAnsi="Times New Roman" w:eastAsia="宋体" w:cs="Times New Roman"/>
          <w:color w:val="auto"/>
          <w:sz w:val="24"/>
          <w:szCs w:val="24"/>
          <w:lang w:val="en-US" w:eastAsia="zh-CN"/>
        </w:rPr>
        <w:t>荷载、</w:t>
      </w:r>
      <w:r>
        <w:rPr>
          <w:rFonts w:hint="default" w:ascii="Times New Roman" w:hAnsi="Times New Roman" w:eastAsia="宋体" w:cs="Times New Roman"/>
          <w:color w:val="auto"/>
          <w:sz w:val="24"/>
          <w:szCs w:val="24"/>
        </w:rPr>
        <w:t>地震作用、作用分项系数、组合值系数和</w:t>
      </w:r>
      <w:r>
        <w:rPr>
          <w:rFonts w:hint="default" w:ascii="Times New Roman" w:hAnsi="Times New Roman" w:eastAsia="宋体" w:cs="Times New Roman"/>
          <w:color w:val="auto"/>
          <w:sz w:val="24"/>
          <w:szCs w:val="24"/>
          <w:lang w:val="en-US" w:eastAsia="zh-CN"/>
        </w:rPr>
        <w:t>地震</w:t>
      </w:r>
      <w:r>
        <w:rPr>
          <w:rFonts w:hint="default" w:ascii="Times New Roman" w:hAnsi="Times New Roman" w:eastAsia="宋体" w:cs="Times New Roman"/>
          <w:color w:val="auto"/>
          <w:sz w:val="24"/>
          <w:szCs w:val="24"/>
        </w:rPr>
        <w:t>作用效应</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内力</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调</w:t>
      </w:r>
    </w:p>
    <w:p w14:paraId="1B987413">
      <w:pPr>
        <w:keepNext w:val="0"/>
        <w:keepLines w:val="0"/>
        <w:pageBreakBefore w:val="0"/>
        <w:widowControl w:val="0"/>
        <w:kinsoku/>
        <w:wordWrap/>
        <w:overflowPunct/>
        <w:topLinePunct w:val="0"/>
        <w:autoSpaceDE/>
        <w:autoSpaceDN/>
        <w:bidi w:val="0"/>
        <w:spacing w:line="360" w:lineRule="exact"/>
        <w:ind w:left="0" w:right="0" w:firstLine="1200" w:firstLineChars="5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整</w:t>
      </w:r>
      <w:r>
        <w:rPr>
          <w:rFonts w:hint="default" w:ascii="Times New Roman" w:hAnsi="Times New Roman" w:eastAsia="宋体" w:cs="Times New Roman"/>
          <w:color w:val="auto"/>
          <w:sz w:val="24"/>
          <w:szCs w:val="24"/>
          <w:lang w:val="en-US" w:eastAsia="zh-CN"/>
        </w:rPr>
        <w:t>系数应按本规程的规定确定。</w:t>
      </w:r>
    </w:p>
    <w:p w14:paraId="4BB0E0CF">
      <w:pPr>
        <w:keepNext w:val="0"/>
        <w:keepLines w:val="0"/>
        <w:pageBreakBefore w:val="0"/>
        <w:widowControl w:val="0"/>
        <w:kinsoku/>
        <w:wordWrap/>
        <w:overflowPunct/>
        <w:topLinePunct w:val="0"/>
        <w:autoSpaceDE/>
        <w:autoSpaceDN/>
        <w:bidi w:val="0"/>
        <w:spacing w:line="360" w:lineRule="exact"/>
        <w:ind w:left="0" w:right="0" w:firstLine="720" w:firstLineChars="3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position w:val="-4"/>
          <w:sz w:val="24"/>
          <w:szCs w:val="24"/>
        </w:rPr>
        <w:object>
          <v:shape id="_x0000_i1035" o:spt="75" type="#_x0000_t75" style="height:12.9pt;width:12.05pt;" o:ole="t" filled="f" o:preferrelative="t" stroked="f" coordsize="21600,21600">
            <v:path/>
            <v:fill on="f" focussize="0,0"/>
            <v:stroke on="f" joinstyle="miter"/>
            <v:imagedata r:id="rId35" o:title=""/>
            <o:lock v:ext="edit" aspectratio="t"/>
            <w10:wrap type="none"/>
            <w10:anchorlock/>
          </v:shape>
          <o:OLEObject Type="Embed" ProgID="Equation.DSMT4" ShapeID="_x0000_i1035" DrawAspect="Content" ObjectID="_1468075735" r:id="rId34">
            <o:LockedField>false</o:LockedField>
          </o:OLEObject>
        </w:object>
      </w:r>
      <w:r>
        <w:rPr>
          <w:rFonts w:hint="default" w:ascii="Times New Roman" w:hAnsi="Times New Roman" w:eastAsia="宋体" w:cs="Times New Roman"/>
          <w:color w:val="auto"/>
          <w:sz w:val="24"/>
          <w:szCs w:val="24"/>
        </w:rPr>
        <w:t>——结构构件承载力设计值，按现行国家标准《建筑抗震设计标准》GB/T 50011的规定采用；</w:t>
      </w:r>
      <w:r>
        <w:rPr>
          <w:rFonts w:hint="default" w:ascii="Times New Roman" w:hAnsi="Times New Roman" w:eastAsia="宋体" w:cs="Times New Roman"/>
          <w:color w:val="auto"/>
          <w:sz w:val="24"/>
          <w:szCs w:val="24"/>
          <w:lang w:val="en-US" w:eastAsia="zh-CN"/>
        </w:rPr>
        <w:t>其中，各类结构材料强度的设计指标可按现行《建筑抗震鉴定标准》</w:t>
      </w:r>
      <w:r>
        <w:rPr>
          <w:rFonts w:hint="default" w:ascii="Times New Roman" w:hAnsi="Times New Roman" w:eastAsia="宋体" w:cs="Times New Roman"/>
          <w:b w:val="0"/>
          <w:bCs w:val="0"/>
          <w:color w:val="auto"/>
          <w:sz w:val="24"/>
          <w:szCs w:val="24"/>
          <w:lang w:val="en-US" w:eastAsia="zh-CN"/>
        </w:rPr>
        <w:t>GB 50023取值</w:t>
      </w:r>
      <w:r>
        <w:rPr>
          <w:rFonts w:hint="default" w:ascii="Times New Roman" w:hAnsi="Times New Roman" w:eastAsia="宋体" w:cs="Times New Roman"/>
          <w:color w:val="auto"/>
          <w:sz w:val="24"/>
          <w:szCs w:val="24"/>
          <w:lang w:val="en-US" w:eastAsia="zh-CN"/>
        </w:rPr>
        <w:t>，材料强度等级按现场实际情况与原设计要求综合确定。</w:t>
      </w:r>
    </w:p>
    <w:p w14:paraId="4A1CC585">
      <w:pPr>
        <w:keepNext w:val="0"/>
        <w:keepLines w:val="0"/>
        <w:pageBreakBefore w:val="0"/>
        <w:widowControl w:val="0"/>
        <w:kinsoku/>
        <w:wordWrap/>
        <w:overflowPunct/>
        <w:topLinePunct w:val="0"/>
        <w:autoSpaceDE/>
        <w:autoSpaceDN/>
        <w:bidi w:val="0"/>
        <w:spacing w:line="360" w:lineRule="exact"/>
        <w:ind w:left="0" w:right="0" w:firstLine="600" w:firstLineChars="25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position w:val="-12"/>
          <w:sz w:val="24"/>
          <w:szCs w:val="24"/>
        </w:rPr>
        <w:object>
          <v:shape id="_x0000_i1036" o:spt="75" type="#_x0000_t75" style="height:17.9pt;width:17.9pt;" o:ole="t" filled="f" o:preferrelative="t" stroked="f" coordsize="21600,21600">
            <v:path/>
            <v:fill on="f" focussize="0,0"/>
            <v:stroke on="f" joinstyle="miter"/>
            <v:imagedata r:id="rId37" o:title=""/>
            <o:lock v:ext="edit" aspectratio="t"/>
            <w10:wrap type="none"/>
            <w10:anchorlock/>
          </v:shape>
          <o:OLEObject Type="Embed" ProgID="Equation.DSMT4" ShapeID="_x0000_i1036" DrawAspect="Content" ObjectID="_1468075736" r:id="rId36">
            <o:LockedField>false</o:LockedField>
          </o:OLEObject>
        </w:object>
      </w:r>
      <w:r>
        <w:rPr>
          <w:rFonts w:hint="default" w:ascii="Times New Roman" w:hAnsi="Times New Roman" w:eastAsia="宋体" w:cs="Times New Roman"/>
          <w:color w:val="auto"/>
          <w:sz w:val="24"/>
          <w:szCs w:val="24"/>
        </w:rPr>
        <w:t>——抗震鉴定的承载力调整系数，</w:t>
      </w:r>
      <w:r>
        <w:rPr>
          <w:rFonts w:hint="default" w:ascii="Times New Roman" w:hAnsi="Times New Roman" w:eastAsia="宋体" w:cs="Times New Roman"/>
          <w:color w:val="auto"/>
          <w:sz w:val="24"/>
          <w:szCs w:val="24"/>
          <w:lang w:val="en-US" w:eastAsia="zh-CN"/>
        </w:rPr>
        <w:t>除本规程各章节另有规定外，一般情况下，可按现行规范《建筑与市政抗震通用规范》GB 55002</w:t>
      </w:r>
      <w:r>
        <w:rPr>
          <w:rFonts w:hint="default" w:ascii="Times New Roman" w:hAnsi="Times New Roman" w:eastAsia="宋体" w:cs="Times New Roman"/>
          <w:color w:val="auto"/>
          <w:sz w:val="24"/>
          <w:szCs w:val="24"/>
        </w:rPr>
        <w:t>承载力抗震调整系数值采用</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A类建筑抗震鉴定时，钢筋混凝土构件应按现行规范《建筑与市政抗震通用规范》GB 55002承载力抗震调整系数值的0.85倍采用。</w:t>
      </w:r>
    </w:p>
    <w:p w14:paraId="6A43B27D">
      <w:pPr>
        <w:keepNext w:val="0"/>
        <w:keepLines w:val="0"/>
        <w:pageBreakBefore w:val="0"/>
        <w:widowControl w:val="0"/>
        <w:kinsoku/>
        <w:wordWrap/>
        <w:overflowPunct/>
        <w:topLinePunct w:val="0"/>
        <w:autoSpaceDE/>
        <w:autoSpaceDN/>
        <w:bidi w:val="0"/>
        <w:spacing w:line="360" w:lineRule="exact"/>
        <w:ind w:left="0" w:right="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 xml:space="preserve">4.3.7 </w:t>
      </w:r>
      <w:r>
        <w:rPr>
          <w:rFonts w:hint="default" w:ascii="Times New Roman" w:hAnsi="Times New Roman" w:eastAsia="宋体" w:cs="Times New Roman"/>
          <w:b w:val="0"/>
          <w:bCs w:val="0"/>
          <w:color w:val="auto"/>
          <w:sz w:val="24"/>
          <w:szCs w:val="24"/>
          <w:lang w:val="en-US" w:eastAsia="zh-CN"/>
        </w:rPr>
        <w:t>地震作用效应和重力荷载效应的基本组合值，应符合下式规定：</w:t>
      </w:r>
    </w:p>
    <w:p w14:paraId="5776EF69">
      <w:pPr>
        <w:keepNext w:val="0"/>
        <w:keepLines w:val="0"/>
        <w:pageBreakBefore w:val="0"/>
        <w:widowControl w:val="0"/>
        <w:kinsoku/>
        <w:wordWrap/>
        <w:overflowPunct/>
        <w:topLinePunct w:val="0"/>
        <w:autoSpaceDE/>
        <w:autoSpaceDN/>
        <w:bidi w:val="0"/>
        <w:adjustRightInd w:val="0"/>
        <w:spacing w:line="360" w:lineRule="exact"/>
        <w:ind w:left="0" w:right="0" w:firstLine="4080" w:firstLineChars="1700"/>
        <w:textAlignment w:val="auto"/>
        <w:rPr>
          <w:rFonts w:hint="default" w:ascii="Times New Roman" w:hAnsi="Times New Roman" w:eastAsia="宋体" w:cs="Times New Roman"/>
          <w:color w:val="auto"/>
          <w:sz w:val="24"/>
          <w:szCs w:val="24"/>
          <w:lang w:val="en-US" w:eastAsia="zh-CN"/>
        </w:rPr>
      </w:pPr>
      <m:oMath>
        <m:r>
          <m:rPr>
            <m:nor/>
          </m:rPr>
          <w:rPr>
            <w:rFonts w:hint="default" w:ascii="Times New Roman" w:hAnsi="Times New Roman" w:eastAsia="宋体" w:cs="Times New Roman"/>
            <w:i/>
            <w:color w:val="auto"/>
            <w:kern w:val="2"/>
            <w:sz w:val="24"/>
            <w:szCs w:val="24"/>
            <w:lang w:val="en-US" w:eastAsia="zh-CN" w:bidi="ar-SA"/>
          </w:rPr>
          <m:t>S</m:t>
        </m:r>
        <m:r>
          <m:rPr>
            <m:nor/>
            <m:sty m:val="p"/>
          </m:rPr>
          <w:rPr>
            <w:rFonts w:hint="default" w:ascii="Times New Roman" w:hAnsi="Times New Roman" w:eastAsia="宋体" w:cs="Times New Roman"/>
            <w:b w:val="0"/>
            <w:i w:val="0"/>
            <w:color w:val="auto"/>
            <w:kern w:val="2"/>
            <w:sz w:val="24"/>
            <w:szCs w:val="24"/>
            <w:lang w:val="en-US" w:eastAsia="zh-CN" w:bidi="ar-SA"/>
          </w:rPr>
          <m:t>=</m:t>
        </m:r>
        <m:sSub>
          <m:sSubPr>
            <m:ctrlPr>
              <w:rPr>
                <w:rFonts w:hint="default" w:ascii="Cambria Math" w:hAnsi="Cambria Math" w:eastAsia="宋体" w:cs="Times New Roman"/>
                <w:b w:val="0"/>
                <w:bCs w:val="0"/>
                <w:color w:val="auto"/>
                <w:kern w:val="2"/>
                <w:sz w:val="24"/>
                <w:szCs w:val="24"/>
                <w:lang w:val="en-US" w:eastAsia="zh-CN" w:bidi="ar-SA"/>
              </w:rPr>
            </m:ctrlPr>
          </m:sSubPr>
          <m:e>
            <m:r>
              <m:rPr>
                <m:nor/>
              </m:rPr>
              <w:rPr>
                <w:rFonts w:hint="default" w:ascii="Times New Roman" w:hAnsi="Times New Roman" w:eastAsia="宋体" w:cs="Times New Roman"/>
                <w:i/>
                <w:color w:val="auto"/>
                <w:kern w:val="2"/>
                <w:sz w:val="24"/>
                <w:szCs w:val="24"/>
                <w:lang w:val="en-US" w:eastAsia="zh-CN" w:bidi="ar-SA"/>
              </w:rPr>
              <m:t>γ</m:t>
            </m:r>
            <m:ctrlPr>
              <w:rPr>
                <w:rFonts w:hint="default" w:ascii="Cambria Math" w:hAnsi="Cambria Math" w:eastAsia="宋体" w:cs="Times New Roman"/>
                <w:b w:val="0"/>
                <w:bCs w:val="0"/>
                <w:color w:val="auto"/>
                <w:kern w:val="2"/>
                <w:sz w:val="24"/>
                <w:szCs w:val="24"/>
                <w:lang w:val="en-US" w:eastAsia="zh-CN" w:bidi="ar-SA"/>
              </w:rPr>
            </m:ctrlPr>
          </m:e>
          <m:sub>
            <m:r>
              <m:rPr>
                <m:nor/>
                <m:sty m:val="p"/>
              </m:rPr>
              <w:rPr>
                <w:rFonts w:hint="default" w:ascii="Times New Roman" w:hAnsi="Times New Roman" w:eastAsia="宋体" w:cs="Times New Roman"/>
                <w:b w:val="0"/>
                <w:i w:val="0"/>
                <w:color w:val="auto"/>
                <w:kern w:val="2"/>
                <w:sz w:val="24"/>
                <w:szCs w:val="24"/>
                <w:lang w:val="en-US" w:eastAsia="zh-CN" w:bidi="ar-SA"/>
              </w:rPr>
              <m:t>G</m:t>
            </m:r>
            <m:ctrlPr>
              <w:rPr>
                <w:rFonts w:hint="default" w:ascii="Cambria Math" w:hAnsi="Cambria Math" w:eastAsia="宋体" w:cs="Times New Roman"/>
                <w:b w:val="0"/>
                <w:bCs w:val="0"/>
                <w:color w:val="auto"/>
                <w:kern w:val="2"/>
                <w:sz w:val="24"/>
                <w:szCs w:val="24"/>
                <w:lang w:val="en-US" w:eastAsia="zh-CN" w:bidi="ar-SA"/>
              </w:rPr>
            </m:ctrlPr>
          </m:sub>
        </m:sSub>
        <m:sSub>
          <m:sSubPr>
            <m:ctrlPr>
              <w:rPr>
                <w:rFonts w:hint="default" w:ascii="Cambria Math" w:hAnsi="Cambria Math" w:eastAsia="宋体" w:cs="Times New Roman"/>
                <w:b w:val="0"/>
                <w:bCs w:val="0"/>
                <w:color w:val="auto"/>
                <w:kern w:val="2"/>
                <w:sz w:val="24"/>
                <w:szCs w:val="24"/>
                <w:lang w:val="en-US" w:eastAsia="zh-CN" w:bidi="ar-SA"/>
              </w:rPr>
            </m:ctrlPr>
          </m:sSubPr>
          <m:e>
            <m:r>
              <m:rPr>
                <m:nor/>
              </m:rPr>
              <w:rPr>
                <w:rFonts w:hint="default" w:ascii="Times New Roman" w:hAnsi="Times New Roman" w:eastAsia="宋体" w:cs="Times New Roman"/>
                <w:i/>
                <w:color w:val="auto"/>
                <w:kern w:val="2"/>
                <w:sz w:val="24"/>
                <w:szCs w:val="24"/>
                <w:lang w:val="en-US" w:eastAsia="zh-CN" w:bidi="ar-SA"/>
              </w:rPr>
              <m:t>S</m:t>
            </m:r>
            <m:ctrlPr>
              <w:rPr>
                <w:rFonts w:hint="default" w:ascii="Cambria Math" w:hAnsi="Cambria Math" w:eastAsia="宋体" w:cs="Times New Roman"/>
                <w:b w:val="0"/>
                <w:bCs w:val="0"/>
                <w:color w:val="auto"/>
                <w:kern w:val="2"/>
                <w:sz w:val="24"/>
                <w:szCs w:val="24"/>
                <w:lang w:val="en-US" w:eastAsia="zh-CN" w:bidi="ar-SA"/>
              </w:rPr>
            </m:ctrlPr>
          </m:e>
          <m:sub>
            <m:r>
              <m:rPr>
                <m:nor/>
                <m:sty m:val="p"/>
              </m:rPr>
              <w:rPr>
                <w:rFonts w:hint="default" w:ascii="Times New Roman" w:hAnsi="Times New Roman" w:eastAsia="宋体" w:cs="Times New Roman"/>
                <w:b w:val="0"/>
                <w:i w:val="0"/>
                <w:color w:val="auto"/>
                <w:kern w:val="2"/>
                <w:sz w:val="24"/>
                <w:szCs w:val="24"/>
                <w:lang w:val="en-US" w:eastAsia="zh-CN" w:bidi="ar-SA"/>
              </w:rPr>
              <m:t>GE</m:t>
            </m:r>
            <m:ctrlPr>
              <w:rPr>
                <w:rFonts w:hint="default" w:ascii="Cambria Math" w:hAnsi="Cambria Math" w:eastAsia="宋体" w:cs="Times New Roman"/>
                <w:b w:val="0"/>
                <w:bCs w:val="0"/>
                <w:color w:val="auto"/>
                <w:kern w:val="2"/>
                <w:sz w:val="24"/>
                <w:szCs w:val="24"/>
                <w:lang w:val="en-US" w:eastAsia="zh-CN" w:bidi="ar-SA"/>
              </w:rPr>
            </m:ctrlPr>
          </m:sub>
        </m:sSub>
        <m:r>
          <m:rPr>
            <m:nor/>
            <m:sty m:val="p"/>
          </m:rPr>
          <w:rPr>
            <w:rFonts w:hint="default" w:ascii="Times New Roman" w:hAnsi="Times New Roman" w:eastAsia="宋体" w:cs="Times New Roman"/>
            <w:b w:val="0"/>
            <w:i w:val="0"/>
            <w:color w:val="auto"/>
            <w:kern w:val="2"/>
            <w:sz w:val="24"/>
            <w:szCs w:val="24"/>
            <w:lang w:val="en-US" w:eastAsia="zh-CN" w:bidi="ar-SA"/>
          </w:rPr>
          <m:t>+</m:t>
        </m:r>
        <m:sSub>
          <m:sSubPr>
            <m:ctrlPr>
              <w:rPr>
                <w:rFonts w:hint="default" w:ascii="Cambria Math" w:hAnsi="Cambria Math" w:eastAsia="宋体" w:cs="Times New Roman"/>
                <w:b w:val="0"/>
                <w:bCs w:val="0"/>
                <w:color w:val="auto"/>
                <w:kern w:val="2"/>
                <w:sz w:val="24"/>
                <w:szCs w:val="24"/>
                <w:lang w:val="en-US" w:eastAsia="zh-CN" w:bidi="ar-SA"/>
              </w:rPr>
            </m:ctrlPr>
          </m:sSubPr>
          <m:e>
            <m:r>
              <m:rPr>
                <m:nor/>
              </m:rPr>
              <w:rPr>
                <w:rFonts w:hint="default" w:ascii="Times New Roman" w:hAnsi="Times New Roman" w:eastAsia="宋体" w:cs="Times New Roman"/>
                <w:i/>
                <w:color w:val="auto"/>
                <w:kern w:val="2"/>
                <w:sz w:val="24"/>
                <w:szCs w:val="24"/>
                <w:lang w:val="en-US" w:eastAsia="zh-CN" w:bidi="ar-SA"/>
              </w:rPr>
              <m:t>γ</m:t>
            </m:r>
            <m:ctrlPr>
              <w:rPr>
                <w:rFonts w:hint="default" w:ascii="Cambria Math" w:hAnsi="Cambria Math" w:eastAsia="宋体" w:cs="Times New Roman"/>
                <w:b w:val="0"/>
                <w:bCs w:val="0"/>
                <w:color w:val="auto"/>
                <w:kern w:val="2"/>
                <w:sz w:val="24"/>
                <w:szCs w:val="24"/>
                <w:lang w:val="en-US" w:eastAsia="zh-CN" w:bidi="ar-SA"/>
              </w:rPr>
            </m:ctrlPr>
          </m:e>
          <m:sub>
            <m:r>
              <m:rPr>
                <m:nor/>
                <m:sty m:val="p"/>
              </m:rPr>
              <w:rPr>
                <w:rFonts w:hint="default" w:ascii="Times New Roman" w:hAnsi="Times New Roman" w:eastAsia="宋体" w:cs="Times New Roman"/>
                <w:b w:val="0"/>
                <w:i w:val="0"/>
                <w:color w:val="auto"/>
                <w:kern w:val="2"/>
                <w:sz w:val="24"/>
                <w:szCs w:val="24"/>
                <w:lang w:val="en-US" w:eastAsia="zh-CN" w:bidi="ar-SA"/>
              </w:rPr>
              <m:t>Eh</m:t>
            </m:r>
            <m:ctrlPr>
              <w:rPr>
                <w:rFonts w:hint="default" w:ascii="Cambria Math" w:hAnsi="Cambria Math" w:eastAsia="宋体" w:cs="Times New Roman"/>
                <w:b w:val="0"/>
                <w:bCs w:val="0"/>
                <w:color w:val="auto"/>
                <w:kern w:val="2"/>
                <w:sz w:val="24"/>
                <w:szCs w:val="24"/>
                <w:lang w:val="en-US" w:eastAsia="zh-CN" w:bidi="ar-SA"/>
              </w:rPr>
            </m:ctrlPr>
          </m:sub>
        </m:sSub>
        <m:sSub>
          <m:sSubPr>
            <m:ctrlPr>
              <w:rPr>
                <w:rFonts w:hint="default" w:ascii="Cambria Math" w:hAnsi="Cambria Math" w:eastAsia="宋体" w:cs="Times New Roman"/>
                <w:b w:val="0"/>
                <w:bCs w:val="0"/>
                <w:color w:val="auto"/>
                <w:kern w:val="2"/>
                <w:sz w:val="24"/>
                <w:szCs w:val="24"/>
                <w:lang w:val="en-US" w:eastAsia="zh-CN" w:bidi="ar-SA"/>
              </w:rPr>
            </m:ctrlPr>
          </m:sSubPr>
          <m:e>
            <m:r>
              <m:rPr>
                <m:nor/>
              </m:rPr>
              <w:rPr>
                <w:rFonts w:hint="default" w:ascii="Times New Roman" w:hAnsi="Times New Roman" w:eastAsia="宋体" w:cs="Times New Roman"/>
                <w:i/>
                <w:color w:val="auto"/>
                <w:kern w:val="2"/>
                <w:sz w:val="24"/>
                <w:szCs w:val="24"/>
                <w:lang w:val="en-US" w:eastAsia="zh-CN" w:bidi="ar-SA"/>
              </w:rPr>
              <m:t>S</m:t>
            </m:r>
            <m:ctrlPr>
              <w:rPr>
                <w:rFonts w:hint="default" w:ascii="Cambria Math" w:hAnsi="Cambria Math" w:eastAsia="宋体" w:cs="Times New Roman"/>
                <w:b w:val="0"/>
                <w:bCs w:val="0"/>
                <w:color w:val="auto"/>
                <w:kern w:val="2"/>
                <w:sz w:val="24"/>
                <w:szCs w:val="24"/>
                <w:lang w:val="en-US" w:eastAsia="zh-CN" w:bidi="ar-SA"/>
              </w:rPr>
            </m:ctrlPr>
          </m:e>
          <m:sub>
            <m:r>
              <m:rPr>
                <m:nor/>
                <m:sty m:val="p"/>
              </m:rPr>
              <w:rPr>
                <w:rFonts w:hint="default" w:ascii="Times New Roman" w:hAnsi="Times New Roman" w:eastAsia="宋体" w:cs="Times New Roman"/>
                <w:b w:val="0"/>
                <w:i w:val="0"/>
                <w:color w:val="auto"/>
                <w:kern w:val="2"/>
                <w:sz w:val="24"/>
                <w:szCs w:val="24"/>
                <w:lang w:val="en-US" w:eastAsia="zh-CN" w:bidi="ar-SA"/>
              </w:rPr>
              <m:t>Ehk</m:t>
            </m:r>
            <m:ctrlPr>
              <w:rPr>
                <w:rFonts w:hint="default" w:ascii="Cambria Math" w:hAnsi="Cambria Math" w:eastAsia="宋体" w:cs="Times New Roman"/>
                <w:b w:val="0"/>
                <w:bCs w:val="0"/>
                <w:color w:val="auto"/>
                <w:kern w:val="2"/>
                <w:sz w:val="24"/>
                <w:szCs w:val="24"/>
                <w:lang w:val="en-US" w:eastAsia="zh-CN" w:bidi="ar-SA"/>
              </w:rPr>
            </m:ctrlPr>
          </m:sub>
        </m:sSub>
      </m:oMath>
      <w:r>
        <w:rPr>
          <w:rFonts w:hint="default" w:ascii="Times New Roman" w:hAnsi="Times New Roman" w:eastAsia="宋体" w:cs="Times New Roman"/>
          <w:b w:val="0"/>
          <w:bCs w:val="0"/>
          <w:i w:val="0"/>
          <w:color w:val="auto"/>
          <w:kern w:val="2"/>
          <w:sz w:val="24"/>
          <w:szCs w:val="24"/>
          <w:lang w:val="en-US" w:eastAsia="zh-CN" w:bidi="ar-SA"/>
        </w:rPr>
        <w:t>+</w:t>
      </w:r>
      <m:oMath>
        <m:sSub>
          <m:sSubPr>
            <m:ctrlPr>
              <w:rPr>
                <w:rFonts w:hint="default" w:ascii="Cambria Math" w:hAnsi="Cambria Math" w:eastAsia="宋体" w:cs="Times New Roman"/>
                <w:b w:val="0"/>
                <w:bCs w:val="0"/>
                <w:color w:val="auto"/>
                <w:kern w:val="2"/>
                <w:sz w:val="24"/>
                <w:szCs w:val="24"/>
                <w:lang w:val="en-US" w:eastAsia="zh-CN" w:bidi="ar-SA"/>
              </w:rPr>
            </m:ctrlPr>
          </m:sSubPr>
          <m:e>
            <m:r>
              <m:rPr>
                <m:nor/>
              </m:rPr>
              <w:rPr>
                <w:rFonts w:hint="default" w:ascii="Times New Roman" w:hAnsi="Times New Roman" w:eastAsia="宋体" w:cs="Times New Roman"/>
                <w:i/>
                <w:color w:val="auto"/>
                <w:kern w:val="2"/>
                <w:sz w:val="24"/>
                <w:szCs w:val="24"/>
                <w:lang w:val="en-US" w:eastAsia="zh-CN" w:bidi="ar-SA"/>
              </w:rPr>
              <m:t>γ</m:t>
            </m:r>
            <m:ctrlPr>
              <w:rPr>
                <w:rFonts w:hint="default" w:ascii="Cambria Math" w:hAnsi="Cambria Math" w:eastAsia="宋体" w:cs="Times New Roman"/>
                <w:b w:val="0"/>
                <w:bCs w:val="0"/>
                <w:color w:val="auto"/>
                <w:kern w:val="2"/>
                <w:sz w:val="24"/>
                <w:szCs w:val="24"/>
                <w:lang w:val="en-US" w:eastAsia="zh-CN" w:bidi="ar-SA"/>
              </w:rPr>
            </m:ctrlPr>
          </m:e>
          <m:sub>
            <m:r>
              <m:rPr>
                <m:nor/>
                <m:sty m:val="p"/>
              </m:rPr>
              <w:rPr>
                <w:rFonts w:hint="default" w:ascii="Times New Roman" w:hAnsi="Times New Roman" w:eastAsia="宋体" w:cs="Times New Roman"/>
                <w:b w:val="0"/>
                <w:i w:val="0"/>
                <w:color w:val="auto"/>
                <w:kern w:val="2"/>
                <w:sz w:val="24"/>
                <w:szCs w:val="24"/>
                <w:lang w:val="en-US" w:eastAsia="zh-CN" w:bidi="ar-SA"/>
              </w:rPr>
              <m:t>Ev</m:t>
            </m:r>
            <m:ctrlPr>
              <w:rPr>
                <w:rFonts w:hint="default" w:ascii="Cambria Math" w:hAnsi="Cambria Math" w:eastAsia="宋体" w:cs="Times New Roman"/>
                <w:b w:val="0"/>
                <w:bCs w:val="0"/>
                <w:color w:val="auto"/>
                <w:kern w:val="2"/>
                <w:sz w:val="24"/>
                <w:szCs w:val="24"/>
                <w:lang w:val="en-US" w:eastAsia="zh-CN" w:bidi="ar-SA"/>
              </w:rPr>
            </m:ctrlPr>
          </m:sub>
        </m:sSub>
        <m:sSub>
          <m:sSubPr>
            <m:ctrlPr>
              <w:rPr>
                <w:rFonts w:hint="default" w:ascii="Cambria Math" w:hAnsi="Cambria Math" w:eastAsia="宋体" w:cs="Times New Roman"/>
                <w:b w:val="0"/>
                <w:bCs w:val="0"/>
                <w:color w:val="auto"/>
                <w:kern w:val="2"/>
                <w:sz w:val="24"/>
                <w:szCs w:val="24"/>
                <w:lang w:val="en-US" w:eastAsia="zh-CN" w:bidi="ar-SA"/>
              </w:rPr>
            </m:ctrlPr>
          </m:sSubPr>
          <m:e>
            <m:r>
              <m:rPr>
                <m:nor/>
              </m:rPr>
              <w:rPr>
                <w:rFonts w:hint="default" w:ascii="Times New Roman" w:hAnsi="Times New Roman" w:eastAsia="宋体" w:cs="Times New Roman"/>
                <w:i/>
                <w:color w:val="auto"/>
                <w:kern w:val="2"/>
                <w:sz w:val="24"/>
                <w:szCs w:val="24"/>
                <w:lang w:val="en-US" w:eastAsia="zh-CN" w:bidi="ar-SA"/>
              </w:rPr>
              <m:t>S</m:t>
            </m:r>
            <m:ctrlPr>
              <w:rPr>
                <w:rFonts w:hint="default" w:ascii="Cambria Math" w:hAnsi="Cambria Math" w:eastAsia="宋体" w:cs="Times New Roman"/>
                <w:b w:val="0"/>
                <w:bCs w:val="0"/>
                <w:color w:val="auto"/>
                <w:kern w:val="2"/>
                <w:sz w:val="24"/>
                <w:szCs w:val="24"/>
                <w:lang w:val="en-US" w:eastAsia="zh-CN" w:bidi="ar-SA"/>
              </w:rPr>
            </m:ctrlPr>
          </m:e>
          <m:sub>
            <m:r>
              <m:rPr>
                <m:nor/>
                <m:sty m:val="p"/>
              </m:rPr>
              <w:rPr>
                <w:rFonts w:hint="default" w:ascii="Times New Roman" w:hAnsi="Times New Roman" w:eastAsia="宋体" w:cs="Times New Roman"/>
                <w:b w:val="0"/>
                <w:i w:val="0"/>
                <w:color w:val="auto"/>
                <w:kern w:val="2"/>
                <w:sz w:val="24"/>
                <w:szCs w:val="24"/>
                <w:lang w:val="en-US" w:eastAsia="zh-CN" w:bidi="ar-SA"/>
              </w:rPr>
              <m:t>Evk</m:t>
            </m:r>
            <m:ctrlPr>
              <w:rPr>
                <w:rFonts w:hint="default" w:ascii="Cambria Math" w:hAnsi="Cambria Math" w:eastAsia="宋体" w:cs="Times New Roman"/>
                <w:b w:val="0"/>
                <w:bCs w:val="0"/>
                <w:color w:val="auto"/>
                <w:kern w:val="2"/>
                <w:sz w:val="24"/>
                <w:szCs w:val="24"/>
                <w:lang w:val="en-US" w:eastAsia="zh-CN" w:bidi="ar-SA"/>
              </w:rPr>
            </m:ctrlPr>
          </m:sub>
        </m:sSub>
      </m:oMath>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z w:val="24"/>
          <w:szCs w:val="24"/>
          <w:lang w:val="en-US" w:eastAsia="zh-CN"/>
        </w:rPr>
        <w:t xml:space="preserve">      </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4.3.7</w:t>
      </w:r>
      <w:r>
        <w:rPr>
          <w:rFonts w:hint="default" w:ascii="Times New Roman" w:hAnsi="Times New Roman" w:eastAsia="宋体" w:cs="Times New Roman"/>
          <w:color w:val="auto"/>
          <w:sz w:val="24"/>
          <w:szCs w:val="24"/>
        </w:rPr>
        <w:t>)</w:t>
      </w:r>
    </w:p>
    <w:p w14:paraId="0A0B977C">
      <w:pPr>
        <w:keepNext w:val="0"/>
        <w:keepLines w:val="0"/>
        <w:pageBreakBefore w:val="0"/>
        <w:widowControl w:val="0"/>
        <w:kinsoku/>
        <w:wordWrap/>
        <w:overflowPunct/>
        <w:topLinePunct w:val="0"/>
        <w:autoSpaceDE/>
        <w:autoSpaceDN/>
        <w:bidi w:val="0"/>
        <w:spacing w:line="360" w:lineRule="exact"/>
        <w:ind w:left="0" w:right="0" w:firstLine="480" w:firstLineChars="200"/>
        <w:textAlignment w:val="auto"/>
        <w:rPr>
          <w:rFonts w:hint="default" w:ascii="Times New Roman" w:hAnsi="Times New Roman" w:eastAsia="宋体" w:cs="Times New Roman"/>
          <w:b w:val="0"/>
          <w:bCs w:val="0"/>
          <w:i w:val="0"/>
          <w:color w:val="auto"/>
          <w:kern w:val="2"/>
          <w:sz w:val="24"/>
          <w:szCs w:val="24"/>
          <w:lang w:val="en-US" w:eastAsia="zh-CN" w:bidi="ar-SA"/>
        </w:rPr>
      </w:pPr>
      <w:r>
        <w:rPr>
          <w:rFonts w:hint="default" w:ascii="Times New Roman" w:hAnsi="Times New Roman" w:eastAsia="宋体" w:cs="Times New Roman"/>
          <w:b w:val="0"/>
          <w:bCs w:val="0"/>
          <w:i w:val="0"/>
          <w:color w:val="auto"/>
          <w:kern w:val="2"/>
          <w:sz w:val="24"/>
          <w:szCs w:val="24"/>
          <w:lang w:val="en-US" w:eastAsia="zh-CN" w:bidi="ar-SA"/>
        </w:rPr>
        <w:t xml:space="preserve">式中 </w:t>
      </w:r>
      <w:r>
        <w:rPr>
          <w:rFonts w:hint="default" w:ascii="Times New Roman" w:hAnsi="Times New Roman" w:eastAsia="宋体" w:cs="Times New Roman"/>
          <w:b/>
          <w:bCs/>
          <w:color w:val="auto"/>
          <w:sz w:val="24"/>
          <w:szCs w:val="24"/>
          <w:lang w:val="en-US" w:eastAsia="zh-CN"/>
        </w:rPr>
        <w:t xml:space="preserve"> </w:t>
      </w:r>
      <m:oMath>
        <m:sSub>
          <m:sSubPr>
            <m:ctrlPr>
              <w:rPr>
                <w:rFonts w:hint="default" w:ascii="Cambria Math" w:hAnsi="Cambria Math" w:eastAsia="宋体" w:cs="Times New Roman"/>
                <w:b w:val="0"/>
                <w:bCs w:val="0"/>
                <w:color w:val="auto"/>
                <w:kern w:val="2"/>
                <w:sz w:val="24"/>
                <w:szCs w:val="24"/>
                <w:lang w:val="en-US" w:eastAsia="zh-CN" w:bidi="ar-SA"/>
              </w:rPr>
            </m:ctrlPr>
          </m:sSubPr>
          <m:e>
            <m:r>
              <m:rPr>
                <m:nor/>
              </m:rPr>
              <w:rPr>
                <w:rFonts w:hint="default" w:ascii="Times New Roman" w:hAnsi="Times New Roman" w:eastAsia="宋体" w:cs="Times New Roman"/>
                <w:i/>
                <w:color w:val="auto"/>
                <w:kern w:val="2"/>
                <w:sz w:val="24"/>
                <w:szCs w:val="24"/>
                <w:lang w:val="en-US" w:eastAsia="zh-CN" w:bidi="ar-SA"/>
              </w:rPr>
              <m:t>γ</m:t>
            </m:r>
            <m:ctrlPr>
              <w:rPr>
                <w:rFonts w:hint="default" w:ascii="Cambria Math" w:hAnsi="Cambria Math" w:eastAsia="宋体" w:cs="Times New Roman"/>
                <w:b w:val="0"/>
                <w:bCs w:val="0"/>
                <w:color w:val="auto"/>
                <w:kern w:val="2"/>
                <w:sz w:val="24"/>
                <w:szCs w:val="24"/>
                <w:lang w:val="en-US" w:eastAsia="zh-CN" w:bidi="ar-SA"/>
              </w:rPr>
            </m:ctrlPr>
          </m:e>
          <m:sub>
            <m:r>
              <m:rPr>
                <m:nor/>
                <m:sty m:val="p"/>
              </m:rPr>
              <w:rPr>
                <w:rFonts w:hint="default" w:ascii="Times New Roman" w:hAnsi="Times New Roman" w:eastAsia="宋体" w:cs="Times New Roman"/>
                <w:b w:val="0"/>
                <w:i w:val="0"/>
                <w:color w:val="auto"/>
                <w:kern w:val="2"/>
                <w:sz w:val="24"/>
                <w:szCs w:val="24"/>
                <w:lang w:val="en-US" w:eastAsia="zh-CN" w:bidi="ar-SA"/>
              </w:rPr>
              <m:t>G</m:t>
            </m:r>
            <m:ctrlPr>
              <w:rPr>
                <w:rFonts w:hint="default" w:ascii="Cambria Math" w:hAnsi="Cambria Math" w:eastAsia="宋体" w:cs="Times New Roman"/>
                <w:b w:val="0"/>
                <w:bCs w:val="0"/>
                <w:color w:val="auto"/>
                <w:kern w:val="2"/>
                <w:sz w:val="24"/>
                <w:szCs w:val="24"/>
                <w:lang w:val="en-US" w:eastAsia="zh-CN" w:bidi="ar-SA"/>
              </w:rPr>
            </m:ctrlPr>
          </m:sub>
        </m:sSub>
      </m:oMath>
      <w:r>
        <w:rPr>
          <w:rFonts w:hint="default" w:ascii="Times New Roman" w:hAnsi="Times New Roman" w:eastAsia="宋体" w:cs="Times New Roman"/>
          <w:b w:val="0"/>
          <w:bCs w:val="0"/>
          <w:i w:val="0"/>
          <w:color w:val="auto"/>
          <w:kern w:val="2"/>
          <w:sz w:val="24"/>
          <w:szCs w:val="24"/>
          <w:lang w:val="en-US" w:eastAsia="zh-CN" w:bidi="ar-SA"/>
        </w:rPr>
        <w:t>——重力荷载分项系数，后续工作年限50年的建筑取1.3，其他建筑可取1.2，当重力荷载效应对构件承载能力有利时，不应大于1.0；</w:t>
      </w:r>
    </w:p>
    <w:p w14:paraId="443449B7">
      <w:pPr>
        <w:keepNext w:val="0"/>
        <w:keepLines w:val="0"/>
        <w:pageBreakBefore w:val="0"/>
        <w:widowControl w:val="0"/>
        <w:kinsoku/>
        <w:wordWrap/>
        <w:overflowPunct/>
        <w:topLinePunct w:val="0"/>
        <w:autoSpaceDE/>
        <w:autoSpaceDN/>
        <w:bidi w:val="0"/>
        <w:spacing w:line="360" w:lineRule="exact"/>
        <w:ind w:right="0" w:firstLine="1200" w:firstLineChars="500"/>
        <w:textAlignment w:val="auto"/>
        <w:rPr>
          <w:rFonts w:hint="default" w:ascii="Times New Roman" w:hAnsi="Times New Roman" w:eastAsia="宋体" w:cs="Times New Roman"/>
          <w:b w:val="0"/>
          <w:bCs w:val="0"/>
          <w:i w:val="0"/>
          <w:color w:val="auto"/>
          <w:kern w:val="2"/>
          <w:sz w:val="24"/>
          <w:szCs w:val="24"/>
          <w:lang w:val="en-US" w:eastAsia="zh-CN" w:bidi="ar-SA"/>
        </w:rPr>
      </w:pPr>
      <m:oMath>
        <m:sSub>
          <m:sSubPr>
            <m:ctrlPr>
              <w:rPr>
                <w:rFonts w:hint="default" w:ascii="Cambria Math" w:hAnsi="Cambria Math" w:eastAsia="宋体" w:cs="Times New Roman"/>
                <w:b w:val="0"/>
                <w:bCs w:val="0"/>
                <w:color w:val="auto"/>
                <w:kern w:val="2"/>
                <w:sz w:val="24"/>
                <w:szCs w:val="24"/>
                <w:lang w:val="en-US" w:eastAsia="zh-CN" w:bidi="ar-SA"/>
              </w:rPr>
            </m:ctrlPr>
          </m:sSubPr>
          <m:e>
            <m:r>
              <m:rPr>
                <m:nor/>
              </m:rPr>
              <w:rPr>
                <w:rFonts w:hint="default" w:ascii="Times New Roman" w:hAnsi="Times New Roman" w:eastAsia="宋体" w:cs="Times New Roman"/>
                <w:i/>
                <w:color w:val="auto"/>
                <w:kern w:val="2"/>
                <w:sz w:val="24"/>
                <w:szCs w:val="24"/>
                <w:lang w:val="en-US" w:eastAsia="zh-CN" w:bidi="ar-SA"/>
              </w:rPr>
              <m:t>S</m:t>
            </m:r>
            <m:ctrlPr>
              <w:rPr>
                <w:rFonts w:hint="default" w:ascii="Cambria Math" w:hAnsi="Cambria Math" w:eastAsia="宋体" w:cs="Times New Roman"/>
                <w:b w:val="0"/>
                <w:bCs w:val="0"/>
                <w:color w:val="auto"/>
                <w:kern w:val="2"/>
                <w:sz w:val="24"/>
                <w:szCs w:val="24"/>
                <w:lang w:val="en-US" w:eastAsia="zh-CN" w:bidi="ar-SA"/>
              </w:rPr>
            </m:ctrlPr>
          </m:e>
          <m:sub>
            <m:r>
              <m:rPr>
                <m:nor/>
                <m:sty m:val="p"/>
              </m:rPr>
              <w:rPr>
                <w:rFonts w:hint="default" w:ascii="Times New Roman" w:hAnsi="Times New Roman" w:eastAsia="宋体" w:cs="Times New Roman"/>
                <w:b w:val="0"/>
                <w:i w:val="0"/>
                <w:color w:val="auto"/>
                <w:kern w:val="2"/>
                <w:sz w:val="24"/>
                <w:szCs w:val="24"/>
                <w:lang w:val="en-US" w:eastAsia="zh-CN" w:bidi="ar-SA"/>
              </w:rPr>
              <m:t>GE</m:t>
            </m:r>
            <m:ctrlPr>
              <w:rPr>
                <w:rFonts w:hint="default" w:ascii="Cambria Math" w:hAnsi="Cambria Math" w:eastAsia="宋体" w:cs="Times New Roman"/>
                <w:b w:val="0"/>
                <w:bCs w:val="0"/>
                <w:color w:val="auto"/>
                <w:kern w:val="2"/>
                <w:sz w:val="24"/>
                <w:szCs w:val="24"/>
                <w:lang w:val="en-US" w:eastAsia="zh-CN" w:bidi="ar-SA"/>
              </w:rPr>
            </m:ctrlPr>
          </m:sub>
        </m:sSub>
      </m:oMath>
      <w:r>
        <w:rPr>
          <w:rFonts w:hint="default" w:ascii="Times New Roman" w:hAnsi="Times New Roman" w:eastAsia="宋体" w:cs="Times New Roman"/>
          <w:b w:val="0"/>
          <w:bCs w:val="0"/>
          <w:i w:val="0"/>
          <w:color w:val="auto"/>
          <w:kern w:val="2"/>
          <w:sz w:val="24"/>
          <w:szCs w:val="24"/>
          <w:lang w:val="en-US" w:eastAsia="zh-CN" w:bidi="ar-SA"/>
        </w:rPr>
        <w:t>——重力荷载代表值的效应，计算方法参考现行《建筑抗震设计标准》GB/T 50011；</w:t>
      </w:r>
    </w:p>
    <w:p w14:paraId="428180E4">
      <w:pPr>
        <w:keepNext w:val="0"/>
        <w:keepLines w:val="0"/>
        <w:pageBreakBefore w:val="0"/>
        <w:widowControl w:val="0"/>
        <w:kinsoku/>
        <w:wordWrap/>
        <w:overflowPunct/>
        <w:topLinePunct w:val="0"/>
        <w:autoSpaceDE/>
        <w:autoSpaceDN/>
        <w:bidi w:val="0"/>
        <w:spacing w:line="360" w:lineRule="exact"/>
        <w:ind w:right="0" w:firstLine="1200" w:firstLineChars="500"/>
        <w:textAlignment w:val="auto"/>
        <w:rPr>
          <w:rFonts w:hint="default" w:ascii="Times New Roman" w:hAnsi="Times New Roman" w:eastAsia="宋体" w:cs="Times New Roman"/>
          <w:b w:val="0"/>
          <w:bCs w:val="0"/>
          <w:i w:val="0"/>
          <w:color w:val="auto"/>
          <w:kern w:val="2"/>
          <w:sz w:val="24"/>
          <w:szCs w:val="24"/>
          <w:lang w:val="en-US" w:eastAsia="zh-CN" w:bidi="ar-SA"/>
        </w:rPr>
      </w:pPr>
      <m:oMath>
        <m:sSub>
          <m:sSubPr>
            <m:ctrlPr>
              <w:rPr>
                <w:rFonts w:hint="default" w:ascii="Cambria Math" w:hAnsi="Cambria Math" w:eastAsia="宋体" w:cs="Times New Roman"/>
                <w:b w:val="0"/>
                <w:bCs w:val="0"/>
                <w:color w:val="auto"/>
                <w:kern w:val="2"/>
                <w:sz w:val="24"/>
                <w:szCs w:val="24"/>
                <w:lang w:val="en-US" w:eastAsia="zh-CN" w:bidi="ar-SA"/>
              </w:rPr>
            </m:ctrlPr>
          </m:sSubPr>
          <m:e>
            <m:r>
              <m:rPr>
                <m:nor/>
              </m:rPr>
              <w:rPr>
                <w:rFonts w:hint="default" w:ascii="Times New Roman" w:hAnsi="Times New Roman" w:eastAsia="宋体" w:cs="Times New Roman"/>
                <w:i/>
                <w:color w:val="auto"/>
                <w:kern w:val="2"/>
                <w:sz w:val="24"/>
                <w:szCs w:val="24"/>
                <w:lang w:val="en-US" w:eastAsia="zh-CN" w:bidi="ar-SA"/>
              </w:rPr>
              <m:t>γ</m:t>
            </m:r>
            <m:ctrlPr>
              <w:rPr>
                <w:rFonts w:hint="default" w:ascii="Cambria Math" w:hAnsi="Cambria Math" w:eastAsia="宋体" w:cs="Times New Roman"/>
                <w:b w:val="0"/>
                <w:bCs w:val="0"/>
                <w:color w:val="auto"/>
                <w:kern w:val="2"/>
                <w:sz w:val="24"/>
                <w:szCs w:val="24"/>
                <w:lang w:val="en-US" w:eastAsia="zh-CN" w:bidi="ar-SA"/>
              </w:rPr>
            </m:ctrlPr>
          </m:e>
          <m:sub>
            <m:r>
              <m:rPr>
                <m:nor/>
                <m:sty m:val="p"/>
              </m:rPr>
              <w:rPr>
                <w:rFonts w:hint="default" w:ascii="Times New Roman" w:hAnsi="Times New Roman" w:eastAsia="宋体" w:cs="Times New Roman"/>
                <w:b w:val="0"/>
                <w:i w:val="0"/>
                <w:color w:val="auto"/>
                <w:kern w:val="2"/>
                <w:sz w:val="24"/>
                <w:szCs w:val="24"/>
                <w:lang w:val="en-US" w:eastAsia="zh-CN" w:bidi="ar-SA"/>
              </w:rPr>
              <m:t>Eh</m:t>
            </m:r>
            <m:ctrlPr>
              <w:rPr>
                <w:rFonts w:hint="default" w:ascii="Cambria Math" w:hAnsi="Cambria Math" w:eastAsia="宋体" w:cs="Times New Roman"/>
                <w:b w:val="0"/>
                <w:bCs w:val="0"/>
                <w:color w:val="auto"/>
                <w:kern w:val="2"/>
                <w:sz w:val="24"/>
                <w:szCs w:val="24"/>
                <w:lang w:val="en-US" w:eastAsia="zh-CN" w:bidi="ar-SA"/>
              </w:rPr>
            </m:ctrlPr>
          </m:sub>
        </m:sSub>
      </m:oMath>
      <w:r>
        <w:rPr>
          <w:rFonts w:hint="default" w:ascii="Times New Roman" w:hAnsi="Times New Roman" w:eastAsia="宋体" w:cs="Times New Roman"/>
          <w:b w:val="0"/>
          <w:bCs w:val="0"/>
          <w:i w:val="0"/>
          <w:color w:val="auto"/>
          <w:kern w:val="2"/>
          <w:sz w:val="24"/>
          <w:szCs w:val="24"/>
          <w:lang w:val="en-US" w:eastAsia="zh-CN" w:bidi="ar-SA"/>
        </w:rPr>
        <w:t>——水平地震作用分项系数，后续工作年限50年的建筑取1.4，其他建筑可取1.3；</w:t>
      </w:r>
    </w:p>
    <w:p w14:paraId="5851CBFE">
      <w:pPr>
        <w:keepNext w:val="0"/>
        <w:keepLines w:val="0"/>
        <w:pageBreakBefore w:val="0"/>
        <w:widowControl w:val="0"/>
        <w:kinsoku/>
        <w:wordWrap/>
        <w:overflowPunct/>
        <w:topLinePunct w:val="0"/>
        <w:autoSpaceDE/>
        <w:autoSpaceDN/>
        <w:bidi w:val="0"/>
        <w:spacing w:line="360" w:lineRule="exact"/>
        <w:ind w:right="0" w:firstLine="1200" w:firstLineChars="500"/>
        <w:textAlignment w:val="auto"/>
        <w:rPr>
          <w:rFonts w:hint="default" w:ascii="Times New Roman" w:hAnsi="Times New Roman" w:eastAsia="宋体" w:cs="Times New Roman"/>
          <w:b w:val="0"/>
          <w:bCs w:val="0"/>
          <w:i w:val="0"/>
          <w:color w:val="auto"/>
          <w:kern w:val="2"/>
          <w:sz w:val="24"/>
          <w:szCs w:val="24"/>
          <w:lang w:val="en-US" w:eastAsia="zh-CN" w:bidi="ar-SA"/>
        </w:rPr>
      </w:pPr>
      <m:oMath>
        <m:sSub>
          <m:sSubPr>
            <m:ctrlPr>
              <w:rPr>
                <w:rFonts w:hint="default" w:ascii="Cambria Math" w:hAnsi="Cambria Math" w:eastAsia="宋体" w:cs="Times New Roman"/>
                <w:b w:val="0"/>
                <w:bCs w:val="0"/>
                <w:color w:val="auto"/>
                <w:kern w:val="2"/>
                <w:sz w:val="24"/>
                <w:szCs w:val="24"/>
                <w:lang w:val="en-US" w:eastAsia="zh-CN" w:bidi="ar-SA"/>
              </w:rPr>
            </m:ctrlPr>
          </m:sSubPr>
          <m:e>
            <m:r>
              <m:rPr>
                <m:nor/>
              </m:rPr>
              <w:rPr>
                <w:rFonts w:hint="default" w:ascii="Times New Roman" w:hAnsi="Times New Roman" w:eastAsia="宋体" w:cs="Times New Roman"/>
                <w:i/>
                <w:color w:val="auto"/>
                <w:kern w:val="2"/>
                <w:sz w:val="24"/>
                <w:szCs w:val="24"/>
                <w:lang w:val="en-US" w:eastAsia="zh-CN" w:bidi="ar-SA"/>
              </w:rPr>
              <m:t>γ</m:t>
            </m:r>
            <m:ctrlPr>
              <w:rPr>
                <w:rFonts w:hint="default" w:ascii="Cambria Math" w:hAnsi="Cambria Math" w:eastAsia="宋体" w:cs="Times New Roman"/>
                <w:b w:val="0"/>
                <w:bCs w:val="0"/>
                <w:color w:val="auto"/>
                <w:kern w:val="2"/>
                <w:sz w:val="24"/>
                <w:szCs w:val="24"/>
                <w:lang w:val="en-US" w:eastAsia="zh-CN" w:bidi="ar-SA"/>
              </w:rPr>
            </m:ctrlPr>
          </m:e>
          <m:sub>
            <m:r>
              <m:rPr>
                <m:nor/>
                <m:sty m:val="p"/>
              </m:rPr>
              <w:rPr>
                <w:rFonts w:hint="default" w:ascii="Times New Roman" w:hAnsi="Times New Roman" w:eastAsia="宋体" w:cs="Times New Roman"/>
                <w:b w:val="0"/>
                <w:i w:val="0"/>
                <w:color w:val="auto"/>
                <w:kern w:val="2"/>
                <w:sz w:val="24"/>
                <w:szCs w:val="24"/>
                <w:lang w:val="en-US" w:eastAsia="zh-CN" w:bidi="ar-SA"/>
              </w:rPr>
              <m:t>Ev</m:t>
            </m:r>
            <m:ctrlPr>
              <w:rPr>
                <w:rFonts w:hint="default" w:ascii="Cambria Math" w:hAnsi="Cambria Math" w:eastAsia="宋体" w:cs="Times New Roman"/>
                <w:b w:val="0"/>
                <w:bCs w:val="0"/>
                <w:color w:val="auto"/>
                <w:kern w:val="2"/>
                <w:sz w:val="24"/>
                <w:szCs w:val="24"/>
                <w:lang w:val="en-US" w:eastAsia="zh-CN" w:bidi="ar-SA"/>
              </w:rPr>
            </m:ctrlPr>
          </m:sub>
        </m:sSub>
      </m:oMath>
      <w:r>
        <w:rPr>
          <w:rFonts w:hint="default" w:ascii="Times New Roman" w:hAnsi="Times New Roman" w:eastAsia="宋体" w:cs="Times New Roman"/>
          <w:b w:val="0"/>
          <w:bCs w:val="0"/>
          <w:i w:val="0"/>
          <w:color w:val="auto"/>
          <w:kern w:val="2"/>
          <w:sz w:val="24"/>
          <w:szCs w:val="24"/>
          <w:lang w:val="en-US" w:eastAsia="zh-CN" w:bidi="ar-SA"/>
        </w:rPr>
        <w:t>——竖向地震作用分项系数，按现行《建筑抗震设计标准》GB/T 50011取值；</w:t>
      </w:r>
    </w:p>
    <w:p w14:paraId="40CAA526">
      <w:pPr>
        <w:keepNext w:val="0"/>
        <w:keepLines w:val="0"/>
        <w:pageBreakBefore w:val="0"/>
        <w:widowControl w:val="0"/>
        <w:kinsoku/>
        <w:wordWrap/>
        <w:overflowPunct/>
        <w:topLinePunct w:val="0"/>
        <w:autoSpaceDE/>
        <w:autoSpaceDN/>
        <w:bidi w:val="0"/>
        <w:spacing w:line="360" w:lineRule="exact"/>
        <w:ind w:right="0" w:firstLine="1200" w:firstLineChars="500"/>
        <w:textAlignment w:val="auto"/>
        <w:rPr>
          <w:rFonts w:hint="default" w:ascii="Times New Roman" w:hAnsi="Times New Roman" w:eastAsia="宋体" w:cs="Times New Roman"/>
          <w:b w:val="0"/>
          <w:bCs w:val="0"/>
          <w:i w:val="0"/>
          <w:color w:val="auto"/>
          <w:kern w:val="2"/>
          <w:sz w:val="24"/>
          <w:szCs w:val="24"/>
          <w:lang w:val="en-US" w:eastAsia="zh-CN" w:bidi="ar-SA"/>
        </w:rPr>
      </w:pPr>
      <m:oMath>
        <m:sSub>
          <m:sSubPr>
            <m:ctrlPr>
              <w:rPr>
                <w:rFonts w:hint="default" w:ascii="Cambria Math" w:hAnsi="Cambria Math" w:eastAsia="宋体" w:cs="Times New Roman"/>
                <w:b w:val="0"/>
                <w:bCs w:val="0"/>
                <w:color w:val="auto"/>
                <w:kern w:val="2"/>
                <w:sz w:val="24"/>
                <w:szCs w:val="24"/>
                <w:lang w:val="en-US" w:eastAsia="zh-CN" w:bidi="ar-SA"/>
              </w:rPr>
            </m:ctrlPr>
          </m:sSubPr>
          <m:e>
            <m:r>
              <m:rPr>
                <m:nor/>
              </m:rPr>
              <w:rPr>
                <w:rFonts w:hint="default" w:ascii="Times New Roman" w:hAnsi="Times New Roman" w:eastAsia="宋体" w:cs="Times New Roman"/>
                <w:i/>
                <w:color w:val="auto"/>
                <w:kern w:val="2"/>
                <w:sz w:val="24"/>
                <w:szCs w:val="24"/>
                <w:lang w:val="en-US" w:eastAsia="zh-CN" w:bidi="ar-SA"/>
              </w:rPr>
              <m:t>S</m:t>
            </m:r>
            <m:ctrlPr>
              <w:rPr>
                <w:rFonts w:hint="default" w:ascii="Cambria Math" w:hAnsi="Cambria Math" w:eastAsia="宋体" w:cs="Times New Roman"/>
                <w:b w:val="0"/>
                <w:bCs w:val="0"/>
                <w:color w:val="auto"/>
                <w:kern w:val="2"/>
                <w:sz w:val="24"/>
                <w:szCs w:val="24"/>
                <w:lang w:val="en-US" w:eastAsia="zh-CN" w:bidi="ar-SA"/>
              </w:rPr>
            </m:ctrlPr>
          </m:e>
          <m:sub>
            <m:r>
              <m:rPr>
                <m:nor/>
                <m:sty m:val="p"/>
              </m:rPr>
              <w:rPr>
                <w:rFonts w:hint="default" w:ascii="Times New Roman" w:hAnsi="Times New Roman" w:eastAsia="宋体" w:cs="Times New Roman"/>
                <w:b w:val="0"/>
                <w:i w:val="0"/>
                <w:color w:val="auto"/>
                <w:kern w:val="2"/>
                <w:sz w:val="24"/>
                <w:szCs w:val="24"/>
                <w:lang w:val="en-US" w:eastAsia="zh-CN" w:bidi="ar-SA"/>
              </w:rPr>
              <m:t>Ehk</m:t>
            </m:r>
            <m:ctrlPr>
              <w:rPr>
                <w:rFonts w:hint="default" w:ascii="Cambria Math" w:hAnsi="Cambria Math" w:eastAsia="宋体" w:cs="Times New Roman"/>
                <w:b w:val="0"/>
                <w:bCs w:val="0"/>
                <w:color w:val="auto"/>
                <w:kern w:val="2"/>
                <w:sz w:val="24"/>
                <w:szCs w:val="24"/>
                <w:lang w:val="en-US" w:eastAsia="zh-CN" w:bidi="ar-SA"/>
              </w:rPr>
            </m:ctrlPr>
          </m:sub>
        </m:sSub>
        <m:sSub>
          <m:sSubPr>
            <m:ctrlPr>
              <w:rPr>
                <w:rFonts w:hint="default" w:ascii="Cambria Math" w:hAnsi="Cambria Math" w:eastAsia="宋体" w:cs="Times New Roman"/>
                <w:b w:val="0"/>
                <w:bCs w:val="0"/>
                <w:color w:val="auto"/>
                <w:kern w:val="2"/>
                <w:sz w:val="24"/>
                <w:szCs w:val="24"/>
                <w:lang w:val="en-US" w:eastAsia="zh-CN" w:bidi="ar-SA"/>
              </w:rPr>
            </m:ctrlPr>
          </m:sSubPr>
          <m:e>
            <m:r>
              <m:rPr>
                <m:nor/>
                <m:sty m:val="p"/>
              </m:rPr>
              <w:rPr>
                <w:rFonts w:hint="default" w:ascii="Times New Roman" w:hAnsi="Times New Roman" w:eastAsia="宋体" w:cs="Times New Roman"/>
                <w:b w:val="0"/>
                <w:i w:val="0"/>
                <w:color w:val="auto"/>
                <w:kern w:val="2"/>
                <w:sz w:val="24"/>
                <w:szCs w:val="24"/>
                <w:lang w:val="en-US" w:eastAsia="zh-CN" w:bidi="ar-SA"/>
              </w:rPr>
              <m:t>、</m:t>
            </m:r>
            <m:r>
              <m:rPr>
                <m:nor/>
              </m:rPr>
              <w:rPr>
                <w:rFonts w:hint="default" w:ascii="Times New Roman" w:hAnsi="Times New Roman" w:eastAsia="宋体" w:cs="Times New Roman"/>
                <w:i/>
                <w:color w:val="auto"/>
                <w:kern w:val="2"/>
                <w:sz w:val="24"/>
                <w:szCs w:val="24"/>
                <w:lang w:val="en-US" w:eastAsia="zh-CN" w:bidi="ar-SA"/>
              </w:rPr>
              <m:t>S</m:t>
            </m:r>
            <m:ctrlPr>
              <w:rPr>
                <w:rFonts w:hint="default" w:ascii="Cambria Math" w:hAnsi="Cambria Math" w:eastAsia="宋体" w:cs="Times New Roman"/>
                <w:b w:val="0"/>
                <w:bCs w:val="0"/>
                <w:color w:val="auto"/>
                <w:kern w:val="2"/>
                <w:sz w:val="24"/>
                <w:szCs w:val="24"/>
                <w:lang w:val="en-US" w:eastAsia="zh-CN" w:bidi="ar-SA"/>
              </w:rPr>
            </m:ctrlPr>
          </m:e>
          <m:sub>
            <m:r>
              <m:rPr>
                <m:nor/>
                <m:sty m:val="p"/>
              </m:rPr>
              <w:rPr>
                <w:rFonts w:hint="default" w:ascii="Times New Roman" w:hAnsi="Times New Roman" w:eastAsia="宋体" w:cs="Times New Roman"/>
                <w:b w:val="0"/>
                <w:i w:val="0"/>
                <w:color w:val="auto"/>
                <w:kern w:val="2"/>
                <w:sz w:val="24"/>
                <w:szCs w:val="24"/>
                <w:lang w:val="en-US" w:eastAsia="zh-CN" w:bidi="ar-SA"/>
              </w:rPr>
              <m:t>Evk</m:t>
            </m:r>
            <m:ctrlPr>
              <w:rPr>
                <w:rFonts w:hint="default" w:ascii="Cambria Math" w:hAnsi="Cambria Math" w:eastAsia="宋体" w:cs="Times New Roman"/>
                <w:b w:val="0"/>
                <w:bCs w:val="0"/>
                <w:color w:val="auto"/>
                <w:kern w:val="2"/>
                <w:sz w:val="24"/>
                <w:szCs w:val="24"/>
                <w:lang w:val="en-US" w:eastAsia="zh-CN" w:bidi="ar-SA"/>
              </w:rPr>
            </m:ctrlPr>
          </m:sub>
        </m:sSub>
      </m:oMath>
      <w:r>
        <w:rPr>
          <w:rFonts w:hint="default" w:ascii="Times New Roman" w:hAnsi="Times New Roman" w:eastAsia="宋体" w:cs="Times New Roman"/>
          <w:b w:val="0"/>
          <w:bCs w:val="0"/>
          <w:i w:val="0"/>
          <w:color w:val="auto"/>
          <w:kern w:val="2"/>
          <w:sz w:val="24"/>
          <w:szCs w:val="24"/>
          <w:lang w:val="en-US" w:eastAsia="zh-CN" w:bidi="ar-SA"/>
        </w:rPr>
        <w:t>——分别为水平、竖向地震作用标准值的效应。</w:t>
      </w:r>
    </w:p>
    <w:p w14:paraId="1B389A02">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条文说明：本条给出了地震作用与重力荷载效应的基本组合公式，与《建筑与市政工程抗震通用规范》GB 55002的规定一致。考虑到现有建筑的特殊性，对于后续工作年限少于50年的现有建筑，可适当降低标准，取原设计时的分项系数值。</w:t>
      </w:r>
    </w:p>
    <w:p w14:paraId="1309BF74">
      <w:pPr>
        <w:keepNext w:val="0"/>
        <w:keepLines w:val="0"/>
        <w:pageBreakBefore w:val="0"/>
        <w:widowControl w:val="0"/>
        <w:kinsoku/>
        <w:wordWrap/>
        <w:overflowPunct/>
        <w:topLinePunct w:val="0"/>
        <w:autoSpaceDE/>
        <w:autoSpaceDN/>
        <w:bidi w:val="0"/>
        <w:spacing w:line="360" w:lineRule="exact"/>
        <w:ind w:left="0" w:right="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bCs/>
          <w:color w:val="auto"/>
          <w:sz w:val="24"/>
          <w:szCs w:val="24"/>
          <w:lang w:val="en-US" w:eastAsia="zh-CN"/>
        </w:rPr>
        <w:t>4.3.8</w:t>
      </w:r>
      <w:r>
        <w:rPr>
          <w:rFonts w:hint="default" w:ascii="Times New Roman" w:hAnsi="Times New Roman" w:eastAsia="宋体" w:cs="Times New Roman"/>
          <w:b w:val="0"/>
          <w:bCs w:val="0"/>
          <w:color w:val="auto"/>
          <w:sz w:val="24"/>
          <w:szCs w:val="24"/>
          <w:lang w:val="en-US" w:eastAsia="zh-CN"/>
        </w:rPr>
        <w:t xml:space="preserve"> 安全性鉴定时的荷载取值：</w:t>
      </w:r>
    </w:p>
    <w:p w14:paraId="613A96DC">
      <w:pPr>
        <w:keepNext w:val="0"/>
        <w:keepLines w:val="0"/>
        <w:pageBreakBefore w:val="0"/>
        <w:widowControl w:val="0"/>
        <w:kinsoku/>
        <w:wordWrap/>
        <w:overflowPunct/>
        <w:topLinePunct w:val="0"/>
        <w:autoSpaceDE/>
        <w:autoSpaceDN/>
        <w:bidi w:val="0"/>
        <w:spacing w:line="360" w:lineRule="exact"/>
        <w:ind w:left="0" w:right="0" w:firstLine="48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bCs/>
          <w:color w:val="auto"/>
          <w:sz w:val="24"/>
          <w:szCs w:val="24"/>
          <w:lang w:val="en-US" w:eastAsia="zh-CN"/>
        </w:rPr>
        <w:t xml:space="preserve">1 </w:t>
      </w:r>
      <w:r>
        <w:rPr>
          <w:rFonts w:hint="default" w:ascii="Times New Roman" w:hAnsi="Times New Roman" w:eastAsia="宋体" w:cs="Times New Roman"/>
          <w:b w:val="0"/>
          <w:bCs w:val="0"/>
          <w:color w:val="auto"/>
          <w:sz w:val="24"/>
          <w:szCs w:val="24"/>
          <w:lang w:val="en-US" w:eastAsia="zh-CN"/>
        </w:rPr>
        <w:t>对于延长工作年限以及因使用功能改变导致抗震设防类别提高、抗侧力构件发生变化或楼面均布活荷载增加而进行安全性鉴定时，应按现行强制性工程建设规范《工程结构通用规范》GB 55001和现行国家标准《建筑结构荷载规范》GB 50009相关规定进行取值。</w:t>
      </w:r>
    </w:p>
    <w:p w14:paraId="34101900">
      <w:pPr>
        <w:keepNext w:val="0"/>
        <w:keepLines w:val="0"/>
        <w:pageBreakBefore w:val="0"/>
        <w:widowControl w:val="0"/>
        <w:kinsoku/>
        <w:wordWrap/>
        <w:overflowPunct/>
        <w:topLinePunct w:val="0"/>
        <w:autoSpaceDE/>
        <w:autoSpaceDN/>
        <w:bidi w:val="0"/>
        <w:spacing w:line="360" w:lineRule="exact"/>
        <w:ind w:left="0" w:right="0" w:firstLine="48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val="0"/>
          <w:bCs w:val="0"/>
          <w:color w:val="auto"/>
          <w:sz w:val="24"/>
          <w:szCs w:val="24"/>
          <w:lang w:val="en-US" w:eastAsia="zh-CN"/>
        </w:rPr>
        <w:t xml:space="preserve"> 当需要鉴定原有结构或构件在剩余设计工作年限内的安全性时，应按不低于原建造时荷载规范的相关规定进行取值。</w:t>
      </w:r>
    </w:p>
    <w:p w14:paraId="79EC9F2D">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条文说明：如使用功能未改变、不延长工作年限，因使用的需要造成局部楼（屋）面荷载增加时，可按不低于原建造时荷载规范的相关规定进行取值。</w:t>
      </w:r>
    </w:p>
    <w:p w14:paraId="1F8AC583">
      <w:pPr>
        <w:keepNext w:val="0"/>
        <w:keepLines w:val="0"/>
        <w:pageBreakBefore w:val="0"/>
        <w:widowControl w:val="0"/>
        <w:kinsoku/>
        <w:wordWrap/>
        <w:overflowPunct/>
        <w:topLinePunct w:val="0"/>
        <w:autoSpaceDE/>
        <w:autoSpaceDN/>
        <w:bidi w:val="0"/>
        <w:spacing w:line="360" w:lineRule="exact"/>
        <w:ind w:left="0" w:right="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bCs/>
          <w:color w:val="auto"/>
          <w:sz w:val="24"/>
          <w:szCs w:val="24"/>
          <w:lang w:val="en-US" w:eastAsia="zh-CN"/>
        </w:rPr>
        <w:t>4.3.9</w:t>
      </w:r>
      <w:r>
        <w:rPr>
          <w:rFonts w:hint="default" w:ascii="Times New Roman" w:hAnsi="Times New Roman" w:eastAsia="宋体" w:cs="Times New Roman"/>
          <w:b w:val="0"/>
          <w:bCs w:val="0"/>
          <w:color w:val="auto"/>
          <w:sz w:val="24"/>
          <w:szCs w:val="24"/>
          <w:lang w:val="en-US" w:eastAsia="zh-CN"/>
        </w:rPr>
        <w:t xml:space="preserve"> 抗震鉴定时，既有建筑上的可变荷载取值应符合以下规定：</w:t>
      </w:r>
    </w:p>
    <w:p w14:paraId="2B65FC5B">
      <w:pPr>
        <w:keepNext w:val="0"/>
        <w:keepLines w:val="0"/>
        <w:pageBreakBefore w:val="0"/>
        <w:widowControl w:val="0"/>
        <w:kinsoku/>
        <w:wordWrap/>
        <w:overflowPunct/>
        <w:topLinePunct w:val="0"/>
        <w:autoSpaceDE/>
        <w:autoSpaceDN/>
        <w:bidi w:val="0"/>
        <w:spacing w:line="360" w:lineRule="exact"/>
        <w:ind w:left="0" w:right="0" w:firstLine="48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val="0"/>
          <w:bCs w:val="0"/>
          <w:color w:val="auto"/>
          <w:sz w:val="24"/>
          <w:szCs w:val="24"/>
          <w:lang w:val="en-US" w:eastAsia="zh-CN"/>
        </w:rPr>
        <w:t xml:space="preserve"> 后续工作年限50年的既有建筑可变荷载应按现行国家标准的规定取值；</w:t>
      </w:r>
    </w:p>
    <w:p w14:paraId="2FAD2067">
      <w:pPr>
        <w:keepNext w:val="0"/>
        <w:keepLines w:val="0"/>
        <w:pageBreakBefore w:val="0"/>
        <w:widowControl w:val="0"/>
        <w:kinsoku/>
        <w:wordWrap/>
        <w:overflowPunct/>
        <w:topLinePunct w:val="0"/>
        <w:autoSpaceDE/>
        <w:autoSpaceDN/>
        <w:bidi w:val="0"/>
        <w:spacing w:line="360" w:lineRule="exact"/>
        <w:ind w:left="0" w:right="0" w:firstLine="48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val="0"/>
          <w:bCs w:val="0"/>
          <w:color w:val="auto"/>
          <w:sz w:val="24"/>
          <w:szCs w:val="24"/>
          <w:lang w:val="en-US" w:eastAsia="zh-CN"/>
        </w:rPr>
        <w:t xml:space="preserve"> 后续工作年限少于50年的既有建筑可变荷载可按不低于原设计标准的规定取值；</w:t>
      </w:r>
    </w:p>
    <w:p w14:paraId="359BEF81">
      <w:pPr>
        <w:keepNext w:val="0"/>
        <w:keepLines w:val="0"/>
        <w:pageBreakBefore w:val="0"/>
        <w:widowControl w:val="0"/>
        <w:kinsoku/>
        <w:wordWrap/>
        <w:overflowPunct/>
        <w:topLinePunct w:val="0"/>
        <w:autoSpaceDE/>
        <w:autoSpaceDN/>
        <w:bidi w:val="0"/>
        <w:spacing w:line="360" w:lineRule="exact"/>
        <w:ind w:left="0" w:right="0" w:firstLine="48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val="0"/>
          <w:bCs w:val="0"/>
          <w:color w:val="auto"/>
          <w:sz w:val="24"/>
          <w:szCs w:val="24"/>
          <w:lang w:val="en-US" w:eastAsia="zh-CN"/>
        </w:rPr>
        <w:t xml:space="preserve"> 整体或局部改变既有建筑用途时，可变荷载应根据改造后的使用功能按现行国家标准的规定取值。</w:t>
      </w:r>
    </w:p>
    <w:p w14:paraId="639272B9">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条文说明：对于后续工作年限30、40年的现有建筑，可适当降低标准，建筑上的可变荷载可按不低于原设计标准的规定取值。考虑到建筑安全可靠度的要求不断提高，本条所指的原设计标准一般指89系列规范。</w:t>
      </w:r>
    </w:p>
    <w:p w14:paraId="40ECDB98">
      <w:pPr>
        <w:keepNext w:val="0"/>
        <w:keepLines w:val="0"/>
        <w:pageBreakBefore w:val="0"/>
        <w:widowControl w:val="0"/>
        <w:kinsoku/>
        <w:wordWrap/>
        <w:overflowPunct/>
        <w:topLinePunct w:val="0"/>
        <w:autoSpaceDE/>
        <w:autoSpaceDN/>
        <w:bidi w:val="0"/>
        <w:spacing w:line="360" w:lineRule="exact"/>
        <w:ind w:left="0" w:right="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bCs/>
          <w:color w:val="auto"/>
          <w:sz w:val="24"/>
          <w:szCs w:val="24"/>
          <w:lang w:val="en-US" w:eastAsia="zh-CN"/>
        </w:rPr>
        <w:t xml:space="preserve">4.3.10 </w:t>
      </w:r>
      <w:r>
        <w:rPr>
          <w:rFonts w:hint="default" w:ascii="Times New Roman" w:hAnsi="Times New Roman" w:eastAsia="宋体" w:cs="Times New Roman"/>
          <w:b w:val="0"/>
          <w:bCs w:val="0"/>
          <w:color w:val="auto"/>
          <w:sz w:val="24"/>
          <w:szCs w:val="24"/>
          <w:lang w:val="en-US" w:eastAsia="zh-CN"/>
        </w:rPr>
        <w:t>既有建筑的地震作用应按现行《建筑抗震设计标准》GB/T 50011规定的方法计算确定，其中，对于A、B类建筑，特征周期可按表4.3.10确定，C类建筑可按后续工作年限按下列规定进行调整：</w:t>
      </w:r>
    </w:p>
    <w:p w14:paraId="7694617E">
      <w:pPr>
        <w:keepNext w:val="0"/>
        <w:keepLines w:val="0"/>
        <w:pageBreakBefore w:val="0"/>
        <w:widowControl w:val="0"/>
        <w:kinsoku/>
        <w:wordWrap/>
        <w:overflowPunct/>
        <w:topLinePunct w:val="0"/>
        <w:autoSpaceDE/>
        <w:autoSpaceDN/>
        <w:bidi w:val="0"/>
        <w:spacing w:line="360" w:lineRule="exact"/>
        <w:ind w:left="0" w:right="0" w:firstLine="482"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val="0"/>
          <w:bCs w:val="0"/>
          <w:color w:val="auto"/>
          <w:sz w:val="24"/>
          <w:szCs w:val="24"/>
          <w:lang w:val="en-US" w:eastAsia="zh-CN"/>
        </w:rPr>
        <w:t xml:space="preserve"> 后续工作年限30年的C类建筑可乘以0.8的折减系数，且不低于原设计地震作用。</w:t>
      </w:r>
    </w:p>
    <w:p w14:paraId="5FCDFC08">
      <w:pPr>
        <w:keepNext w:val="0"/>
        <w:keepLines w:val="0"/>
        <w:pageBreakBefore w:val="0"/>
        <w:widowControl w:val="0"/>
        <w:kinsoku/>
        <w:wordWrap/>
        <w:overflowPunct/>
        <w:topLinePunct w:val="0"/>
        <w:autoSpaceDE/>
        <w:autoSpaceDN/>
        <w:bidi w:val="0"/>
        <w:spacing w:line="360" w:lineRule="exact"/>
        <w:ind w:left="0" w:right="0" w:firstLine="482"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val="0"/>
          <w:bCs w:val="0"/>
          <w:color w:val="auto"/>
          <w:sz w:val="24"/>
          <w:szCs w:val="24"/>
          <w:lang w:val="en-US" w:eastAsia="zh-CN"/>
        </w:rPr>
        <w:t xml:space="preserve"> 后续工作年限40年的C类建筑可乘以0.9的折减系数，且不低于原设计地震作用。</w:t>
      </w:r>
    </w:p>
    <w:p w14:paraId="20D2F3AE">
      <w:pPr>
        <w:keepNext w:val="0"/>
        <w:keepLines w:val="0"/>
        <w:pageBreakBefore w:val="0"/>
        <w:widowControl w:val="0"/>
        <w:kinsoku/>
        <w:wordWrap/>
        <w:overflowPunct/>
        <w:topLinePunct w:val="0"/>
        <w:autoSpaceDE/>
        <w:autoSpaceDN/>
        <w:bidi w:val="0"/>
        <w:spacing w:line="360" w:lineRule="exact"/>
        <w:ind w:left="0" w:right="0" w:firstLine="482"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val="0"/>
          <w:bCs w:val="0"/>
          <w:color w:val="auto"/>
          <w:sz w:val="24"/>
          <w:szCs w:val="24"/>
          <w:lang w:val="en-US" w:eastAsia="zh-CN"/>
        </w:rPr>
        <w:t xml:space="preserve"> 后续工作年限50年的C类建筑地震作用不得折减。</w:t>
      </w:r>
    </w:p>
    <w:p w14:paraId="4869B746">
      <w:pPr>
        <w:keepNext w:val="0"/>
        <w:keepLines w:val="0"/>
        <w:pageBreakBefore w:val="0"/>
        <w:widowControl w:val="0"/>
        <w:kinsoku/>
        <w:wordWrap/>
        <w:overflowPunct/>
        <w:topLinePunct w:val="0"/>
        <w:autoSpaceDE/>
        <w:autoSpaceDN/>
        <w:bidi w:val="0"/>
        <w:spacing w:line="360" w:lineRule="exact"/>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color w:val="auto"/>
          <w:sz w:val="24"/>
          <w:szCs w:val="24"/>
        </w:rPr>
        <w:t>在条状突出的山嘴、高耸孤立的山丘、非岩石的陡坡、河岸和边坡边缘等不利地段，水平地震作用应按现行国家标准《建筑抗震设计标准》GB/T 50011的规定乘以增大系数1.1~1.6</w:t>
      </w:r>
      <w:r>
        <w:rPr>
          <w:rFonts w:hint="default" w:ascii="Times New Roman" w:hAnsi="Times New Roman" w:eastAsia="宋体" w:cs="Times New Roman"/>
          <w:color w:val="auto"/>
          <w:sz w:val="24"/>
          <w:szCs w:val="24"/>
          <w:lang w:eastAsia="zh-CN"/>
        </w:rPr>
        <w:t>。</w:t>
      </w:r>
    </w:p>
    <w:p w14:paraId="4DDF996C">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default" w:ascii="宋体" w:hAnsi="宋体" w:eastAsia="宋体" w:cs="宋体"/>
          <w:color w:val="auto"/>
          <w:spacing w:val="-2"/>
          <w:sz w:val="28"/>
          <w:szCs w:val="28"/>
          <w:lang w:val="en-US" w:eastAsia="zh-CN"/>
        </w:rPr>
      </w:pPr>
      <w:r>
        <w:rPr>
          <w:rFonts w:hint="default" w:ascii="宋体" w:hAnsi="宋体" w:eastAsia="宋体" w:cs="宋体"/>
          <w:color w:val="auto"/>
          <w:spacing w:val="-2"/>
          <w:sz w:val="28"/>
          <w:szCs w:val="28"/>
          <w:lang w:val="en-US" w:eastAsia="zh-CN"/>
        </w:rPr>
        <w:t>表4.3.10 特征周期值（s）</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5"/>
        <w:gridCol w:w="2016"/>
        <w:gridCol w:w="2016"/>
        <w:gridCol w:w="2016"/>
        <w:gridCol w:w="2016"/>
      </w:tblGrid>
      <w:tr w14:paraId="04FA2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5" w:type="dxa"/>
            <w:vMerge w:val="restart"/>
            <w:vAlign w:val="center"/>
          </w:tcPr>
          <w:p w14:paraId="4E659525">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设计地震分组</w:t>
            </w:r>
          </w:p>
        </w:tc>
        <w:tc>
          <w:tcPr>
            <w:tcW w:w="8064" w:type="dxa"/>
            <w:gridSpan w:val="4"/>
            <w:vAlign w:val="center"/>
          </w:tcPr>
          <w:p w14:paraId="31C17E11">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场地类别</w:t>
            </w:r>
          </w:p>
        </w:tc>
      </w:tr>
      <w:tr w14:paraId="57CF3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5" w:type="dxa"/>
            <w:vMerge w:val="continue"/>
            <w:vAlign w:val="center"/>
          </w:tcPr>
          <w:p w14:paraId="41B72FD0">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val="0"/>
                <w:bCs w:val="0"/>
                <w:color w:val="auto"/>
                <w:sz w:val="24"/>
                <w:szCs w:val="24"/>
                <w:vertAlign w:val="baseline"/>
                <w:lang w:val="en-US" w:eastAsia="zh-CN"/>
              </w:rPr>
            </w:pPr>
          </w:p>
        </w:tc>
        <w:tc>
          <w:tcPr>
            <w:tcW w:w="2016" w:type="dxa"/>
            <w:vAlign w:val="center"/>
          </w:tcPr>
          <w:p w14:paraId="018A79B2">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Ⅰ</w:t>
            </w:r>
          </w:p>
        </w:tc>
        <w:tc>
          <w:tcPr>
            <w:tcW w:w="2016" w:type="dxa"/>
            <w:vAlign w:val="center"/>
          </w:tcPr>
          <w:p w14:paraId="4112DD4F">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Ⅱ</w:t>
            </w:r>
          </w:p>
        </w:tc>
        <w:tc>
          <w:tcPr>
            <w:tcW w:w="2016" w:type="dxa"/>
            <w:vAlign w:val="center"/>
          </w:tcPr>
          <w:p w14:paraId="61E3761A">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Ⅲ</w:t>
            </w:r>
          </w:p>
        </w:tc>
        <w:tc>
          <w:tcPr>
            <w:tcW w:w="2016" w:type="dxa"/>
            <w:vAlign w:val="center"/>
          </w:tcPr>
          <w:p w14:paraId="3D7EA3DE">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Ⅳ</w:t>
            </w:r>
          </w:p>
        </w:tc>
      </w:tr>
      <w:tr w14:paraId="40F21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5" w:type="dxa"/>
            <w:vAlign w:val="center"/>
          </w:tcPr>
          <w:p w14:paraId="7101C9BF">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第一、二组</w:t>
            </w:r>
          </w:p>
        </w:tc>
        <w:tc>
          <w:tcPr>
            <w:tcW w:w="2016" w:type="dxa"/>
            <w:vAlign w:val="center"/>
          </w:tcPr>
          <w:p w14:paraId="0D93CA5A">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0.20</w:t>
            </w:r>
          </w:p>
        </w:tc>
        <w:tc>
          <w:tcPr>
            <w:tcW w:w="2016" w:type="dxa"/>
            <w:vAlign w:val="center"/>
          </w:tcPr>
          <w:p w14:paraId="1AE28114">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0.30</w:t>
            </w:r>
          </w:p>
        </w:tc>
        <w:tc>
          <w:tcPr>
            <w:tcW w:w="2016" w:type="dxa"/>
            <w:vAlign w:val="center"/>
          </w:tcPr>
          <w:p w14:paraId="4D8BE626">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0.40</w:t>
            </w:r>
          </w:p>
        </w:tc>
        <w:tc>
          <w:tcPr>
            <w:tcW w:w="2016" w:type="dxa"/>
            <w:vAlign w:val="center"/>
          </w:tcPr>
          <w:p w14:paraId="2714701C">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0.65</w:t>
            </w:r>
          </w:p>
        </w:tc>
      </w:tr>
      <w:tr w14:paraId="07218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5" w:type="dxa"/>
            <w:vAlign w:val="center"/>
          </w:tcPr>
          <w:p w14:paraId="130EB797">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第三组</w:t>
            </w:r>
          </w:p>
        </w:tc>
        <w:tc>
          <w:tcPr>
            <w:tcW w:w="2016" w:type="dxa"/>
            <w:vAlign w:val="center"/>
          </w:tcPr>
          <w:p w14:paraId="27F77E55">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0.25</w:t>
            </w:r>
          </w:p>
        </w:tc>
        <w:tc>
          <w:tcPr>
            <w:tcW w:w="2016" w:type="dxa"/>
            <w:vAlign w:val="center"/>
          </w:tcPr>
          <w:p w14:paraId="563C29E5">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0.40</w:t>
            </w:r>
          </w:p>
        </w:tc>
        <w:tc>
          <w:tcPr>
            <w:tcW w:w="2016" w:type="dxa"/>
            <w:vAlign w:val="center"/>
          </w:tcPr>
          <w:p w14:paraId="6F151C53">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0.55</w:t>
            </w:r>
          </w:p>
        </w:tc>
        <w:tc>
          <w:tcPr>
            <w:tcW w:w="2016" w:type="dxa"/>
            <w:vAlign w:val="center"/>
          </w:tcPr>
          <w:p w14:paraId="0630CC69">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0.85</w:t>
            </w:r>
          </w:p>
        </w:tc>
      </w:tr>
    </w:tbl>
    <w:p w14:paraId="132BA090">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条文说明：国际标准《结构可靠性总原则》ISO 2394提出既有建筑的可靠性评定方法中，强调了依据用户提出的使用年限对可变作用采用系数的方法折减。近年来取得的研究成果表明，地震作用服从极值Ⅱ型分布，从后续工作年限内具有相同超越概率的角度，在全国范围内平均，30、40、50年地震作用的相对比例大致是0.79、0.90和1.00。A、B两类建筑的地震作用折减通过地震作用计算时的反应谱与现行设计规范的差别、抗震验算时的承载力调整系数综合体现。对于后续工作年限30年、40年的C类建筑，为体现在抗震鉴定与加固时不低于原设计标准的原则，折减后的地震作用尚应与建筑原设计时地震作用进行比较，取较大值。</w:t>
      </w:r>
    </w:p>
    <w:p w14:paraId="4E9670EC">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当A类和B类建筑按现行国家标准《建筑抗震鉴定标准》GB 50023进行构件抗震承载力调整时，场地特征周期取值、材料设计指标、内力调整系数、承载力抗震调整系数γRE等均应符合《建筑抗震鉴定标准》GB 50023的规定，同时，A类和后续工作年限40年的B类建筑不应考虑地震作用的折减，后续工作年限30年的B类建筑的水平地震作用折减系数可取0.9。</w:t>
      </w:r>
    </w:p>
    <w:p w14:paraId="48733A6A">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《既有建筑鉴定与加固通用规范》GB 50021-2021第5.1.4条规定：“……不低于原建造时的抗震设计要求；……”。此条主要是针对C类建筑，A类和B类建筑不建议执行这一要求，应依据《建筑抗震鉴定标准》GB 50023-2009的相关规定进行鉴定。</w:t>
      </w:r>
    </w:p>
    <w:p w14:paraId="740E0307">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对于A类建筑，在抗震设防烈度提高或设计地震分组改变导致设计特征周期增大的情况下，需采用提高后的抗震设防烈度或改变后的设计地震分组根据《建筑抗震鉴定标准》GB 50023-2009中的相关规定进行抗震措施核查，如满足要求，则无需再进行抗震承载力和变形验算，如不满足要求，需按《建筑抗震鉴定标准》GB 50023-2009中的相关规定进行抗震承载力和变形验算。</w:t>
      </w:r>
    </w:p>
    <w:p w14:paraId="77037FD7">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对于B类建筑，在抗震设防烈度提高或设计地震分组改变导致设计特征周期增大的情况下，需采用提高后的抗震设防烈度或改变后的设计地震分组根据《建筑抗震鉴定标准》GB 50023-2009中的相关规定进行抗震措施核查，并按《建筑抗震鉴定标准》GB 50023-2009中的相关规定进行抗震承载力和变形验算。</w:t>
      </w:r>
    </w:p>
    <w:p w14:paraId="7E65DC4F">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对于C类建筑，当抗震设防烈度提高或设计地震分组改变导致设计特征周期增大时，需采用提高后的抗震设防烈度或调整后的设计地震分组分别根据原建造时采用的《建筑抗震设计标准》GB/T 50011中有关抗震措施的规定进行核查；然后采用提高后的抗震设防烈度或调整后的设计地震分组根据《建筑抗震设计标准》GB/T 50011-2010进行抗震承载力和变形验算，计算时可根据后续工作年限对地震作用进行折减，折减后的地震作用不低于原设计地震作用。</w:t>
      </w:r>
    </w:p>
    <w:p w14:paraId="4DB98799">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对于后续工作年限采用50年的C类建筑，应按照现行规范进行设计。</w:t>
      </w:r>
    </w:p>
    <w:p w14:paraId="3439B91A">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抗震加固实施执行确有困难的，允许经专项论证，采用调整前的地震动参数进行抗震鉴定。</w:t>
      </w:r>
    </w:p>
    <w:p w14:paraId="1B7ED073">
      <w:pPr>
        <w:keepNext w:val="0"/>
        <w:keepLines w:val="0"/>
        <w:pageBreakBefore w:val="0"/>
        <w:widowControl w:val="0"/>
        <w:kinsoku/>
        <w:wordWrap/>
        <w:overflowPunct/>
        <w:topLinePunct w:val="0"/>
        <w:autoSpaceDE/>
        <w:autoSpaceDN/>
        <w:bidi w:val="0"/>
        <w:spacing w:line="360" w:lineRule="exact"/>
        <w:ind w:left="0" w:righ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4.3.11</w:t>
      </w:r>
      <w:r>
        <w:rPr>
          <w:rFonts w:hint="default" w:ascii="Times New Roman" w:hAnsi="Times New Roman" w:eastAsia="宋体" w:cs="Times New Roman"/>
          <w:color w:val="auto"/>
          <w:sz w:val="24"/>
          <w:szCs w:val="24"/>
        </w:rPr>
        <w:t xml:space="preserve"> 既有建筑的抗震鉴定要求，可根据建筑所在场地、地基和基础等的有利和不利因素，作下列调整：</w:t>
      </w:r>
    </w:p>
    <w:p w14:paraId="3022F1B9">
      <w:pPr>
        <w:keepNext w:val="0"/>
        <w:keepLines w:val="0"/>
        <w:pageBreakBefore w:val="0"/>
        <w:widowControl w:val="0"/>
        <w:kinsoku/>
        <w:wordWrap/>
        <w:overflowPunct/>
        <w:topLinePunct w:val="0"/>
        <w:autoSpaceDE/>
        <w:autoSpaceDN/>
        <w:bidi w:val="0"/>
        <w:spacing w:line="360" w:lineRule="exact"/>
        <w:ind w:left="0" w:right="0" w:firstLine="482"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z w:val="24"/>
          <w:szCs w:val="24"/>
        </w:rPr>
        <w:t>1</w:t>
      </w:r>
      <w:r>
        <w:rPr>
          <w:rFonts w:hint="default" w:ascii="Times New Roman" w:hAnsi="Times New Roman" w:eastAsia="宋体" w:cs="Times New Roman"/>
          <w:bCs/>
          <w:color w:val="auto"/>
          <w:sz w:val="24"/>
          <w:szCs w:val="24"/>
        </w:rPr>
        <w:t xml:space="preserve"> </w:t>
      </w:r>
      <w:r>
        <w:rPr>
          <w:rFonts w:hint="default" w:ascii="Times New Roman" w:hAnsi="Times New Roman" w:eastAsia="宋体" w:cs="Times New Roman"/>
          <w:color w:val="auto"/>
          <w:sz w:val="24"/>
          <w:szCs w:val="24"/>
        </w:rPr>
        <w:t>I类场地上的丙类建筑，</w:t>
      </w:r>
      <w:r>
        <w:rPr>
          <w:rFonts w:hint="default" w:ascii="Times New Roman" w:hAnsi="Times New Roman" w:eastAsia="宋体" w:cs="Times New Roman"/>
          <w:color w:val="auto"/>
          <w:sz w:val="24"/>
          <w:szCs w:val="24"/>
          <w:lang w:val="en-US" w:eastAsia="zh-CN"/>
        </w:rPr>
        <w:t>7~8度时</w:t>
      </w:r>
      <w:r>
        <w:rPr>
          <w:rFonts w:hint="default" w:ascii="Times New Roman" w:hAnsi="Times New Roman" w:eastAsia="宋体" w:cs="Times New Roman"/>
          <w:color w:val="auto"/>
          <w:sz w:val="24"/>
          <w:szCs w:val="24"/>
        </w:rPr>
        <w:t>构造要求可降低一度。</w:t>
      </w:r>
    </w:p>
    <w:p w14:paraId="2392EA3C">
      <w:pPr>
        <w:keepNext w:val="0"/>
        <w:keepLines w:val="0"/>
        <w:pageBreakBefore w:val="0"/>
        <w:widowControl w:val="0"/>
        <w:kinsoku/>
        <w:wordWrap/>
        <w:overflowPunct/>
        <w:topLinePunct w:val="0"/>
        <w:autoSpaceDE/>
        <w:autoSpaceDN/>
        <w:bidi w:val="0"/>
        <w:spacing w:line="360" w:lineRule="exact"/>
        <w:ind w:left="0" w:right="0" w:firstLine="48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2</w:t>
      </w:r>
      <w:r>
        <w:rPr>
          <w:rFonts w:hint="default" w:ascii="Times New Roman" w:hAnsi="Times New Roman" w:eastAsia="宋体" w:cs="Times New Roman"/>
          <w:color w:val="auto"/>
          <w:sz w:val="24"/>
          <w:szCs w:val="24"/>
        </w:rPr>
        <w:t xml:space="preserve"> IV类场地、复杂地形、严重不均匀土层上的建筑以及同一建筑单元存在不同类型基础时，可提高抗震鉴定要求。</w:t>
      </w:r>
    </w:p>
    <w:p w14:paraId="5C619336">
      <w:pPr>
        <w:keepNext w:val="0"/>
        <w:keepLines w:val="0"/>
        <w:pageBreakBefore w:val="0"/>
        <w:widowControl w:val="0"/>
        <w:kinsoku/>
        <w:wordWrap/>
        <w:overflowPunct/>
        <w:topLinePunct w:val="0"/>
        <w:autoSpaceDE/>
        <w:autoSpaceDN/>
        <w:bidi w:val="0"/>
        <w:spacing w:line="360" w:lineRule="exact"/>
        <w:ind w:left="0" w:right="0" w:firstLine="48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3</w:t>
      </w:r>
      <w:r>
        <w:rPr>
          <w:rFonts w:hint="default" w:ascii="Times New Roman" w:hAnsi="Times New Roman" w:eastAsia="宋体" w:cs="Times New Roman"/>
          <w:color w:val="auto"/>
          <w:sz w:val="24"/>
          <w:szCs w:val="24"/>
        </w:rPr>
        <w:t xml:space="preserve"> 建筑场地为III、IV类时，对设计基本地震加速度0.15g和0.30g的地区，各类建筑的抗震构造措施要求宜分别按抗震设防烈度8度(0.20g)和9度（0.40g）采用。</w:t>
      </w:r>
    </w:p>
    <w:p w14:paraId="239FD390">
      <w:pPr>
        <w:keepNext w:val="0"/>
        <w:keepLines w:val="0"/>
        <w:pageBreakBefore w:val="0"/>
        <w:widowControl w:val="0"/>
        <w:kinsoku/>
        <w:wordWrap/>
        <w:overflowPunct/>
        <w:topLinePunct w:val="0"/>
        <w:autoSpaceDE/>
        <w:autoSpaceDN/>
        <w:bidi w:val="0"/>
        <w:spacing w:line="360" w:lineRule="exact"/>
        <w:ind w:left="0" w:right="0" w:firstLine="48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4</w:t>
      </w:r>
      <w:r>
        <w:rPr>
          <w:rFonts w:hint="default" w:ascii="Times New Roman" w:hAnsi="Times New Roman" w:eastAsia="宋体" w:cs="Times New Roman"/>
          <w:color w:val="auto"/>
          <w:sz w:val="24"/>
          <w:szCs w:val="24"/>
        </w:rPr>
        <w:t xml:space="preserve"> 有全地下室、箱基、筏基和桩基的建筑，可降低上部结构的抗震鉴定要求。</w:t>
      </w:r>
    </w:p>
    <w:p w14:paraId="218F6687">
      <w:pPr>
        <w:keepNext w:val="0"/>
        <w:keepLines w:val="0"/>
        <w:pageBreakBefore w:val="0"/>
        <w:widowControl w:val="0"/>
        <w:kinsoku/>
        <w:wordWrap/>
        <w:overflowPunct/>
        <w:topLinePunct w:val="0"/>
        <w:autoSpaceDE/>
        <w:autoSpaceDN/>
        <w:bidi w:val="0"/>
        <w:spacing w:line="360" w:lineRule="exact"/>
        <w:ind w:left="0" w:right="0" w:firstLine="482"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color w:val="auto"/>
          <w:sz w:val="24"/>
          <w:szCs w:val="24"/>
          <w:lang w:val="en-US" w:eastAsia="zh-CN"/>
        </w:rPr>
        <w:t xml:space="preserve"> 对密集的建筑，包括防震缝两侧的建筑，应提高相关部位的抗震鉴定要求。</w:t>
      </w:r>
    </w:p>
    <w:p w14:paraId="7BAB6C7E">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条文说明：本条要求针对现有建筑存在的有利和不利因素，对有关的鉴定要求予以适当调整：</w:t>
      </w:r>
    </w:p>
    <w:p w14:paraId="7F36A98D">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对建在Ⅳ类场地、复杂地形、不均匀地基上的建筑以及同一建筑单元存在不同类型基础时，应考虑地震影响复杂和地基整体性不足等的不利影响。这类建筑要求上部结构的整体性更强一些，或抗震承载力有较大富余，一般可根据建筑实际情况，将部分抗震构造措施的鉴定要求按提高一度考虑，例如增加地基梁尺寸、配筋和增加圈梁数量、配筋等的鉴定要求。</w:t>
      </w:r>
    </w:p>
    <w:p w14:paraId="1FEBC5A8">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对有全地下室、箱基、筏基和桩基的建筑可放宽对上部结构的部分构造措施要求，如圈梁设置可按降低一度考虑，支撑系统和其他连接的鉴定要求，可在一度范围内降低，但构造措施不得全面降低。</w:t>
      </w:r>
    </w:p>
    <w:p w14:paraId="58C26ECF">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对密集建筑群中的建筑，例如市内繁华商业区的沿街建筑，房屋之间的距离小于8m或小于建筑高度一半的居民住宅等，根据实际情况对较高的建筑的相关部分，以及防震缝两侧的房屋局部区域，构造措施按提高一度考虑。</w:t>
      </w:r>
    </w:p>
    <w:p w14:paraId="1DDBC43B">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对建造于7度（0.15g）和8度（0.30g）设防区的现有建筑，当场地类别为Ⅲ、Ⅳ类时，与现行设计规范协调，也要求分别按8度和9度的构造措施进行鉴定。</w:t>
      </w:r>
    </w:p>
    <w:p w14:paraId="04C4BE69">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4.3.12</w:t>
      </w:r>
      <w:r>
        <w:rPr>
          <w:rFonts w:hint="default" w:ascii="Times New Roman" w:hAnsi="Times New Roman" w:eastAsia="宋体" w:cs="Times New Roman"/>
          <w:color w:val="auto"/>
          <w:spacing w:val="-2"/>
          <w:sz w:val="24"/>
          <w:szCs w:val="24"/>
        </w:rPr>
        <w:t xml:space="preserve"> 场地、地基和基础的抗震鉴定</w:t>
      </w:r>
      <w:r>
        <w:rPr>
          <w:rFonts w:hint="default" w:ascii="Times New Roman" w:hAnsi="Times New Roman" w:eastAsia="宋体" w:cs="Times New Roman"/>
          <w:color w:val="auto"/>
          <w:spacing w:val="-3"/>
          <w:sz w:val="24"/>
          <w:szCs w:val="24"/>
        </w:rPr>
        <w:t>应符合以下要求：</w:t>
      </w:r>
    </w:p>
    <w:p w14:paraId="2279C163">
      <w:pPr>
        <w:keepNext w:val="0"/>
        <w:keepLines w:val="0"/>
        <w:pageBreakBefore w:val="0"/>
        <w:widowControl w:val="0"/>
        <w:kinsoku/>
        <w:wordWrap/>
        <w:overflowPunct/>
        <w:topLinePunct w:val="0"/>
        <w:autoSpaceDE/>
        <w:autoSpaceDN/>
        <w:bidi w:val="0"/>
        <w:adjustRightInd/>
        <w:snapToGrid/>
        <w:spacing w:line="360" w:lineRule="exact"/>
        <w:ind w:left="0" w:right="0" w:firstLine="456"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6"/>
          <w:sz w:val="24"/>
          <w:szCs w:val="24"/>
        </w:rPr>
        <w:t>1</w:t>
      </w:r>
      <w:r>
        <w:rPr>
          <w:rFonts w:hint="eastAsia" w:ascii="Times New Roman" w:hAnsi="Times New Roman" w:eastAsia="宋体" w:cs="Times New Roman"/>
          <w:color w:val="auto"/>
          <w:spacing w:val="-6"/>
          <w:sz w:val="24"/>
          <w:szCs w:val="24"/>
          <w:lang w:val="en-US" w:eastAsia="zh-CN"/>
        </w:rPr>
        <w:t xml:space="preserve"> </w:t>
      </w:r>
      <w:r>
        <w:rPr>
          <w:rFonts w:hint="default" w:ascii="Times New Roman" w:hAnsi="Times New Roman" w:eastAsia="宋体" w:cs="Times New Roman"/>
          <w:color w:val="auto"/>
          <w:spacing w:val="-49"/>
          <w:sz w:val="24"/>
          <w:szCs w:val="24"/>
        </w:rPr>
        <w:t xml:space="preserve"> </w:t>
      </w:r>
      <w:r>
        <w:rPr>
          <w:rFonts w:hint="default" w:ascii="Times New Roman" w:hAnsi="Times New Roman" w:eastAsia="宋体" w:cs="Times New Roman"/>
          <w:color w:val="auto"/>
          <w:spacing w:val="-6"/>
          <w:sz w:val="24"/>
          <w:szCs w:val="24"/>
        </w:rPr>
        <w:t>6、7度时及建造于对地震有利地段的既有建筑，可不进行场地对建筑</w:t>
      </w:r>
      <w:r>
        <w:rPr>
          <w:rFonts w:hint="default" w:ascii="Times New Roman" w:hAnsi="Times New Roman" w:eastAsia="宋体" w:cs="Times New Roman"/>
          <w:color w:val="auto"/>
          <w:spacing w:val="-7"/>
          <w:sz w:val="24"/>
          <w:szCs w:val="24"/>
        </w:rPr>
        <w:t>影响的抗震鉴定。</w:t>
      </w:r>
    </w:p>
    <w:p w14:paraId="6A9B7619">
      <w:pPr>
        <w:keepNext w:val="0"/>
        <w:keepLines w:val="0"/>
        <w:pageBreakBefore w:val="0"/>
        <w:widowControl w:val="0"/>
        <w:kinsoku/>
        <w:wordWrap/>
        <w:overflowPunct/>
        <w:topLinePunct w:val="0"/>
        <w:autoSpaceDE/>
        <w:autoSpaceDN/>
        <w:bidi w:val="0"/>
        <w:adjustRightInd/>
        <w:snapToGrid/>
        <w:spacing w:line="360" w:lineRule="exact"/>
        <w:ind w:left="0" w:right="0" w:firstLine="47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2 符合</w:t>
      </w:r>
      <w:r>
        <w:rPr>
          <w:rFonts w:hint="default" w:ascii="Times New Roman" w:hAnsi="Times New Roman" w:eastAsia="宋体" w:cs="Times New Roman"/>
          <w:color w:val="auto"/>
          <w:spacing w:val="-6"/>
          <w:sz w:val="24"/>
          <w:szCs w:val="24"/>
        </w:rPr>
        <w:t>下列</w:t>
      </w:r>
      <w:r>
        <w:rPr>
          <w:rFonts w:hint="default" w:ascii="Times New Roman" w:hAnsi="Times New Roman" w:eastAsia="宋体" w:cs="Times New Roman"/>
          <w:color w:val="auto"/>
          <w:spacing w:val="-2"/>
          <w:sz w:val="24"/>
          <w:szCs w:val="24"/>
        </w:rPr>
        <w:t>情况之一的既有建筑，可不进行地基基础</w:t>
      </w:r>
      <w:r>
        <w:rPr>
          <w:rFonts w:hint="default" w:ascii="Times New Roman" w:hAnsi="Times New Roman" w:eastAsia="宋体" w:cs="Times New Roman"/>
          <w:color w:val="auto"/>
          <w:spacing w:val="-3"/>
          <w:sz w:val="24"/>
          <w:szCs w:val="24"/>
        </w:rPr>
        <w:t>的抗震鉴定：</w:t>
      </w:r>
    </w:p>
    <w:p w14:paraId="684E0716">
      <w:pPr>
        <w:keepNext w:val="0"/>
        <w:keepLines w:val="0"/>
        <w:pageBreakBefore w:val="0"/>
        <w:widowControl w:val="0"/>
        <w:kinsoku/>
        <w:wordWrap/>
        <w:overflowPunct/>
        <w:topLinePunct w:val="0"/>
        <w:autoSpaceDE/>
        <w:autoSpaceDN/>
        <w:bidi w:val="0"/>
        <w:adjustRightInd/>
        <w:snapToGrid/>
        <w:spacing w:line="360" w:lineRule="exact"/>
        <w:ind w:left="240" w:leftChars="100" w:right="0" w:firstLine="448"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8"/>
          <w:sz w:val="24"/>
          <w:szCs w:val="24"/>
        </w:rPr>
        <w:t>1）适度设防类建筑；</w:t>
      </w:r>
    </w:p>
    <w:p w14:paraId="5C1D678F">
      <w:pPr>
        <w:keepNext w:val="0"/>
        <w:keepLines w:val="0"/>
        <w:pageBreakBefore w:val="0"/>
        <w:widowControl w:val="0"/>
        <w:kinsoku/>
        <w:wordWrap/>
        <w:overflowPunct/>
        <w:topLinePunct w:val="0"/>
        <w:autoSpaceDE/>
        <w:autoSpaceDN/>
        <w:bidi w:val="0"/>
        <w:adjustRightInd/>
        <w:snapToGrid/>
        <w:spacing w:line="360" w:lineRule="exact"/>
        <w:ind w:left="240" w:leftChars="100" w:right="0" w:firstLine="484" w:firstLineChars="200"/>
        <w:jc w:val="left"/>
        <w:textAlignment w:val="auto"/>
        <w:rPr>
          <w:rFonts w:hint="default" w:ascii="Times New Roman" w:hAnsi="Times New Roman" w:eastAsia="宋体" w:cs="Times New Roman"/>
          <w:color w:val="auto"/>
          <w:spacing w:val="-8"/>
          <w:sz w:val="24"/>
          <w:szCs w:val="24"/>
        </w:rPr>
      </w:pPr>
      <w:r>
        <w:rPr>
          <w:rFonts w:hint="default" w:ascii="Times New Roman" w:hAnsi="Times New Roman" w:eastAsia="宋体" w:cs="Times New Roman"/>
          <w:color w:val="auto"/>
          <w:spacing w:val="1"/>
          <w:sz w:val="24"/>
          <w:szCs w:val="24"/>
        </w:rPr>
        <w:t>2）地基</w:t>
      </w:r>
      <w:r>
        <w:rPr>
          <w:rFonts w:hint="default" w:ascii="Times New Roman" w:hAnsi="Times New Roman" w:eastAsia="宋体" w:cs="Times New Roman"/>
          <w:color w:val="auto"/>
          <w:spacing w:val="-8"/>
          <w:sz w:val="24"/>
          <w:szCs w:val="24"/>
        </w:rPr>
        <w:t>主要受力层范围内不存在软弱土、饱和砂土和饱和粉土或严重不均匀土层的重点设防类、标准设防类建筑；</w:t>
      </w:r>
    </w:p>
    <w:p w14:paraId="5399AE80">
      <w:pPr>
        <w:keepNext w:val="0"/>
        <w:keepLines w:val="0"/>
        <w:pageBreakBefore w:val="0"/>
        <w:widowControl w:val="0"/>
        <w:kinsoku/>
        <w:wordWrap/>
        <w:overflowPunct/>
        <w:topLinePunct w:val="0"/>
        <w:autoSpaceDE/>
        <w:autoSpaceDN/>
        <w:bidi w:val="0"/>
        <w:adjustRightInd/>
        <w:snapToGrid/>
        <w:spacing w:line="360" w:lineRule="exact"/>
        <w:ind w:left="240" w:leftChars="100" w:right="0" w:firstLine="448" w:firstLineChars="200"/>
        <w:textAlignment w:val="auto"/>
        <w:rPr>
          <w:rFonts w:hint="default" w:ascii="Times New Roman" w:hAnsi="Times New Roman" w:eastAsia="宋体" w:cs="Times New Roman"/>
          <w:color w:val="auto"/>
          <w:spacing w:val="-8"/>
          <w:sz w:val="24"/>
          <w:szCs w:val="24"/>
        </w:rPr>
      </w:pPr>
      <w:r>
        <w:rPr>
          <w:rFonts w:hint="default" w:ascii="Times New Roman" w:hAnsi="Times New Roman" w:eastAsia="宋体" w:cs="Times New Roman"/>
          <w:color w:val="auto"/>
          <w:spacing w:val="-8"/>
          <w:sz w:val="24"/>
          <w:szCs w:val="24"/>
        </w:rPr>
        <w:t>3）6度时的各类建筑；</w:t>
      </w:r>
    </w:p>
    <w:p w14:paraId="40322B41">
      <w:pPr>
        <w:keepNext w:val="0"/>
        <w:keepLines w:val="0"/>
        <w:pageBreakBefore w:val="0"/>
        <w:widowControl w:val="0"/>
        <w:kinsoku/>
        <w:wordWrap/>
        <w:overflowPunct/>
        <w:topLinePunct w:val="0"/>
        <w:autoSpaceDE/>
        <w:autoSpaceDN/>
        <w:bidi w:val="0"/>
        <w:adjustRightInd/>
        <w:snapToGrid/>
        <w:spacing w:line="360" w:lineRule="exact"/>
        <w:ind w:left="240" w:leftChars="100" w:right="0" w:firstLine="448"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8"/>
          <w:sz w:val="24"/>
          <w:szCs w:val="24"/>
        </w:rPr>
        <w:t>4）7度时，基础现</w:t>
      </w:r>
      <w:r>
        <w:rPr>
          <w:rFonts w:hint="default" w:ascii="Times New Roman" w:hAnsi="Times New Roman" w:eastAsia="宋体" w:cs="Times New Roman"/>
          <w:color w:val="auto"/>
          <w:spacing w:val="-2"/>
          <w:sz w:val="24"/>
          <w:szCs w:val="24"/>
        </w:rPr>
        <w:t>状无静载下出现严重缺陷的重点设防类、标准设防类建筑。</w:t>
      </w:r>
    </w:p>
    <w:p w14:paraId="59E5BF69">
      <w:pPr>
        <w:keepNext w:val="0"/>
        <w:keepLines w:val="0"/>
        <w:pageBreakBefore w:val="0"/>
        <w:widowControl w:val="0"/>
        <w:kinsoku/>
        <w:wordWrap/>
        <w:overflowPunct/>
        <w:topLinePunct w:val="0"/>
        <w:autoSpaceDE/>
        <w:autoSpaceDN/>
        <w:bidi w:val="0"/>
        <w:adjustRightInd/>
        <w:snapToGrid/>
        <w:spacing w:line="360" w:lineRule="exact"/>
        <w:ind w:left="0" w:right="0" w:hanging="2"/>
        <w:textAlignment w:val="auto"/>
        <w:rPr>
          <w:rFonts w:hint="default" w:ascii="Times New Roman" w:hAnsi="Times New Roman" w:eastAsia="宋体" w:cs="Times New Roman"/>
          <w:color w:val="auto"/>
          <w:spacing w:val="-3"/>
          <w:sz w:val="24"/>
          <w:szCs w:val="24"/>
        </w:rPr>
      </w:pPr>
      <w:r>
        <w:rPr>
          <w:rFonts w:hint="default" w:ascii="Times New Roman" w:hAnsi="Times New Roman" w:eastAsia="宋体" w:cs="Times New Roman"/>
          <w:b/>
          <w:bCs/>
          <w:color w:val="auto"/>
          <w:sz w:val="24"/>
          <w:szCs w:val="24"/>
          <w:lang w:val="en-US" w:eastAsia="zh-CN"/>
        </w:rPr>
        <w:t>4.3.13</w:t>
      </w:r>
      <w:r>
        <w:rPr>
          <w:rFonts w:hint="default" w:ascii="Times New Roman" w:hAnsi="Times New Roman" w:eastAsia="宋体" w:cs="Times New Roman"/>
          <w:color w:val="auto"/>
          <w:spacing w:val="1"/>
          <w:sz w:val="24"/>
          <w:szCs w:val="24"/>
        </w:rPr>
        <w:t xml:space="preserve"> 对建造于危险地段的既有建筑，应结合规划进行更新（迁离</w:t>
      </w:r>
      <w:r>
        <w:rPr>
          <w:rFonts w:hint="default" w:ascii="Times New Roman" w:hAnsi="Times New Roman" w:eastAsia="宋体" w:cs="Times New Roman"/>
          <w:color w:val="auto"/>
          <w:spacing w:val="-50"/>
          <w:sz w:val="24"/>
          <w:szCs w:val="24"/>
        </w:rPr>
        <w:t>）；</w:t>
      </w:r>
      <w:r>
        <w:rPr>
          <w:rFonts w:hint="default" w:ascii="Times New Roman" w:hAnsi="Times New Roman" w:eastAsia="宋体" w:cs="Times New Roman"/>
          <w:color w:val="auto"/>
          <w:spacing w:val="1"/>
          <w:sz w:val="24"/>
          <w:szCs w:val="24"/>
        </w:rPr>
        <w:t>暂时</w:t>
      </w:r>
      <w:r>
        <w:rPr>
          <w:rFonts w:hint="default" w:ascii="Times New Roman" w:hAnsi="Times New Roman" w:eastAsia="宋体" w:cs="Times New Roman"/>
          <w:color w:val="auto"/>
          <w:sz w:val="24"/>
          <w:szCs w:val="24"/>
        </w:rPr>
        <w:t>不能更新的，应</w:t>
      </w:r>
      <w:r>
        <w:rPr>
          <w:rFonts w:hint="default" w:ascii="Times New Roman" w:hAnsi="Times New Roman" w:eastAsia="宋体" w:cs="Times New Roman"/>
          <w:color w:val="auto"/>
          <w:spacing w:val="-3"/>
          <w:sz w:val="24"/>
          <w:szCs w:val="24"/>
        </w:rPr>
        <w:t>经专门研究采取应急的安全措施。</w:t>
      </w:r>
    </w:p>
    <w:p w14:paraId="37B5372F">
      <w:pPr>
        <w:keepNext w:val="0"/>
        <w:keepLines w:val="0"/>
        <w:pageBreakBefore w:val="0"/>
        <w:widowControl w:val="0"/>
        <w:kinsoku/>
        <w:wordWrap/>
        <w:overflowPunct/>
        <w:topLinePunct w:val="0"/>
        <w:autoSpaceDE/>
        <w:autoSpaceDN/>
        <w:bidi w:val="0"/>
        <w:adjustRightInd/>
        <w:snapToGrid/>
        <w:spacing w:line="360" w:lineRule="exact"/>
        <w:ind w:left="0" w:right="0" w:hanging="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4.3.14</w:t>
      </w:r>
      <w:r>
        <w:rPr>
          <w:rFonts w:hint="default" w:ascii="Times New Roman" w:hAnsi="Times New Roman" w:eastAsia="宋体" w:cs="Times New Roman"/>
          <w:color w:val="auto"/>
          <w:spacing w:val="-1"/>
          <w:sz w:val="24"/>
          <w:szCs w:val="24"/>
        </w:rPr>
        <w:t xml:space="preserve"> 设防烈度为7度～9度时，建筑场地为条状突出山嘴、高耸孤立山丘、非岩石和强风</w:t>
      </w:r>
      <w:r>
        <w:rPr>
          <w:rFonts w:hint="default" w:ascii="Times New Roman" w:hAnsi="Times New Roman" w:eastAsia="宋体" w:cs="Times New Roman"/>
          <w:color w:val="auto"/>
          <w:spacing w:val="-2"/>
          <w:sz w:val="24"/>
          <w:szCs w:val="24"/>
        </w:rPr>
        <w:t>化岩石陡坡、河岸和边坡的边缘等不利地段，应对其地震稳定性、地基滑移及对建筑的可能</w:t>
      </w:r>
      <w:r>
        <w:rPr>
          <w:rFonts w:hint="default" w:ascii="Times New Roman" w:hAnsi="Times New Roman" w:eastAsia="宋体" w:cs="Times New Roman"/>
          <w:color w:val="auto"/>
          <w:spacing w:val="-1"/>
          <w:sz w:val="24"/>
          <w:szCs w:val="24"/>
        </w:rPr>
        <w:t>危害进行评估；非岩石和强风化岩石斜坡的坡</w:t>
      </w:r>
      <w:r>
        <w:rPr>
          <w:rFonts w:hint="default" w:ascii="Times New Roman" w:hAnsi="Times New Roman" w:eastAsia="宋体" w:cs="Times New Roman"/>
          <w:color w:val="auto"/>
          <w:spacing w:val="-2"/>
          <w:sz w:val="24"/>
          <w:szCs w:val="24"/>
        </w:rPr>
        <w:t>度及建筑场地与坡脚的高差均较大时，应评估</w:t>
      </w:r>
      <w:r>
        <w:rPr>
          <w:rFonts w:hint="default" w:ascii="Times New Roman" w:hAnsi="Times New Roman" w:eastAsia="宋体" w:cs="Times New Roman"/>
          <w:color w:val="auto"/>
          <w:spacing w:val="-3"/>
          <w:sz w:val="24"/>
          <w:szCs w:val="24"/>
        </w:rPr>
        <w:t>局部地形导致其地震影响增大的后果。</w:t>
      </w:r>
    </w:p>
    <w:p w14:paraId="6B1FBBE2">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4.3.15</w:t>
      </w:r>
      <w:r>
        <w:rPr>
          <w:rFonts w:hint="default" w:ascii="Times New Roman" w:hAnsi="Times New Roman" w:eastAsia="宋体" w:cs="Times New Roman"/>
          <w:color w:val="auto"/>
          <w:spacing w:val="-1"/>
          <w:sz w:val="24"/>
          <w:szCs w:val="24"/>
        </w:rPr>
        <w:t xml:space="preserve"> 建筑场地有液化侧向扩展时，应判明液化后土体流滑</w:t>
      </w:r>
      <w:r>
        <w:rPr>
          <w:rFonts w:hint="default" w:ascii="Times New Roman" w:hAnsi="Times New Roman" w:eastAsia="宋体" w:cs="Times New Roman"/>
          <w:color w:val="auto"/>
          <w:spacing w:val="-2"/>
          <w:sz w:val="24"/>
          <w:szCs w:val="24"/>
        </w:rPr>
        <w:t>与开裂的危险。</w:t>
      </w:r>
    </w:p>
    <w:p w14:paraId="266B1E62">
      <w:pPr>
        <w:keepNext w:val="0"/>
        <w:keepLines w:val="0"/>
        <w:pageBreakBefore w:val="0"/>
        <w:widowControl w:val="0"/>
        <w:kinsoku/>
        <w:wordWrap/>
        <w:overflowPunct/>
        <w:topLinePunct w:val="0"/>
        <w:autoSpaceDE/>
        <w:autoSpaceDN/>
        <w:bidi w:val="0"/>
        <w:adjustRightInd/>
        <w:snapToGrid/>
        <w:spacing w:line="360" w:lineRule="exact"/>
        <w:ind w:left="0" w:right="0" w:hanging="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4.3.16</w:t>
      </w:r>
      <w:r>
        <w:rPr>
          <w:rFonts w:hint="default" w:ascii="Times New Roman" w:hAnsi="Times New Roman" w:eastAsia="宋体" w:cs="Times New Roman"/>
          <w:color w:val="auto"/>
          <w:spacing w:val="-1"/>
          <w:sz w:val="24"/>
          <w:szCs w:val="24"/>
        </w:rPr>
        <w:t xml:space="preserve"> 地基和基础的抗震鉴定应符合现行国家标准《建筑抗震鉴定标准》GB</w:t>
      </w:r>
      <w:r>
        <w:rPr>
          <w:rFonts w:hint="default" w:ascii="Times New Roman" w:hAnsi="Times New Roman" w:eastAsia="宋体" w:cs="Times New Roman"/>
          <w:color w:val="auto"/>
          <w:spacing w:val="-1"/>
          <w:sz w:val="24"/>
          <w:szCs w:val="24"/>
          <w:lang w:val="en-US" w:eastAsia="zh-CN"/>
        </w:rPr>
        <w:t xml:space="preserve"> </w:t>
      </w:r>
      <w:r>
        <w:rPr>
          <w:rFonts w:hint="default" w:ascii="Times New Roman" w:hAnsi="Times New Roman" w:eastAsia="宋体" w:cs="Times New Roman"/>
          <w:color w:val="auto"/>
          <w:spacing w:val="-1"/>
          <w:sz w:val="24"/>
          <w:szCs w:val="24"/>
        </w:rPr>
        <w:t>50023的相关要</w:t>
      </w:r>
      <w:r>
        <w:rPr>
          <w:rFonts w:hint="default" w:ascii="Times New Roman" w:hAnsi="Times New Roman" w:eastAsia="宋体" w:cs="Times New Roman"/>
          <w:color w:val="auto"/>
          <w:spacing w:val="-12"/>
          <w:sz w:val="24"/>
          <w:szCs w:val="24"/>
        </w:rPr>
        <w:t>求。</w:t>
      </w:r>
    </w:p>
    <w:p w14:paraId="6704A87B">
      <w:pPr>
        <w:keepNext w:val="0"/>
        <w:keepLines w:val="0"/>
        <w:pageBreakBefore w:val="0"/>
        <w:widowControl w:val="0"/>
        <w:kinsoku/>
        <w:wordWrap/>
        <w:overflowPunct/>
        <w:topLinePunct w:val="0"/>
        <w:autoSpaceDE/>
        <w:autoSpaceDN/>
        <w:bidi w:val="0"/>
        <w:adjustRightInd/>
        <w:snapToGrid/>
        <w:spacing w:line="360" w:lineRule="exact"/>
        <w:ind w:left="0" w:right="0" w:firstLine="497"/>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6"/>
          <w:sz w:val="24"/>
          <w:szCs w:val="24"/>
        </w:rPr>
        <w:t>1 对地基基础现状进行鉴定时，当基础无腐蚀、酥碱</w:t>
      </w:r>
      <w:r>
        <w:rPr>
          <w:rFonts w:hint="default" w:ascii="Times New Roman" w:hAnsi="Times New Roman" w:eastAsia="宋体" w:cs="Times New Roman"/>
          <w:color w:val="auto"/>
          <w:spacing w:val="-7"/>
          <w:sz w:val="24"/>
          <w:szCs w:val="24"/>
        </w:rPr>
        <w:t>、松散和剥落，上部结构无不均匀</w:t>
      </w:r>
      <w:r>
        <w:rPr>
          <w:rFonts w:hint="default" w:ascii="Times New Roman" w:hAnsi="Times New Roman" w:eastAsia="宋体" w:cs="Times New Roman"/>
          <w:color w:val="auto"/>
          <w:spacing w:val="-6"/>
          <w:sz w:val="24"/>
          <w:szCs w:val="24"/>
        </w:rPr>
        <w:t>沉降裂缝和倾斜，或虽有裂缝、倾斜但不严重且无发展趋势，该地基基础可评为无严重静载</w:t>
      </w:r>
      <w:r>
        <w:rPr>
          <w:rFonts w:hint="default" w:ascii="Times New Roman" w:hAnsi="Times New Roman" w:eastAsia="宋体" w:cs="Times New Roman"/>
          <w:color w:val="auto"/>
          <w:spacing w:val="-10"/>
          <w:sz w:val="24"/>
          <w:szCs w:val="24"/>
        </w:rPr>
        <w:t>缺陷。</w:t>
      </w:r>
    </w:p>
    <w:p w14:paraId="336557EA">
      <w:pPr>
        <w:keepNext w:val="0"/>
        <w:keepLines w:val="0"/>
        <w:pageBreakBefore w:val="0"/>
        <w:widowControl w:val="0"/>
        <w:kinsoku/>
        <w:wordWrap/>
        <w:overflowPunct/>
        <w:topLinePunct w:val="0"/>
        <w:autoSpaceDE/>
        <w:autoSpaceDN/>
        <w:bidi w:val="0"/>
        <w:adjustRightInd/>
        <w:snapToGrid/>
        <w:spacing w:line="360" w:lineRule="exact"/>
        <w:ind w:left="0" w:right="0" w:firstLine="48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6"/>
          <w:sz w:val="24"/>
          <w:szCs w:val="24"/>
        </w:rPr>
        <w:t>2 存在软弱土、饱和砂土和饱和粉土的地基基础，应根据其设防烈度、设防类别、场地类别、建筑现状和基础类型，进行地震液化、震陷及抗震能力的鉴定。静载下已出现严重缺</w:t>
      </w:r>
      <w:r>
        <w:rPr>
          <w:rFonts w:hint="default" w:ascii="Times New Roman" w:hAnsi="Times New Roman" w:eastAsia="宋体" w:cs="Times New Roman"/>
          <w:color w:val="auto"/>
          <w:spacing w:val="-2"/>
          <w:sz w:val="24"/>
          <w:szCs w:val="24"/>
        </w:rPr>
        <w:t>陷的地基基础，应同时审核其静载下的承载能力。</w:t>
      </w:r>
    </w:p>
    <w:p w14:paraId="563FE220">
      <w:pPr>
        <w:keepNext w:val="0"/>
        <w:keepLines w:val="0"/>
        <w:pageBreakBefore w:val="0"/>
        <w:widowControl w:val="0"/>
        <w:kinsoku/>
        <w:wordWrap/>
        <w:overflowPunct/>
        <w:topLinePunct w:val="0"/>
        <w:autoSpaceDE/>
        <w:autoSpaceDN/>
        <w:bidi w:val="0"/>
        <w:adjustRightInd/>
        <w:snapToGrid/>
        <w:spacing w:line="360" w:lineRule="exact"/>
        <w:ind w:left="0" w:right="0" w:hanging="1"/>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4.3.17</w:t>
      </w:r>
      <w:r>
        <w:rPr>
          <w:rFonts w:hint="default" w:ascii="Times New Roman" w:hAnsi="Times New Roman" w:eastAsia="宋体" w:cs="Times New Roman"/>
          <w:color w:val="auto"/>
          <w:sz w:val="24"/>
          <w:szCs w:val="24"/>
        </w:rPr>
        <w:t xml:space="preserve"> 天然地基的竖向承载力，可按现行国家标准《建</w:t>
      </w:r>
      <w:r>
        <w:rPr>
          <w:rFonts w:hint="default" w:ascii="Times New Roman" w:hAnsi="Times New Roman" w:eastAsia="宋体" w:cs="Times New Roman"/>
          <w:color w:val="auto"/>
          <w:spacing w:val="-1"/>
          <w:sz w:val="24"/>
          <w:szCs w:val="24"/>
        </w:rPr>
        <w:t>筑抗震设计</w:t>
      </w:r>
      <w:r>
        <w:rPr>
          <w:rFonts w:hint="default" w:ascii="Times New Roman" w:hAnsi="Times New Roman" w:eastAsia="宋体" w:cs="Times New Roman"/>
          <w:color w:val="auto"/>
          <w:spacing w:val="-1"/>
          <w:sz w:val="24"/>
          <w:szCs w:val="24"/>
          <w:lang w:val="en-US" w:eastAsia="zh-CN"/>
        </w:rPr>
        <w:t>标准</w:t>
      </w:r>
      <w:r>
        <w:rPr>
          <w:rFonts w:hint="default" w:ascii="Times New Roman" w:hAnsi="Times New Roman" w:eastAsia="宋体" w:cs="Times New Roman"/>
          <w:color w:val="auto"/>
          <w:spacing w:val="-1"/>
          <w:sz w:val="24"/>
          <w:szCs w:val="24"/>
        </w:rPr>
        <w:t>》GB</w:t>
      </w:r>
      <w:r>
        <w:rPr>
          <w:rFonts w:hint="default" w:ascii="Times New Roman" w:hAnsi="Times New Roman" w:eastAsia="宋体" w:cs="Times New Roman"/>
          <w:color w:val="auto"/>
          <w:spacing w:val="-1"/>
          <w:sz w:val="24"/>
          <w:szCs w:val="24"/>
          <w:lang w:val="en-US" w:eastAsia="zh-CN"/>
        </w:rPr>
        <w:t xml:space="preserve">/T </w:t>
      </w:r>
      <w:r>
        <w:rPr>
          <w:rFonts w:hint="default" w:ascii="Times New Roman" w:hAnsi="Times New Roman" w:eastAsia="宋体" w:cs="Times New Roman"/>
          <w:color w:val="auto"/>
          <w:spacing w:val="-1"/>
          <w:sz w:val="24"/>
          <w:szCs w:val="24"/>
        </w:rPr>
        <w:t>50011规定的方</w:t>
      </w:r>
      <w:r>
        <w:rPr>
          <w:rFonts w:hint="default" w:ascii="Times New Roman" w:hAnsi="Times New Roman" w:eastAsia="宋体" w:cs="Times New Roman"/>
          <w:color w:val="auto"/>
          <w:spacing w:val="-2"/>
          <w:sz w:val="24"/>
          <w:szCs w:val="24"/>
        </w:rPr>
        <w:t>法验算，其中，地基土静承载力特征值应改用长期压密地基土静承载力特征值，其计算方法</w:t>
      </w:r>
      <w:r>
        <w:rPr>
          <w:rFonts w:hint="default" w:ascii="Times New Roman" w:hAnsi="Times New Roman" w:eastAsia="宋体" w:cs="Times New Roman"/>
          <w:color w:val="auto"/>
          <w:spacing w:val="-3"/>
          <w:sz w:val="24"/>
          <w:szCs w:val="24"/>
        </w:rPr>
        <w:t>可参见《建筑抗震鉴定标准》GB</w:t>
      </w:r>
      <w:r>
        <w:rPr>
          <w:rFonts w:hint="default" w:ascii="Times New Roman" w:hAnsi="Times New Roman" w:eastAsia="宋体" w:cs="Times New Roman"/>
          <w:color w:val="auto"/>
          <w:spacing w:val="-3"/>
          <w:sz w:val="24"/>
          <w:szCs w:val="24"/>
          <w:lang w:val="en-US" w:eastAsia="zh-CN"/>
        </w:rPr>
        <w:t xml:space="preserve"> </w:t>
      </w:r>
      <w:r>
        <w:rPr>
          <w:rFonts w:hint="default" w:ascii="Times New Roman" w:hAnsi="Times New Roman" w:eastAsia="宋体" w:cs="Times New Roman"/>
          <w:color w:val="auto"/>
          <w:spacing w:val="-3"/>
          <w:sz w:val="24"/>
          <w:szCs w:val="24"/>
        </w:rPr>
        <w:t>50023的相关规定。</w:t>
      </w:r>
    </w:p>
    <w:p w14:paraId="15764409">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4.3.18</w:t>
      </w:r>
      <w:r>
        <w:rPr>
          <w:rFonts w:hint="default" w:ascii="Times New Roman" w:hAnsi="Times New Roman" w:eastAsia="宋体" w:cs="Times New Roman"/>
          <w:color w:val="auto"/>
          <w:spacing w:val="33"/>
          <w:sz w:val="24"/>
          <w:szCs w:val="24"/>
        </w:rPr>
        <w:t xml:space="preserve"> </w:t>
      </w:r>
      <w:r>
        <w:rPr>
          <w:rFonts w:hint="default" w:ascii="Times New Roman" w:hAnsi="Times New Roman" w:eastAsia="宋体" w:cs="Times New Roman"/>
          <w:color w:val="auto"/>
          <w:spacing w:val="-2"/>
          <w:sz w:val="24"/>
          <w:szCs w:val="24"/>
        </w:rPr>
        <w:t>同一建筑单元存在不同类型基础或基础埋深不同时，宜根据地震</w:t>
      </w:r>
      <w:r>
        <w:rPr>
          <w:rFonts w:hint="default" w:ascii="Times New Roman" w:hAnsi="Times New Roman" w:eastAsia="宋体" w:cs="Times New Roman"/>
          <w:color w:val="auto"/>
          <w:spacing w:val="-3"/>
          <w:sz w:val="24"/>
          <w:szCs w:val="24"/>
        </w:rPr>
        <w:t>时可能产生的不利影</w:t>
      </w:r>
      <w:r>
        <w:rPr>
          <w:rFonts w:hint="default" w:ascii="Times New Roman" w:hAnsi="Times New Roman" w:eastAsia="宋体" w:cs="Times New Roman"/>
          <w:color w:val="auto"/>
          <w:spacing w:val="-1"/>
          <w:sz w:val="24"/>
          <w:szCs w:val="24"/>
        </w:rPr>
        <w:t>响，考虑地震导致两部分地基的差异沉降，</w:t>
      </w:r>
      <w:r>
        <w:rPr>
          <w:rFonts w:hint="default" w:ascii="Times New Roman" w:hAnsi="Times New Roman" w:eastAsia="宋体" w:cs="Times New Roman"/>
          <w:color w:val="auto"/>
          <w:spacing w:val="-2"/>
          <w:sz w:val="24"/>
          <w:szCs w:val="24"/>
        </w:rPr>
        <w:t>检查基础抵抗差异沉降的能力，并检查上部结构相应部位的构造抵抗附加地震作用和差异沉降的能力。</w:t>
      </w:r>
    </w:p>
    <w:p w14:paraId="3C217AD7">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4.3.19</w:t>
      </w:r>
      <w:r>
        <w:rPr>
          <w:rFonts w:hint="default" w:ascii="Times New Roman" w:hAnsi="Times New Roman" w:eastAsia="宋体" w:cs="Times New Roman"/>
          <w:color w:val="auto"/>
          <w:spacing w:val="-2"/>
          <w:sz w:val="24"/>
          <w:szCs w:val="24"/>
        </w:rPr>
        <w:t xml:space="preserve"> 既有建筑宏观控制和抗震措施核查的基本内容及要求应符合下列规定：</w:t>
      </w:r>
    </w:p>
    <w:p w14:paraId="130C7434">
      <w:pPr>
        <w:keepNext w:val="0"/>
        <w:keepLines w:val="0"/>
        <w:pageBreakBefore w:val="0"/>
        <w:widowControl w:val="0"/>
        <w:kinsoku/>
        <w:wordWrap/>
        <w:overflowPunct/>
        <w:topLinePunct w:val="0"/>
        <w:autoSpaceDE/>
        <w:autoSpaceDN/>
        <w:bidi w:val="0"/>
        <w:adjustRightInd/>
        <w:snapToGrid/>
        <w:spacing w:line="360" w:lineRule="exact"/>
        <w:ind w:left="0" w:right="0" w:firstLine="456" w:firstLineChars="200"/>
        <w:textAlignment w:val="auto"/>
        <w:rPr>
          <w:rFonts w:hint="default" w:ascii="Times New Roman" w:hAnsi="Times New Roman" w:eastAsia="宋体" w:cs="Times New Roman"/>
          <w:color w:val="auto"/>
          <w:spacing w:val="-4"/>
          <w:sz w:val="24"/>
          <w:szCs w:val="24"/>
        </w:rPr>
      </w:pPr>
      <w:r>
        <w:rPr>
          <w:rFonts w:hint="default" w:ascii="Times New Roman" w:hAnsi="Times New Roman" w:eastAsia="宋体" w:cs="Times New Roman"/>
          <w:color w:val="auto"/>
          <w:spacing w:val="-6"/>
          <w:sz w:val="24"/>
          <w:szCs w:val="24"/>
        </w:rPr>
        <w:t>1 当建</w:t>
      </w:r>
      <w:r>
        <w:rPr>
          <w:rFonts w:hint="default" w:ascii="Times New Roman" w:hAnsi="Times New Roman" w:eastAsia="宋体" w:cs="Times New Roman"/>
          <w:color w:val="auto"/>
          <w:spacing w:val="-4"/>
          <w:sz w:val="24"/>
          <w:szCs w:val="24"/>
        </w:rPr>
        <w:t>筑的平立面、质量、刚度分布和墙体等抗侧力构件的布置在平面内明显不对称时，应进行地震扭转效应不利影响的分析；当结构竖向构件上下不连续或刚度沿高度分布有突变时，应找出薄弱部位并按相应的要求鉴定。</w:t>
      </w:r>
    </w:p>
    <w:p w14:paraId="5C581A8C">
      <w:pPr>
        <w:keepNext w:val="0"/>
        <w:keepLines w:val="0"/>
        <w:pageBreakBefore w:val="0"/>
        <w:widowControl w:val="0"/>
        <w:kinsoku/>
        <w:wordWrap/>
        <w:overflowPunct/>
        <w:topLinePunct w:val="0"/>
        <w:autoSpaceDE/>
        <w:autoSpaceDN/>
        <w:bidi w:val="0"/>
        <w:adjustRightInd/>
        <w:snapToGrid/>
        <w:spacing w:line="360" w:lineRule="exact"/>
        <w:ind w:left="0" w:right="0" w:firstLine="464"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4"/>
          <w:sz w:val="24"/>
          <w:szCs w:val="24"/>
        </w:rPr>
        <w:t xml:space="preserve">2 </w:t>
      </w:r>
      <w:r>
        <w:rPr>
          <w:rFonts w:hint="default" w:ascii="Times New Roman" w:hAnsi="Times New Roman" w:eastAsia="宋体" w:cs="Times New Roman"/>
          <w:color w:val="auto"/>
          <w:spacing w:val="-2"/>
          <w:sz w:val="24"/>
          <w:szCs w:val="24"/>
        </w:rPr>
        <w:t>检查结构体系时，应找出其破坏会导致整个体系丧失抗震能力或丧失静载下的承载能</w:t>
      </w:r>
      <w:r>
        <w:rPr>
          <w:rFonts w:hint="default" w:ascii="Times New Roman" w:hAnsi="Times New Roman" w:eastAsia="宋体" w:cs="Times New Roman"/>
          <w:color w:val="auto"/>
          <w:spacing w:val="-1"/>
          <w:sz w:val="24"/>
          <w:szCs w:val="24"/>
        </w:rPr>
        <w:t>力的部件或构件；当房屋有错层或不同类型结构</w:t>
      </w:r>
      <w:r>
        <w:rPr>
          <w:rFonts w:hint="default" w:ascii="Times New Roman" w:hAnsi="Times New Roman" w:eastAsia="宋体" w:cs="Times New Roman"/>
          <w:color w:val="auto"/>
          <w:spacing w:val="-2"/>
          <w:sz w:val="24"/>
          <w:szCs w:val="24"/>
        </w:rPr>
        <w:t>体系相连时，应提高其相应部位的抗震鉴定</w:t>
      </w:r>
      <w:r>
        <w:rPr>
          <w:rFonts w:hint="default" w:ascii="Times New Roman" w:hAnsi="Times New Roman" w:eastAsia="宋体" w:cs="Times New Roman"/>
          <w:color w:val="auto"/>
          <w:spacing w:val="-11"/>
          <w:sz w:val="24"/>
          <w:szCs w:val="24"/>
        </w:rPr>
        <w:t>要求。</w:t>
      </w:r>
    </w:p>
    <w:p w14:paraId="094A2456">
      <w:pPr>
        <w:keepNext w:val="0"/>
        <w:keepLines w:val="0"/>
        <w:pageBreakBefore w:val="0"/>
        <w:widowControl w:val="0"/>
        <w:kinsoku/>
        <w:wordWrap/>
        <w:overflowPunct/>
        <w:topLinePunct w:val="0"/>
        <w:autoSpaceDE/>
        <w:autoSpaceDN/>
        <w:bidi w:val="0"/>
        <w:adjustRightInd/>
        <w:snapToGrid/>
        <w:spacing w:line="360" w:lineRule="exact"/>
        <w:ind w:left="0" w:right="0" w:hanging="1"/>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4.3.20</w:t>
      </w:r>
      <w:r>
        <w:rPr>
          <w:rFonts w:hint="default" w:ascii="Times New Roman" w:hAnsi="Times New Roman" w:eastAsia="宋体" w:cs="Times New Roman"/>
          <w:color w:val="auto"/>
          <w:spacing w:val="1"/>
          <w:sz w:val="24"/>
          <w:szCs w:val="24"/>
        </w:rPr>
        <w:t xml:space="preserve"> 既有砌体房屋的抗震措施鉴定，应重点从以下几方面对房屋结构的抗震性能做出评</w:t>
      </w:r>
      <w:r>
        <w:rPr>
          <w:rFonts w:hint="default" w:ascii="Times New Roman" w:hAnsi="Times New Roman" w:eastAsia="宋体" w:cs="Times New Roman"/>
          <w:color w:val="auto"/>
          <w:spacing w:val="-17"/>
          <w:sz w:val="24"/>
          <w:szCs w:val="24"/>
        </w:rPr>
        <w:t>价：</w:t>
      </w:r>
    </w:p>
    <w:p w14:paraId="2D1DE569">
      <w:pPr>
        <w:keepNext w:val="0"/>
        <w:keepLines w:val="0"/>
        <w:pageBreakBefore w:val="0"/>
        <w:widowControl w:val="0"/>
        <w:kinsoku/>
        <w:wordWrap/>
        <w:overflowPunct/>
        <w:topLinePunct w:val="0"/>
        <w:autoSpaceDE/>
        <w:autoSpaceDN/>
        <w:bidi w:val="0"/>
        <w:adjustRightInd/>
        <w:snapToGrid/>
        <w:spacing w:line="360" w:lineRule="exact"/>
        <w:ind w:left="0" w:right="0" w:firstLine="464" w:firstLineChars="200"/>
        <w:textAlignment w:val="auto"/>
        <w:rPr>
          <w:rFonts w:hint="default" w:ascii="Times New Roman" w:hAnsi="Times New Roman" w:eastAsia="宋体" w:cs="Times New Roman"/>
          <w:color w:val="auto"/>
          <w:spacing w:val="-4"/>
          <w:sz w:val="24"/>
          <w:szCs w:val="24"/>
        </w:rPr>
      </w:pPr>
      <w:r>
        <w:rPr>
          <w:rFonts w:hint="default" w:ascii="Times New Roman" w:hAnsi="Times New Roman" w:eastAsia="宋体" w:cs="Times New Roman"/>
          <w:color w:val="auto"/>
          <w:spacing w:val="-4"/>
          <w:sz w:val="24"/>
          <w:szCs w:val="24"/>
        </w:rPr>
        <w:t>1 房屋高度和层数超过规定限值的情况。</w:t>
      </w:r>
    </w:p>
    <w:p w14:paraId="6268F04C">
      <w:pPr>
        <w:keepNext w:val="0"/>
        <w:keepLines w:val="0"/>
        <w:pageBreakBefore w:val="0"/>
        <w:widowControl w:val="0"/>
        <w:kinsoku/>
        <w:wordWrap/>
        <w:overflowPunct/>
        <w:topLinePunct w:val="0"/>
        <w:autoSpaceDE/>
        <w:autoSpaceDN/>
        <w:bidi w:val="0"/>
        <w:adjustRightInd/>
        <w:snapToGrid/>
        <w:spacing w:line="360" w:lineRule="exact"/>
        <w:ind w:left="0" w:right="0" w:firstLine="464" w:firstLineChars="200"/>
        <w:textAlignment w:val="auto"/>
        <w:rPr>
          <w:rFonts w:hint="default" w:ascii="Times New Roman" w:hAnsi="Times New Roman" w:eastAsia="宋体" w:cs="Times New Roman"/>
          <w:color w:val="auto"/>
          <w:spacing w:val="-4"/>
          <w:sz w:val="24"/>
          <w:szCs w:val="24"/>
        </w:rPr>
      </w:pPr>
      <w:r>
        <w:rPr>
          <w:rFonts w:hint="default" w:ascii="Times New Roman" w:hAnsi="Times New Roman" w:eastAsia="宋体" w:cs="Times New Roman"/>
          <w:color w:val="auto"/>
          <w:spacing w:val="-4"/>
          <w:sz w:val="24"/>
          <w:szCs w:val="24"/>
        </w:rPr>
        <w:t>2 结构体系的合理性、房屋的整体性以及连接构造的可靠性。</w:t>
      </w:r>
    </w:p>
    <w:p w14:paraId="6AF8882D">
      <w:pPr>
        <w:keepNext w:val="0"/>
        <w:keepLines w:val="0"/>
        <w:pageBreakBefore w:val="0"/>
        <w:widowControl w:val="0"/>
        <w:kinsoku/>
        <w:wordWrap/>
        <w:overflowPunct/>
        <w:topLinePunct w:val="0"/>
        <w:autoSpaceDE/>
        <w:autoSpaceDN/>
        <w:bidi w:val="0"/>
        <w:adjustRightInd/>
        <w:snapToGrid/>
        <w:spacing w:line="360" w:lineRule="exact"/>
        <w:ind w:left="0" w:right="0" w:firstLine="464" w:firstLineChars="200"/>
        <w:textAlignment w:val="auto"/>
        <w:rPr>
          <w:rFonts w:hint="default" w:ascii="Times New Roman" w:hAnsi="Times New Roman" w:eastAsia="宋体" w:cs="Times New Roman"/>
          <w:color w:val="auto"/>
          <w:spacing w:val="-4"/>
          <w:sz w:val="24"/>
          <w:szCs w:val="24"/>
        </w:rPr>
      </w:pPr>
      <w:r>
        <w:rPr>
          <w:rFonts w:hint="default" w:ascii="Times New Roman" w:hAnsi="Times New Roman" w:eastAsia="宋体" w:cs="Times New Roman"/>
          <w:color w:val="auto"/>
          <w:spacing w:val="-4"/>
          <w:sz w:val="24"/>
          <w:szCs w:val="24"/>
        </w:rPr>
        <w:t>3 局部易损易倒部位构件自身的安全性及其与主体结构连接构造的可靠性。</w:t>
      </w:r>
    </w:p>
    <w:p w14:paraId="2E2D2C7A">
      <w:pPr>
        <w:keepNext w:val="0"/>
        <w:keepLines w:val="0"/>
        <w:pageBreakBefore w:val="0"/>
        <w:widowControl w:val="0"/>
        <w:kinsoku/>
        <w:wordWrap/>
        <w:overflowPunct/>
        <w:topLinePunct w:val="0"/>
        <w:autoSpaceDE/>
        <w:autoSpaceDN/>
        <w:bidi w:val="0"/>
        <w:adjustRightInd/>
        <w:snapToGrid/>
        <w:spacing w:line="360" w:lineRule="exact"/>
        <w:ind w:left="0" w:right="0" w:firstLine="464" w:firstLineChars="200"/>
        <w:textAlignment w:val="auto"/>
        <w:rPr>
          <w:rFonts w:hint="default" w:ascii="Times New Roman" w:hAnsi="Times New Roman" w:eastAsia="宋体" w:cs="Times New Roman"/>
          <w:color w:val="auto"/>
          <w:spacing w:val="-6"/>
          <w:sz w:val="24"/>
          <w:szCs w:val="24"/>
        </w:rPr>
      </w:pPr>
      <w:r>
        <w:rPr>
          <w:rFonts w:hint="default" w:ascii="Times New Roman" w:hAnsi="Times New Roman" w:eastAsia="宋体" w:cs="Times New Roman"/>
          <w:color w:val="auto"/>
          <w:spacing w:val="-4"/>
          <w:sz w:val="24"/>
          <w:szCs w:val="24"/>
        </w:rPr>
        <w:t>4 材料的最低强度要求。</w:t>
      </w:r>
    </w:p>
    <w:p w14:paraId="5E7B5AA2">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条文说明：</w:t>
      </w:r>
    </w:p>
    <w:p w14:paraId="3C7296A1">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1 房屋高度和层数限值应根据横墙间距、设防烈度、设防类别、后续工作年限、墙体材料、墙体类别等确定。</w:t>
      </w:r>
    </w:p>
    <w:p w14:paraId="55BB61B8">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2 结构体系的合理性包括抗震横墙间距和房屋高宽比、墙体布置规则性；房屋整体性以及连接构造的可靠性包括墙体平面内是否闭合、构造柱圈梁的布置、现浇或装配整体式楼板的整体性、预制构件的搁置长度等。</w:t>
      </w:r>
    </w:p>
    <w:p w14:paraId="4329A413">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3 局部易损易倒部位构件包括较小宽度的窗间墙、无拉结女儿墙、门脸、出屋面小烟囱、楼梯间等。</w:t>
      </w:r>
    </w:p>
    <w:p w14:paraId="4EF7D353">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4 材料的最低强度要求指的是砖、砌块、砌筑砂浆、构造柱圈梁混凝土等应满足的最低强度。</w:t>
      </w:r>
    </w:p>
    <w:p w14:paraId="28DC69C0">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4.3.21</w:t>
      </w:r>
      <w:r>
        <w:rPr>
          <w:rFonts w:hint="default" w:ascii="Times New Roman" w:hAnsi="Times New Roman" w:eastAsia="宋体" w:cs="Times New Roman"/>
          <w:color w:val="auto"/>
          <w:spacing w:val="1"/>
          <w:sz w:val="24"/>
          <w:szCs w:val="24"/>
        </w:rPr>
        <w:t xml:space="preserve"> 既有钢筋混凝土房屋的抗震措施鉴定，应重点从以下几方面对房屋结构的抗震性能</w:t>
      </w:r>
      <w:r>
        <w:rPr>
          <w:rFonts w:hint="default" w:ascii="Times New Roman" w:hAnsi="Times New Roman" w:eastAsia="宋体" w:cs="Times New Roman"/>
          <w:color w:val="auto"/>
          <w:spacing w:val="-11"/>
          <w:sz w:val="24"/>
          <w:szCs w:val="24"/>
        </w:rPr>
        <w:t>做出评价：</w:t>
      </w:r>
    </w:p>
    <w:p w14:paraId="0258CC3B">
      <w:pPr>
        <w:keepNext w:val="0"/>
        <w:keepLines w:val="0"/>
        <w:pageBreakBefore w:val="0"/>
        <w:widowControl w:val="0"/>
        <w:kinsoku/>
        <w:wordWrap/>
        <w:overflowPunct/>
        <w:topLinePunct w:val="0"/>
        <w:autoSpaceDE/>
        <w:autoSpaceDN/>
        <w:bidi w:val="0"/>
        <w:adjustRightInd/>
        <w:snapToGrid/>
        <w:spacing w:line="360" w:lineRule="exact"/>
        <w:ind w:left="0" w:right="0" w:firstLine="464" w:firstLineChars="200"/>
        <w:textAlignment w:val="auto"/>
        <w:rPr>
          <w:rFonts w:hint="default" w:ascii="Times New Roman" w:hAnsi="Times New Roman" w:eastAsia="宋体" w:cs="Times New Roman"/>
          <w:color w:val="auto"/>
          <w:spacing w:val="-4"/>
          <w:sz w:val="24"/>
          <w:szCs w:val="24"/>
        </w:rPr>
      </w:pPr>
      <w:r>
        <w:rPr>
          <w:rFonts w:hint="default" w:ascii="Times New Roman" w:hAnsi="Times New Roman" w:eastAsia="宋体" w:cs="Times New Roman"/>
          <w:color w:val="auto"/>
          <w:spacing w:val="-4"/>
          <w:sz w:val="24"/>
          <w:szCs w:val="24"/>
        </w:rPr>
        <w:t>1 房屋高度和层数超过适用高度的情况。</w:t>
      </w:r>
    </w:p>
    <w:p w14:paraId="27DE7F8A">
      <w:pPr>
        <w:keepNext w:val="0"/>
        <w:keepLines w:val="0"/>
        <w:pageBreakBefore w:val="0"/>
        <w:widowControl w:val="0"/>
        <w:kinsoku/>
        <w:wordWrap/>
        <w:overflowPunct/>
        <w:topLinePunct w:val="0"/>
        <w:autoSpaceDE/>
        <w:autoSpaceDN/>
        <w:bidi w:val="0"/>
        <w:adjustRightInd/>
        <w:snapToGrid/>
        <w:spacing w:line="360" w:lineRule="exact"/>
        <w:ind w:left="0" w:right="0" w:firstLine="464" w:firstLineChars="200"/>
        <w:textAlignment w:val="auto"/>
        <w:rPr>
          <w:rFonts w:hint="default" w:ascii="Times New Roman" w:hAnsi="Times New Roman" w:eastAsia="宋体" w:cs="Times New Roman"/>
          <w:color w:val="auto"/>
          <w:spacing w:val="-4"/>
          <w:sz w:val="24"/>
          <w:szCs w:val="24"/>
        </w:rPr>
      </w:pPr>
      <w:r>
        <w:rPr>
          <w:rFonts w:hint="default" w:ascii="Times New Roman" w:hAnsi="Times New Roman" w:eastAsia="宋体" w:cs="Times New Roman"/>
          <w:color w:val="auto"/>
          <w:spacing w:val="-4"/>
          <w:sz w:val="24"/>
          <w:szCs w:val="24"/>
        </w:rPr>
        <w:t>2 结构体系的合理性。</w:t>
      </w:r>
    </w:p>
    <w:p w14:paraId="36D1FDE6">
      <w:pPr>
        <w:keepNext w:val="0"/>
        <w:keepLines w:val="0"/>
        <w:pageBreakBefore w:val="0"/>
        <w:widowControl w:val="0"/>
        <w:kinsoku/>
        <w:wordWrap/>
        <w:overflowPunct/>
        <w:topLinePunct w:val="0"/>
        <w:autoSpaceDE/>
        <w:autoSpaceDN/>
        <w:bidi w:val="0"/>
        <w:adjustRightInd/>
        <w:snapToGrid/>
        <w:spacing w:line="360" w:lineRule="exact"/>
        <w:ind w:left="0" w:right="0" w:firstLine="464"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4"/>
          <w:sz w:val="24"/>
          <w:szCs w:val="24"/>
        </w:rPr>
        <w:t>3 结构构件的钢筋配置、构件连接等</w:t>
      </w:r>
      <w:r>
        <w:rPr>
          <w:rFonts w:hint="default" w:ascii="Times New Roman" w:hAnsi="Times New Roman" w:eastAsia="宋体" w:cs="Times New Roman"/>
          <w:color w:val="auto"/>
          <w:spacing w:val="-3"/>
          <w:sz w:val="24"/>
          <w:szCs w:val="24"/>
        </w:rPr>
        <w:t>构造措施。</w:t>
      </w:r>
    </w:p>
    <w:p w14:paraId="1F869A5D">
      <w:pPr>
        <w:keepNext w:val="0"/>
        <w:keepLines w:val="0"/>
        <w:pageBreakBefore w:val="0"/>
        <w:widowControl w:val="0"/>
        <w:kinsoku/>
        <w:wordWrap/>
        <w:overflowPunct/>
        <w:topLinePunct w:val="0"/>
        <w:autoSpaceDE/>
        <w:autoSpaceDN/>
        <w:bidi w:val="0"/>
        <w:adjustRightInd/>
        <w:snapToGrid/>
        <w:spacing w:line="360" w:lineRule="exact"/>
        <w:ind w:left="0" w:right="0" w:firstLine="480" w:firstLineChars="200"/>
        <w:textAlignment w:val="auto"/>
        <w:rPr>
          <w:rFonts w:hint="default" w:ascii="Times New Roman" w:hAnsi="Times New Roman" w:eastAsia="宋体" w:cs="Times New Roman"/>
          <w:color w:val="auto"/>
          <w:spacing w:val="-4"/>
          <w:sz w:val="24"/>
          <w:szCs w:val="24"/>
        </w:rPr>
      </w:pPr>
      <w:r>
        <w:rPr>
          <w:rFonts w:hint="default" w:ascii="Times New Roman" w:hAnsi="Times New Roman" w:eastAsia="宋体" w:cs="Times New Roman"/>
          <w:color w:val="auto"/>
          <w:sz w:val="24"/>
          <w:szCs w:val="24"/>
        </w:rPr>
        <w:t>4 局部</w:t>
      </w:r>
      <w:r>
        <w:rPr>
          <w:rFonts w:hint="default" w:ascii="Times New Roman" w:hAnsi="Times New Roman" w:eastAsia="宋体" w:cs="Times New Roman"/>
          <w:color w:val="auto"/>
          <w:spacing w:val="-4"/>
          <w:sz w:val="24"/>
          <w:szCs w:val="24"/>
        </w:rPr>
        <w:t>易损易倒部位构件、填充墙等自身的安全性及其与主体结构连接构造的可靠性。</w:t>
      </w:r>
    </w:p>
    <w:p w14:paraId="215AF344">
      <w:pPr>
        <w:keepNext w:val="0"/>
        <w:keepLines w:val="0"/>
        <w:pageBreakBefore w:val="0"/>
        <w:widowControl w:val="0"/>
        <w:kinsoku/>
        <w:wordWrap/>
        <w:overflowPunct/>
        <w:topLinePunct w:val="0"/>
        <w:autoSpaceDE/>
        <w:autoSpaceDN/>
        <w:bidi w:val="0"/>
        <w:adjustRightInd/>
        <w:snapToGrid/>
        <w:spacing w:line="360" w:lineRule="exact"/>
        <w:ind w:left="0" w:right="0" w:firstLine="464" w:firstLineChars="200"/>
        <w:textAlignment w:val="auto"/>
        <w:rPr>
          <w:rFonts w:hint="default" w:ascii="Times New Roman" w:hAnsi="Times New Roman" w:eastAsia="宋体" w:cs="Times New Roman"/>
          <w:color w:val="auto"/>
          <w:spacing w:val="9"/>
          <w:sz w:val="24"/>
          <w:szCs w:val="24"/>
          <w:lang w:eastAsia="zh-CN"/>
        </w:rPr>
      </w:pPr>
      <w:r>
        <w:rPr>
          <w:rFonts w:hint="default" w:ascii="Times New Roman" w:hAnsi="Times New Roman" w:eastAsia="宋体" w:cs="Times New Roman"/>
          <w:color w:val="auto"/>
          <w:spacing w:val="-4"/>
          <w:sz w:val="24"/>
          <w:szCs w:val="24"/>
        </w:rPr>
        <w:t>5 材料的最低强度要求</w:t>
      </w:r>
      <w:r>
        <w:rPr>
          <w:rFonts w:hint="default" w:ascii="Times New Roman" w:hAnsi="Times New Roman" w:eastAsia="宋体" w:cs="Times New Roman"/>
          <w:color w:val="auto"/>
          <w:spacing w:val="-5"/>
          <w:sz w:val="24"/>
          <w:szCs w:val="24"/>
        </w:rPr>
        <w:t>。</w:t>
      </w:r>
    </w:p>
    <w:p w14:paraId="0206F531">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条文说明：</w:t>
      </w:r>
    </w:p>
    <w:p w14:paraId="47DF9F23">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1 房屋高度和层数适用高度应根据设防烈度、结构体系、后续工作年限等确定。</w:t>
      </w:r>
    </w:p>
    <w:p w14:paraId="12820CD7">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2 结构体系的合理性指的是框架结构宜为双向框架；当为重点设防类时，不应为单跨框架等。</w:t>
      </w:r>
    </w:p>
    <w:p w14:paraId="6789C6C7">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3 结构构件的钢筋配置指的是构件钢筋数量和间距是否符合要求；构件连接构造指的是构件间的连系、节点构造及钢筋锚固等。</w:t>
      </w:r>
    </w:p>
    <w:p w14:paraId="1085D569">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4 局部易损易倒部位构件、填充墙等与主体结构拉结构造，主要是指填充墙（包括内外砌筑墙体、墙板等）、女儿墙、预制楼梯等与主体结构之间的拉结。</w:t>
      </w:r>
    </w:p>
    <w:p w14:paraId="62C0F18D">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5 材料的最低强度指的是钢筋、混凝土应满足的最低强度。</w:t>
      </w:r>
    </w:p>
    <w:p w14:paraId="5669DB46">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4.3.22</w:t>
      </w:r>
      <w:r>
        <w:rPr>
          <w:rFonts w:hint="default" w:ascii="Times New Roman" w:hAnsi="Times New Roman" w:eastAsia="宋体" w:cs="Times New Roman"/>
          <w:color w:val="auto"/>
          <w:spacing w:val="1"/>
          <w:sz w:val="24"/>
          <w:szCs w:val="24"/>
        </w:rPr>
        <w:t xml:space="preserve"> 既有钢结构房屋的抗震措施鉴定，应重点从以下几方面对房屋结构的抗震性能做出</w:t>
      </w:r>
      <w:r>
        <w:rPr>
          <w:rFonts w:hint="default" w:ascii="Times New Roman" w:hAnsi="Times New Roman" w:eastAsia="宋体" w:cs="Times New Roman"/>
          <w:color w:val="auto"/>
          <w:spacing w:val="-15"/>
          <w:sz w:val="24"/>
          <w:szCs w:val="24"/>
        </w:rPr>
        <w:t>评价：</w:t>
      </w:r>
    </w:p>
    <w:p w14:paraId="2B2B6916">
      <w:pPr>
        <w:keepNext w:val="0"/>
        <w:keepLines w:val="0"/>
        <w:pageBreakBefore w:val="0"/>
        <w:widowControl w:val="0"/>
        <w:kinsoku/>
        <w:wordWrap/>
        <w:overflowPunct/>
        <w:topLinePunct w:val="0"/>
        <w:autoSpaceDE/>
        <w:autoSpaceDN/>
        <w:bidi w:val="0"/>
        <w:adjustRightInd/>
        <w:snapToGrid/>
        <w:spacing w:line="360" w:lineRule="exact"/>
        <w:ind w:left="0" w:right="0" w:firstLine="47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1 结构平面布置、屋盖及柱间支撑布置等结构体</w:t>
      </w:r>
      <w:r>
        <w:rPr>
          <w:rFonts w:hint="default" w:ascii="Times New Roman" w:hAnsi="Times New Roman" w:eastAsia="宋体" w:cs="Times New Roman"/>
          <w:color w:val="auto"/>
          <w:spacing w:val="-3"/>
          <w:sz w:val="24"/>
          <w:szCs w:val="24"/>
        </w:rPr>
        <w:t>系的合理性。</w:t>
      </w:r>
    </w:p>
    <w:p w14:paraId="1F2AA07C">
      <w:pPr>
        <w:keepNext w:val="0"/>
        <w:keepLines w:val="0"/>
        <w:pageBreakBefore w:val="0"/>
        <w:widowControl w:val="0"/>
        <w:kinsoku/>
        <w:wordWrap/>
        <w:overflowPunct/>
        <w:topLinePunct w:val="0"/>
        <w:autoSpaceDE/>
        <w:autoSpaceDN/>
        <w:bidi w:val="0"/>
        <w:adjustRightInd/>
        <w:snapToGrid/>
        <w:spacing w:line="360" w:lineRule="exact"/>
        <w:ind w:left="0" w:right="0" w:firstLine="47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2 结构构件间的连接构造、结构构件与墙体的连接构造的可靠性。</w:t>
      </w:r>
    </w:p>
    <w:p w14:paraId="3781AE2D">
      <w:pPr>
        <w:keepNext w:val="0"/>
        <w:keepLines w:val="0"/>
        <w:pageBreakBefore w:val="0"/>
        <w:widowControl w:val="0"/>
        <w:kinsoku/>
        <w:wordWrap/>
        <w:overflowPunct/>
        <w:topLinePunct w:val="0"/>
        <w:autoSpaceDE/>
        <w:autoSpaceDN/>
        <w:bidi w:val="0"/>
        <w:adjustRightInd/>
        <w:snapToGrid/>
        <w:spacing w:line="360" w:lineRule="exact"/>
        <w:ind w:left="0" w:right="0" w:firstLine="464"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4"/>
          <w:sz w:val="24"/>
          <w:szCs w:val="24"/>
        </w:rPr>
        <w:t>3 材料的最低强度要求。</w:t>
      </w:r>
    </w:p>
    <w:p w14:paraId="04CBE7B3">
      <w:pPr>
        <w:keepNext w:val="0"/>
        <w:keepLines w:val="0"/>
        <w:pageBreakBefore w:val="0"/>
        <w:widowControl w:val="0"/>
        <w:kinsoku/>
        <w:wordWrap/>
        <w:overflowPunct/>
        <w:topLinePunct w:val="0"/>
        <w:autoSpaceDE/>
        <w:autoSpaceDN/>
        <w:bidi w:val="0"/>
        <w:adjustRightInd/>
        <w:snapToGrid/>
        <w:spacing w:line="360" w:lineRule="exact"/>
        <w:ind w:left="0" w:right="0" w:firstLine="468"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3"/>
          <w:sz w:val="24"/>
          <w:szCs w:val="24"/>
        </w:rPr>
        <w:t>4 钢结构构件的长细比和板件的宽厚比。</w:t>
      </w:r>
    </w:p>
    <w:p w14:paraId="6807FABA">
      <w:pPr>
        <w:keepNext w:val="0"/>
        <w:keepLines w:val="0"/>
        <w:pageBreakBefore w:val="0"/>
        <w:widowControl w:val="0"/>
        <w:kinsoku/>
        <w:wordWrap/>
        <w:overflowPunct/>
        <w:topLinePunct w:val="0"/>
        <w:autoSpaceDE/>
        <w:autoSpaceDN/>
        <w:bidi w:val="0"/>
        <w:adjustRightInd/>
        <w:snapToGrid/>
        <w:spacing w:line="360" w:lineRule="exact"/>
        <w:ind w:left="0" w:right="0" w:hanging="1"/>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lang w:val="en-US" w:eastAsia="zh-CN"/>
        </w:rPr>
        <w:t>4.3.23</w:t>
      </w:r>
      <w:r>
        <w:rPr>
          <w:rFonts w:hint="default" w:ascii="Times New Roman" w:hAnsi="Times New Roman" w:eastAsia="宋体" w:cs="Times New Roman"/>
          <w:color w:val="auto"/>
          <w:spacing w:val="1"/>
          <w:sz w:val="24"/>
          <w:szCs w:val="24"/>
        </w:rPr>
        <w:t xml:space="preserve"> 原结构体系混杂的既有建筑，其砌体部分、混凝土部分、钢结构部分的抗震措施鉴</w:t>
      </w:r>
      <w:r>
        <w:rPr>
          <w:rFonts w:hint="default" w:ascii="Times New Roman" w:hAnsi="Times New Roman" w:eastAsia="宋体" w:cs="Times New Roman"/>
          <w:color w:val="auto"/>
          <w:spacing w:val="-1"/>
          <w:sz w:val="24"/>
          <w:szCs w:val="24"/>
        </w:rPr>
        <w:t>定，应分别按本</w:t>
      </w:r>
      <w:r>
        <w:rPr>
          <w:rFonts w:hint="default" w:ascii="Times New Roman" w:hAnsi="Times New Roman" w:eastAsia="宋体" w:cs="Times New Roman"/>
          <w:color w:val="auto"/>
          <w:spacing w:val="-1"/>
          <w:sz w:val="24"/>
          <w:szCs w:val="24"/>
          <w:lang w:val="en-US" w:eastAsia="zh-CN"/>
        </w:rPr>
        <w:t>规程</w:t>
      </w:r>
      <w:r>
        <w:rPr>
          <w:rFonts w:hint="default" w:ascii="Times New Roman" w:hAnsi="Times New Roman" w:eastAsia="宋体" w:cs="Times New Roman"/>
          <w:color w:val="auto"/>
          <w:spacing w:val="-1"/>
          <w:sz w:val="24"/>
          <w:szCs w:val="24"/>
          <w:highlight w:val="none"/>
        </w:rPr>
        <w:t>第4.</w:t>
      </w:r>
      <w:r>
        <w:rPr>
          <w:rFonts w:hint="default" w:ascii="Times New Roman" w:hAnsi="Times New Roman" w:eastAsia="宋体" w:cs="Times New Roman"/>
          <w:color w:val="auto"/>
          <w:spacing w:val="-1"/>
          <w:sz w:val="24"/>
          <w:szCs w:val="24"/>
          <w:highlight w:val="none"/>
          <w:lang w:val="en-US" w:eastAsia="zh-CN"/>
        </w:rPr>
        <w:t>3</w:t>
      </w:r>
      <w:r>
        <w:rPr>
          <w:rFonts w:hint="default" w:ascii="Times New Roman" w:hAnsi="Times New Roman" w:eastAsia="宋体" w:cs="Times New Roman"/>
          <w:color w:val="auto"/>
          <w:spacing w:val="-1"/>
          <w:sz w:val="24"/>
          <w:szCs w:val="24"/>
          <w:highlight w:val="none"/>
        </w:rPr>
        <w:t>.</w:t>
      </w:r>
      <w:r>
        <w:rPr>
          <w:rFonts w:hint="default" w:ascii="Times New Roman" w:hAnsi="Times New Roman" w:eastAsia="宋体" w:cs="Times New Roman"/>
          <w:color w:val="auto"/>
          <w:spacing w:val="-1"/>
          <w:sz w:val="24"/>
          <w:szCs w:val="24"/>
          <w:highlight w:val="none"/>
          <w:lang w:val="en-US" w:eastAsia="zh-CN"/>
        </w:rPr>
        <w:t>20</w:t>
      </w:r>
      <w:r>
        <w:rPr>
          <w:rFonts w:hint="default" w:ascii="Times New Roman" w:hAnsi="Times New Roman" w:eastAsia="宋体" w:cs="Times New Roman"/>
          <w:color w:val="auto"/>
          <w:spacing w:val="-1"/>
          <w:sz w:val="24"/>
          <w:szCs w:val="24"/>
          <w:highlight w:val="none"/>
        </w:rPr>
        <w:t>～4.</w:t>
      </w:r>
      <w:r>
        <w:rPr>
          <w:rFonts w:hint="default" w:ascii="Times New Roman" w:hAnsi="Times New Roman" w:eastAsia="宋体" w:cs="Times New Roman"/>
          <w:color w:val="auto"/>
          <w:spacing w:val="-1"/>
          <w:sz w:val="24"/>
          <w:szCs w:val="24"/>
          <w:highlight w:val="none"/>
          <w:lang w:val="en-US" w:eastAsia="zh-CN"/>
        </w:rPr>
        <w:t>3.22</w:t>
      </w:r>
      <w:r>
        <w:rPr>
          <w:rFonts w:hint="default" w:ascii="Times New Roman" w:hAnsi="Times New Roman" w:eastAsia="宋体" w:cs="Times New Roman"/>
          <w:color w:val="auto"/>
          <w:spacing w:val="-1"/>
          <w:sz w:val="24"/>
          <w:szCs w:val="24"/>
          <w:highlight w:val="none"/>
        </w:rPr>
        <w:t>条的要求进行，</w:t>
      </w:r>
      <w:r>
        <w:rPr>
          <w:rFonts w:hint="default" w:ascii="Times New Roman" w:hAnsi="Times New Roman" w:eastAsia="宋体" w:cs="Times New Roman"/>
          <w:color w:val="auto"/>
          <w:spacing w:val="-2"/>
          <w:sz w:val="24"/>
          <w:szCs w:val="24"/>
          <w:highlight w:val="none"/>
        </w:rPr>
        <w:t>同时尚应结合自身的性能特点提出</w:t>
      </w:r>
      <w:r>
        <w:rPr>
          <w:rFonts w:hint="default" w:ascii="Times New Roman" w:hAnsi="Times New Roman" w:eastAsia="宋体" w:cs="Times New Roman"/>
          <w:color w:val="auto"/>
          <w:spacing w:val="-4"/>
          <w:sz w:val="24"/>
          <w:szCs w:val="24"/>
          <w:highlight w:val="none"/>
        </w:rPr>
        <w:t>不同体系连接和过渡部位的鉴定要求。考虑到此类既有建</w:t>
      </w:r>
      <w:r>
        <w:rPr>
          <w:rFonts w:hint="default" w:ascii="Times New Roman" w:hAnsi="Times New Roman" w:eastAsia="宋体" w:cs="Times New Roman"/>
          <w:color w:val="auto"/>
          <w:spacing w:val="-5"/>
          <w:sz w:val="24"/>
          <w:szCs w:val="24"/>
          <w:highlight w:val="none"/>
        </w:rPr>
        <w:t>筑结构体系混乱，在鉴定报告中应</w:t>
      </w:r>
      <w:r>
        <w:rPr>
          <w:rFonts w:hint="default" w:ascii="Times New Roman" w:hAnsi="Times New Roman" w:eastAsia="宋体" w:cs="Times New Roman"/>
          <w:color w:val="auto"/>
          <w:spacing w:val="-1"/>
          <w:sz w:val="24"/>
          <w:szCs w:val="24"/>
          <w:highlight w:val="none"/>
        </w:rPr>
        <w:t>反映其结构体系的不合理性，给出尽可能消除</w:t>
      </w:r>
      <w:r>
        <w:rPr>
          <w:rFonts w:hint="default" w:ascii="Times New Roman" w:hAnsi="Times New Roman" w:eastAsia="宋体" w:cs="Times New Roman"/>
          <w:color w:val="auto"/>
          <w:spacing w:val="-2"/>
          <w:sz w:val="24"/>
          <w:szCs w:val="24"/>
          <w:highlight w:val="none"/>
        </w:rPr>
        <w:t>其抗震不利因素的建议，并宜在加固改造设计</w:t>
      </w:r>
      <w:r>
        <w:rPr>
          <w:rFonts w:hint="default" w:ascii="Times New Roman" w:hAnsi="Times New Roman" w:eastAsia="宋体" w:cs="Times New Roman"/>
          <w:color w:val="auto"/>
          <w:spacing w:val="-4"/>
          <w:sz w:val="24"/>
          <w:szCs w:val="24"/>
          <w:highlight w:val="none"/>
        </w:rPr>
        <w:t>前进行专门研究和论证。</w:t>
      </w:r>
    </w:p>
    <w:p w14:paraId="716834B7">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条文说明：原结构体系混杂的既有建筑的释义详见本规程3.1.6条的条文说明。</w:t>
      </w:r>
    </w:p>
    <w:p w14:paraId="3ECAD682">
      <w:pPr>
        <w:keepNext w:val="0"/>
        <w:keepLines w:val="0"/>
        <w:pageBreakBefore w:val="0"/>
        <w:widowControl w:val="0"/>
        <w:kinsoku/>
        <w:wordWrap/>
        <w:overflowPunct/>
        <w:topLinePunct w:val="0"/>
        <w:autoSpaceDE/>
        <w:autoSpaceDN/>
        <w:bidi w:val="0"/>
        <w:adjustRightInd/>
        <w:snapToGrid/>
        <w:spacing w:line="360" w:lineRule="exact"/>
        <w:ind w:left="0" w:right="0"/>
        <w:jc w:val="both"/>
        <w:textAlignment w:val="auto"/>
        <w:rPr>
          <w:rFonts w:hint="default" w:ascii="Times New Roman" w:hAnsi="Times New Roman" w:eastAsia="宋体" w:cs="Times New Roman"/>
          <w:color w:val="auto"/>
          <w:spacing w:val="-6"/>
          <w:sz w:val="24"/>
          <w:szCs w:val="24"/>
          <w:lang w:val="en-US" w:eastAsia="zh-CN"/>
        </w:rPr>
      </w:pPr>
      <w:r>
        <w:rPr>
          <w:rFonts w:hint="default" w:ascii="Times New Roman" w:hAnsi="Times New Roman" w:eastAsia="宋体" w:cs="Times New Roman"/>
          <w:b/>
          <w:bCs/>
          <w:color w:val="auto"/>
          <w:sz w:val="24"/>
          <w:szCs w:val="24"/>
          <w:lang w:val="en-US" w:eastAsia="zh-CN"/>
        </w:rPr>
        <w:t>4.3.24</w:t>
      </w:r>
      <w:r>
        <w:rPr>
          <w:rFonts w:hint="default" w:ascii="Times New Roman" w:hAnsi="Times New Roman" w:eastAsia="宋体" w:cs="Times New Roman"/>
          <w:color w:val="auto"/>
          <w:spacing w:val="1"/>
          <w:sz w:val="24"/>
          <w:szCs w:val="24"/>
        </w:rPr>
        <w:t xml:space="preserve"> 既有建筑的抗震鉴定应针对不</w:t>
      </w:r>
      <w:r>
        <w:rPr>
          <w:rFonts w:hint="default" w:ascii="Times New Roman" w:hAnsi="Times New Roman" w:eastAsia="宋体" w:cs="Times New Roman"/>
          <w:color w:val="auto"/>
          <w:sz w:val="24"/>
          <w:szCs w:val="24"/>
        </w:rPr>
        <w:t>同后续工作年限的抗震要求做出满足或不满足的结论。</w:t>
      </w:r>
    </w:p>
    <w:p w14:paraId="7B6A9140">
      <w:pPr>
        <w:keepNext w:val="0"/>
        <w:keepLines w:val="0"/>
        <w:pageBreakBefore w:val="0"/>
        <w:widowControl w:val="0"/>
        <w:kinsoku/>
        <w:wordWrap/>
        <w:overflowPunct/>
        <w:topLinePunct w:val="0"/>
        <w:autoSpaceDE/>
        <w:autoSpaceDN/>
        <w:bidi w:val="0"/>
        <w:spacing w:line="360" w:lineRule="exact"/>
        <w:ind w:left="0" w:righ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4.3.25</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color w:val="auto"/>
          <w:sz w:val="24"/>
          <w:szCs w:val="24"/>
        </w:rPr>
        <w:t>对不符合鉴定要求的建筑，可根据其不符合要求的程度、部位对结构整体抗震性能影响的大小，以及有关的非抗震缺陷等实际情况，结合对使用要求、城市规划和加固难易等因素的分析，提出相应的维修、加固、改变用途或更新等抗震减灾对策。</w:t>
      </w:r>
    </w:p>
    <w:p w14:paraId="62E71103">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条文说明：所谓符合抗震鉴定要求，即达到本规程第1.0.1条规定的目标。对不符合抗震鉴定要求的建筑提出了四种处理对策：</w:t>
      </w:r>
    </w:p>
    <w:p w14:paraId="502103C7">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维修：指综合维修处理。适用于仅有少数、次要部位局部不符合鉴定要求的情况。</w:t>
      </w:r>
    </w:p>
    <w:p w14:paraId="1A651FB8">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加固：指有加固价值的建筑。大致包括：①无地震作用时能正常使用；②建筑虽已存在质量问题，但能通过抗震加固使其达到要求；③建筑因使用年限久或其它原因（如腐蚀等），抗侧力体系承载力降低，但楼盖或支撑系统尚可利用；④建筑各局部缺陷尚多，但易于加固或能够加固。</w:t>
      </w:r>
    </w:p>
    <w:p w14:paraId="1EABFAF8">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改变用途：包括将生产车间、公共建筑改为不引起次生灾害的仓库，将使用荷载大的多层房屋改为使用荷载小的次要房屋，将使用上属于乙类设防的房屋改为使用功能为丙类设防的房屋等。改变使用性质后的建筑，仍应采取适当的加固措施，以达到相应使用功能房屋的抗震要求。</w:t>
      </w:r>
    </w:p>
    <w:p w14:paraId="64BFE7A7">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更新：指无加固价值而仍需使用的建筑或在计划中近期要拆迁的不符合鉴定要求的建筑，需采取应急措施。如在单层房屋内设防护支架，烟囱、水塔周围划为危险区，拆除装饰物、危险物及卸载等。</w:t>
      </w:r>
    </w:p>
    <w:p w14:paraId="222B282B">
      <w:pPr>
        <w:keepNext w:val="0"/>
        <w:keepLines w:val="0"/>
        <w:pageBreakBefore w:val="0"/>
        <w:widowControl w:val="0"/>
        <w:kinsoku/>
        <w:wordWrap/>
        <w:overflowPunct/>
        <w:topLinePunct w:val="0"/>
        <w:autoSpaceDE/>
        <w:autoSpaceDN/>
        <w:bidi w:val="0"/>
        <w:spacing w:line="360" w:lineRule="exact"/>
        <w:ind w:left="0" w:righ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4.3.26</w:t>
      </w:r>
      <w:r>
        <w:rPr>
          <w:rFonts w:hint="default" w:ascii="Times New Roman" w:hAnsi="Times New Roman" w:eastAsia="宋体" w:cs="Times New Roman"/>
          <w:color w:val="auto"/>
          <w:sz w:val="24"/>
          <w:szCs w:val="24"/>
        </w:rPr>
        <w:t xml:space="preserve"> 对高度超过</w:t>
      </w:r>
      <w:r>
        <w:rPr>
          <w:rFonts w:hint="default" w:ascii="Times New Roman" w:hAnsi="Times New Roman" w:eastAsia="宋体" w:cs="Times New Roman"/>
          <w:color w:val="auto"/>
          <w:sz w:val="24"/>
          <w:szCs w:val="24"/>
          <w:lang w:eastAsia="zh-CN"/>
        </w:rPr>
        <w:t>本规程</w:t>
      </w:r>
      <w:r>
        <w:rPr>
          <w:rFonts w:hint="default" w:ascii="Times New Roman" w:hAnsi="Times New Roman" w:eastAsia="宋体" w:cs="Times New Roman"/>
          <w:color w:val="auto"/>
          <w:sz w:val="24"/>
          <w:szCs w:val="24"/>
        </w:rPr>
        <w:t>各章规定的</w:t>
      </w:r>
      <w:r>
        <w:rPr>
          <w:rFonts w:hint="default" w:ascii="Times New Roman" w:hAnsi="Times New Roman" w:eastAsia="宋体" w:cs="Times New Roman"/>
          <w:color w:val="auto"/>
          <w:sz w:val="24"/>
          <w:szCs w:val="24"/>
          <w:lang w:val="en-US" w:eastAsia="zh-CN"/>
        </w:rPr>
        <w:t>既有</w:t>
      </w:r>
      <w:r>
        <w:rPr>
          <w:rFonts w:hint="default" w:ascii="Times New Roman" w:hAnsi="Times New Roman" w:eastAsia="宋体" w:cs="Times New Roman"/>
          <w:color w:val="auto"/>
          <w:sz w:val="24"/>
          <w:szCs w:val="24"/>
        </w:rPr>
        <w:t>建筑、优秀历史建筑、复杂钢结构和特种结构以及复杂的改造结构等，抗震鉴定方法和抗震鉴定结果应进行专项论证。</w:t>
      </w:r>
    </w:p>
    <w:p w14:paraId="5CD2CC52">
      <w:pPr>
        <w:pStyle w:val="3"/>
        <w:bidi w:val="0"/>
        <w:rPr>
          <w:rFonts w:hint="default"/>
        </w:rPr>
      </w:pPr>
      <w:bookmarkStart w:id="28" w:name="_Toc24087"/>
      <w:r>
        <w:rPr>
          <w:rFonts w:hint="default"/>
          <w:lang w:val="en-US" w:eastAsia="zh-CN"/>
        </w:rPr>
        <w:t>4.4</w:t>
      </w:r>
      <w:r>
        <w:rPr>
          <w:rFonts w:hint="default"/>
        </w:rPr>
        <w:t xml:space="preserve"> 抗震加固</w:t>
      </w:r>
      <w:bookmarkEnd w:id="28"/>
    </w:p>
    <w:p w14:paraId="290766B4">
      <w:pPr>
        <w:keepNext w:val="0"/>
        <w:keepLines w:val="0"/>
        <w:pageBreakBefore w:val="0"/>
        <w:widowControl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 xml:space="preserve">4.4.1 </w:t>
      </w:r>
      <w:r>
        <w:rPr>
          <w:rFonts w:hint="default" w:ascii="Times New Roman" w:hAnsi="Times New Roman" w:eastAsia="宋体" w:cs="Times New Roman"/>
          <w:color w:val="auto"/>
          <w:sz w:val="24"/>
          <w:szCs w:val="24"/>
        </w:rPr>
        <w:t>现有建筑抗震加固设计和施工应以抗震鉴定为依据，</w:t>
      </w:r>
      <w:r>
        <w:rPr>
          <w:rFonts w:hint="default" w:ascii="Times New Roman" w:hAnsi="Times New Roman" w:eastAsia="宋体" w:cs="Times New Roman"/>
          <w:color w:val="auto"/>
          <w:sz w:val="24"/>
          <w:szCs w:val="24"/>
          <w:lang w:val="en-US" w:eastAsia="zh-CN"/>
        </w:rPr>
        <w:t>分为</w:t>
      </w:r>
      <w:r>
        <w:rPr>
          <w:rFonts w:hint="default" w:ascii="Times New Roman" w:hAnsi="Times New Roman" w:eastAsia="宋体" w:cs="Times New Roman"/>
          <w:color w:val="auto"/>
          <w:sz w:val="24"/>
          <w:szCs w:val="24"/>
        </w:rPr>
        <w:t>方案设计、施工图设计、施工组织设计、加固施工等</w:t>
      </w:r>
      <w:r>
        <w:rPr>
          <w:rFonts w:hint="default" w:ascii="Times New Roman" w:hAnsi="Times New Roman" w:eastAsia="宋体" w:cs="Times New Roman"/>
          <w:color w:val="auto"/>
          <w:sz w:val="24"/>
          <w:szCs w:val="24"/>
          <w:lang w:val="en-US" w:eastAsia="zh-CN"/>
        </w:rPr>
        <w:t>几个阶段</w:t>
      </w:r>
      <w:r>
        <w:rPr>
          <w:rFonts w:hint="default" w:ascii="Times New Roman" w:hAnsi="Times New Roman" w:eastAsia="宋体" w:cs="Times New Roman"/>
          <w:color w:val="auto"/>
          <w:sz w:val="24"/>
          <w:szCs w:val="24"/>
        </w:rPr>
        <w:t>。</w:t>
      </w:r>
    </w:p>
    <w:p w14:paraId="059F465C">
      <w:pPr>
        <w:keepNext w:val="0"/>
        <w:keepLines w:val="0"/>
        <w:pageBreakBefore w:val="0"/>
        <w:widowControl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宋体" w:cs="Times New Roman"/>
          <w:color w:val="auto"/>
          <w:sz w:val="24"/>
          <w:szCs w:val="24"/>
        </w:rPr>
      </w:pPr>
      <w:bookmarkStart w:id="29" w:name="bookmark21"/>
      <w:bookmarkEnd w:id="29"/>
      <w:bookmarkStart w:id="30" w:name="bookmark22"/>
      <w:bookmarkEnd w:id="30"/>
      <w:r>
        <w:rPr>
          <w:rFonts w:hint="default" w:ascii="Times New Roman" w:hAnsi="Times New Roman" w:eastAsia="宋体" w:cs="Times New Roman"/>
          <w:b/>
          <w:bCs/>
          <w:color w:val="auto"/>
          <w:sz w:val="24"/>
          <w:szCs w:val="24"/>
          <w:lang w:val="en-US" w:eastAsia="zh-CN"/>
        </w:rPr>
        <w:t>4.4.2</w:t>
      </w:r>
      <w:r>
        <w:rPr>
          <w:rFonts w:hint="default" w:ascii="Times New Roman" w:hAnsi="Times New Roman" w:eastAsia="宋体" w:cs="Times New Roman"/>
          <w:color w:val="auto"/>
          <w:sz w:val="24"/>
          <w:szCs w:val="24"/>
        </w:rPr>
        <w:t xml:space="preserve"> 既有建筑抗震加固的设计原则应符合下列要求：</w:t>
      </w:r>
    </w:p>
    <w:p w14:paraId="5D385D00">
      <w:pPr>
        <w:keepNext w:val="0"/>
        <w:keepLines w:val="0"/>
        <w:pageBreakBefore w:val="0"/>
        <w:widowControl w:val="0"/>
        <w:kinsoku/>
        <w:wordWrap/>
        <w:overflowPunct/>
        <w:topLinePunct w:val="0"/>
        <w:autoSpaceDE/>
        <w:autoSpaceDN/>
        <w:bidi w:val="0"/>
        <w:adjustRightInd/>
        <w:snapToGrid/>
        <w:spacing w:line="360" w:lineRule="exact"/>
        <w:ind w:left="0" w:leftChars="0" w:firstLine="48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 xml:space="preserve">1 </w:t>
      </w:r>
      <w:r>
        <w:rPr>
          <w:rFonts w:hint="default" w:ascii="Times New Roman" w:hAnsi="Times New Roman" w:eastAsia="宋体" w:cs="Times New Roman"/>
          <w:color w:val="auto"/>
          <w:sz w:val="24"/>
          <w:szCs w:val="24"/>
        </w:rPr>
        <w:t>既有建筑应根据抗震鉴定结果，综合考虑加固成本、施工难度以及对生产生活的影响，进行整体结构、局部结构或构件的加固设计和施工。</w:t>
      </w:r>
    </w:p>
    <w:p w14:paraId="2BE57935">
      <w:pPr>
        <w:keepNext w:val="0"/>
        <w:keepLines w:val="0"/>
        <w:pageBreakBefore w:val="0"/>
        <w:widowControl w:val="0"/>
        <w:kinsoku/>
        <w:wordWrap/>
        <w:overflowPunct/>
        <w:topLinePunct w:val="0"/>
        <w:autoSpaceDE/>
        <w:autoSpaceDN/>
        <w:bidi w:val="0"/>
        <w:adjustRightInd/>
        <w:snapToGrid/>
        <w:spacing w:line="360" w:lineRule="exact"/>
        <w:ind w:left="0" w:leftChars="0" w:firstLine="48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2</w:t>
      </w:r>
      <w:r>
        <w:rPr>
          <w:rFonts w:hint="default" w:ascii="Times New Roman" w:hAnsi="Times New Roman" w:eastAsia="宋体" w:cs="Times New Roman"/>
          <w:color w:val="auto"/>
          <w:sz w:val="24"/>
          <w:szCs w:val="24"/>
        </w:rPr>
        <w:t xml:space="preserve"> 加固或新增构件的布置，应消除或减少不利因素，防止局部加强导致结构刚度或承载力突变。</w:t>
      </w:r>
    </w:p>
    <w:p w14:paraId="5EC7297F">
      <w:pPr>
        <w:keepNext w:val="0"/>
        <w:keepLines w:val="0"/>
        <w:pageBreakBefore w:val="0"/>
        <w:widowControl w:val="0"/>
        <w:kinsoku/>
        <w:wordWrap/>
        <w:overflowPunct/>
        <w:topLinePunct w:val="0"/>
        <w:autoSpaceDE/>
        <w:autoSpaceDN/>
        <w:bidi w:val="0"/>
        <w:adjustRightInd/>
        <w:snapToGrid/>
        <w:spacing w:line="360" w:lineRule="exact"/>
        <w:ind w:left="0" w:leftChars="0" w:firstLine="48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3</w:t>
      </w:r>
      <w:r>
        <w:rPr>
          <w:rFonts w:hint="default" w:ascii="Times New Roman" w:hAnsi="Times New Roman" w:eastAsia="宋体" w:cs="Times New Roman"/>
          <w:color w:val="auto"/>
          <w:sz w:val="24"/>
          <w:szCs w:val="24"/>
        </w:rPr>
        <w:t xml:space="preserve"> 新增构件与原有构件之间应有可靠连接；新增的抗震墙、柱等竖向构件应有可靠的基础。</w:t>
      </w:r>
    </w:p>
    <w:p w14:paraId="5D1A45EE">
      <w:pPr>
        <w:keepNext w:val="0"/>
        <w:keepLines w:val="0"/>
        <w:pageBreakBefore w:val="0"/>
        <w:widowControl w:val="0"/>
        <w:kinsoku/>
        <w:wordWrap/>
        <w:overflowPunct/>
        <w:topLinePunct w:val="0"/>
        <w:autoSpaceDE/>
        <w:autoSpaceDN/>
        <w:bidi w:val="0"/>
        <w:adjustRightInd/>
        <w:snapToGrid/>
        <w:spacing w:line="360" w:lineRule="exact"/>
        <w:ind w:left="0" w:leftChars="0" w:firstLine="48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 xml:space="preserve">4 </w:t>
      </w:r>
      <w:r>
        <w:rPr>
          <w:rFonts w:hint="default" w:ascii="Times New Roman" w:hAnsi="Times New Roman" w:eastAsia="宋体" w:cs="Times New Roman"/>
          <w:color w:val="auto"/>
          <w:sz w:val="24"/>
          <w:szCs w:val="24"/>
        </w:rPr>
        <w:t>现有建筑的抗震加固应尽量少损伤原结构，并保留具有利用价值的结构构件，避免不必要的拆除或更换。</w:t>
      </w:r>
    </w:p>
    <w:p w14:paraId="34A7C236">
      <w:pPr>
        <w:keepNext w:val="0"/>
        <w:keepLines w:val="0"/>
        <w:pageBreakBefore w:val="0"/>
        <w:widowControl w:val="0"/>
        <w:kinsoku/>
        <w:wordWrap/>
        <w:overflowPunct/>
        <w:topLinePunct w:val="0"/>
        <w:autoSpaceDE/>
        <w:autoSpaceDN/>
        <w:bidi w:val="0"/>
        <w:adjustRightInd/>
        <w:snapToGrid/>
        <w:spacing w:line="360" w:lineRule="exact"/>
        <w:ind w:left="0" w:leftChars="0" w:firstLine="48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宜减少地基基础的加固工作量，多采取减轻自重、提高上部结构抵抗不均匀沉降能力的措施，并应计入不利场地的影响。</w:t>
      </w:r>
    </w:p>
    <w:p w14:paraId="60BEB4B8">
      <w:pPr>
        <w:keepNext w:val="0"/>
        <w:keepLines w:val="0"/>
        <w:pageBreakBefore w:val="0"/>
        <w:widowControl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4.4.3</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color w:val="auto"/>
          <w:sz w:val="24"/>
          <w:szCs w:val="24"/>
        </w:rPr>
        <w:t>既有建筑所处场地的稳定性不满足要求，或抗震加固对邻近边坡的稳定性产生影响时，应先对场地进行综合治理达到稳定要求后方可进行加固。</w:t>
      </w:r>
    </w:p>
    <w:p w14:paraId="0E2CB43A">
      <w:pPr>
        <w:keepNext w:val="0"/>
        <w:keepLines w:val="0"/>
        <w:pageBreakBefore w:val="0"/>
        <w:widowControl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4.4.4</w:t>
      </w:r>
      <w:r>
        <w:rPr>
          <w:rFonts w:hint="default" w:ascii="Times New Roman" w:hAnsi="Times New Roman" w:eastAsia="宋体" w:cs="Times New Roman"/>
          <w:color w:val="auto"/>
          <w:sz w:val="24"/>
          <w:szCs w:val="24"/>
        </w:rPr>
        <w:t xml:space="preserve"> 既有建筑抗震加固方案设计时，结构体系应满足下列要求：</w:t>
      </w:r>
    </w:p>
    <w:p w14:paraId="6AB7DA66">
      <w:pPr>
        <w:keepNext w:val="0"/>
        <w:keepLines w:val="0"/>
        <w:pageBreakBefore w:val="0"/>
        <w:widowControl w:val="0"/>
        <w:kinsoku/>
        <w:wordWrap/>
        <w:overflowPunct/>
        <w:topLinePunct w:val="0"/>
        <w:autoSpaceDE/>
        <w:autoSpaceDN/>
        <w:bidi w:val="0"/>
        <w:adjustRightInd/>
        <w:snapToGrid/>
        <w:spacing w:line="360" w:lineRule="exact"/>
        <w:ind w:left="0" w:leftChars="0" w:firstLine="48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1</w:t>
      </w:r>
      <w:r>
        <w:rPr>
          <w:rFonts w:hint="default" w:ascii="Times New Roman" w:hAnsi="Times New Roman" w:eastAsia="宋体" w:cs="Times New Roman"/>
          <w:color w:val="auto"/>
          <w:sz w:val="24"/>
          <w:szCs w:val="24"/>
        </w:rPr>
        <w:t xml:space="preserve"> 原结构的结构体系明显不合理时，应优先采用改变结构体系的方法进行加固。</w:t>
      </w:r>
    </w:p>
    <w:p w14:paraId="693484D0">
      <w:pPr>
        <w:keepNext w:val="0"/>
        <w:keepLines w:val="0"/>
        <w:pageBreakBefore w:val="0"/>
        <w:widowControl w:val="0"/>
        <w:kinsoku/>
        <w:wordWrap/>
        <w:overflowPunct/>
        <w:topLinePunct w:val="0"/>
        <w:autoSpaceDE/>
        <w:autoSpaceDN/>
        <w:bidi w:val="0"/>
        <w:adjustRightInd/>
        <w:snapToGrid/>
        <w:spacing w:line="360" w:lineRule="exact"/>
        <w:ind w:left="0" w:leftChars="0" w:firstLine="48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 xml:space="preserve">2 </w:t>
      </w:r>
      <w:r>
        <w:rPr>
          <w:rFonts w:hint="default" w:ascii="Times New Roman" w:hAnsi="Times New Roman" w:eastAsia="宋体" w:cs="Times New Roman"/>
          <w:color w:val="auto"/>
          <w:sz w:val="24"/>
          <w:szCs w:val="24"/>
        </w:rPr>
        <w:t>对抗震薄弱部位、易损部位和不同类型结构的连接部位，其承载力或变形能力宜采取比一般部位增强的措施。</w:t>
      </w:r>
    </w:p>
    <w:p w14:paraId="55270E98">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采用消能减震或隔震技术加固时，应注重提高结构整体抗震性能，同时应注意加固过程中和加固后既有结构构件受力的变化。</w:t>
      </w:r>
    </w:p>
    <w:p w14:paraId="7AD3DF73">
      <w:pPr>
        <w:keepNext w:val="0"/>
        <w:keepLines w:val="0"/>
        <w:pageBreakBefore w:val="0"/>
        <w:widowControl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4.4.5</w:t>
      </w:r>
      <w:r>
        <w:rPr>
          <w:rFonts w:hint="default" w:ascii="Times New Roman" w:hAnsi="Times New Roman" w:eastAsia="宋体" w:cs="Times New Roman"/>
          <w:color w:val="auto"/>
          <w:sz w:val="24"/>
          <w:szCs w:val="24"/>
        </w:rPr>
        <w:t xml:space="preserve"> 既有建筑抗震加固方案设计时，局部构件设计应满足下列要求：</w:t>
      </w:r>
    </w:p>
    <w:p w14:paraId="5DCCB9D2">
      <w:pPr>
        <w:keepNext w:val="0"/>
        <w:keepLines w:val="0"/>
        <w:pageBreakBefore w:val="0"/>
        <w:widowControl w:val="0"/>
        <w:kinsoku/>
        <w:wordWrap/>
        <w:overflowPunct/>
        <w:topLinePunct w:val="0"/>
        <w:autoSpaceDE/>
        <w:autoSpaceDN/>
        <w:bidi w:val="0"/>
        <w:adjustRightInd/>
        <w:snapToGrid/>
        <w:spacing w:line="360" w:lineRule="exact"/>
        <w:ind w:left="0" w:leftChars="0" w:firstLine="48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1</w:t>
      </w:r>
      <w:r>
        <w:rPr>
          <w:rFonts w:hint="default" w:ascii="Times New Roman" w:hAnsi="Times New Roman" w:eastAsia="宋体" w:cs="Times New Roman"/>
          <w:color w:val="auto"/>
          <w:sz w:val="24"/>
          <w:szCs w:val="24"/>
        </w:rPr>
        <w:t xml:space="preserve"> 原结构局部构件承载力、刚度均不满足要求时，应以扩大原构件截面或新增部分构件为基本方法进行加固。</w:t>
      </w:r>
    </w:p>
    <w:p w14:paraId="11B20FF0">
      <w:pPr>
        <w:keepNext w:val="0"/>
        <w:keepLines w:val="0"/>
        <w:pageBreakBefore w:val="0"/>
        <w:widowControl w:val="0"/>
        <w:kinsoku/>
        <w:wordWrap/>
        <w:overflowPunct/>
        <w:topLinePunct w:val="0"/>
        <w:autoSpaceDE/>
        <w:autoSpaceDN/>
        <w:bidi w:val="0"/>
        <w:adjustRightInd/>
        <w:snapToGrid/>
        <w:spacing w:line="360" w:lineRule="exact"/>
        <w:ind w:left="0" w:leftChars="0" w:firstLine="48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2</w:t>
      </w:r>
      <w:r>
        <w:rPr>
          <w:rFonts w:hint="default" w:ascii="Times New Roman" w:hAnsi="Times New Roman" w:eastAsia="宋体" w:cs="Times New Roman"/>
          <w:color w:val="auto"/>
          <w:sz w:val="24"/>
          <w:szCs w:val="24"/>
        </w:rPr>
        <w:t xml:space="preserve"> 原结构局部构件构造不符合要求时，应采取不使薄弱部位转移的局部处理方法，或通过增设构件改变结构体系，使地震作用由新增构件承担，从而保护局部构件。</w:t>
      </w:r>
    </w:p>
    <w:p w14:paraId="58476C46">
      <w:pPr>
        <w:keepNext w:val="0"/>
        <w:keepLines w:val="0"/>
        <w:pageBreakBefore w:val="0"/>
        <w:widowControl w:val="0"/>
        <w:kinsoku/>
        <w:wordWrap/>
        <w:overflowPunct/>
        <w:topLinePunct w:val="0"/>
        <w:autoSpaceDE/>
        <w:autoSpaceDN/>
        <w:bidi w:val="0"/>
        <w:adjustRightInd/>
        <w:snapToGrid/>
        <w:spacing w:line="360" w:lineRule="exact"/>
        <w:ind w:left="0" w:leftChars="0" w:firstLine="48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3</w:t>
      </w:r>
      <w:r>
        <w:rPr>
          <w:rFonts w:hint="default" w:ascii="Times New Roman" w:hAnsi="Times New Roman" w:eastAsia="宋体" w:cs="Times New Roman"/>
          <w:color w:val="auto"/>
          <w:sz w:val="24"/>
          <w:szCs w:val="24"/>
        </w:rPr>
        <w:t xml:space="preserve"> 原结构局部构件刚度满足要求而承载力不满足时，应以外包钢构套、粘钢或碳纤维加固为基本方法。</w:t>
      </w:r>
    </w:p>
    <w:p w14:paraId="2E21D2FD">
      <w:pPr>
        <w:keepNext w:val="0"/>
        <w:keepLines w:val="0"/>
        <w:pageBreakBefore w:val="0"/>
        <w:widowControl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4.4.6</w:t>
      </w:r>
      <w:r>
        <w:rPr>
          <w:rFonts w:hint="default" w:ascii="Times New Roman" w:hAnsi="Times New Roman" w:eastAsia="宋体" w:cs="Times New Roman"/>
          <w:color w:val="auto"/>
          <w:sz w:val="24"/>
          <w:szCs w:val="24"/>
        </w:rPr>
        <w:t xml:space="preserve"> 既有建筑抗震加固方案设计时，所用材料应满足下列要求：</w:t>
      </w:r>
    </w:p>
    <w:p w14:paraId="69270256">
      <w:pPr>
        <w:keepNext w:val="0"/>
        <w:keepLines w:val="0"/>
        <w:pageBreakBefore w:val="0"/>
        <w:widowControl w:val="0"/>
        <w:kinsoku/>
        <w:wordWrap/>
        <w:overflowPunct/>
        <w:topLinePunct w:val="0"/>
        <w:autoSpaceDE/>
        <w:autoSpaceDN/>
        <w:bidi w:val="0"/>
        <w:adjustRightInd/>
        <w:snapToGrid/>
        <w:spacing w:line="360" w:lineRule="exact"/>
        <w:ind w:left="0" w:leftChars="0" w:firstLine="48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1</w:t>
      </w:r>
      <w:r>
        <w:rPr>
          <w:rFonts w:hint="default" w:ascii="Times New Roman" w:hAnsi="Times New Roman" w:eastAsia="宋体" w:cs="Times New Roman"/>
          <w:color w:val="auto"/>
          <w:sz w:val="24"/>
          <w:szCs w:val="24"/>
        </w:rPr>
        <w:t xml:space="preserve"> 加固所用材料类型与既有结构相同时，其强度等级不应低于既有结构材料的实际强度等级，并应满足相关规范规定的构造要求；加固采用新技术、新材料时，应结合既有结构具体特点进行技术和经济分析。</w:t>
      </w:r>
    </w:p>
    <w:p w14:paraId="5CD9F617">
      <w:pPr>
        <w:keepNext w:val="0"/>
        <w:keepLines w:val="0"/>
        <w:pageBreakBefore w:val="0"/>
        <w:widowControl w:val="0"/>
        <w:kinsoku/>
        <w:wordWrap/>
        <w:overflowPunct/>
        <w:topLinePunct w:val="0"/>
        <w:autoSpaceDE/>
        <w:autoSpaceDN/>
        <w:bidi w:val="0"/>
        <w:adjustRightInd/>
        <w:snapToGrid/>
        <w:spacing w:line="360" w:lineRule="exact"/>
        <w:ind w:left="0" w:leftChars="0" w:firstLine="48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2</w:t>
      </w:r>
      <w:r>
        <w:rPr>
          <w:rFonts w:hint="default" w:ascii="Times New Roman" w:hAnsi="Times New Roman" w:eastAsia="宋体" w:cs="Times New Roman"/>
          <w:color w:val="auto"/>
          <w:sz w:val="24"/>
          <w:szCs w:val="24"/>
        </w:rPr>
        <w:t xml:space="preserve"> 加固所用的砌体块材、砂浆和混凝土的强度等级，钢筋、钢材的性能指标，应符合</w:t>
      </w:r>
      <w:r>
        <w:rPr>
          <w:rFonts w:hint="default" w:ascii="Times New Roman" w:hAnsi="Times New Roman" w:eastAsia="宋体" w:cs="Times New Roman"/>
          <w:color w:val="auto"/>
          <w:sz w:val="24"/>
          <w:szCs w:val="24"/>
          <w:lang w:val="en-US" w:eastAsia="zh-CN"/>
        </w:rPr>
        <w:t>现行</w:t>
      </w:r>
      <w:r>
        <w:rPr>
          <w:rFonts w:hint="default" w:ascii="Times New Roman" w:hAnsi="Times New Roman" w:eastAsia="宋体" w:cs="Times New Roman"/>
          <w:color w:val="auto"/>
          <w:sz w:val="24"/>
          <w:szCs w:val="24"/>
        </w:rPr>
        <w:t>《建筑抗震设计标准》GB/T 50011的有关规定，其他各种加固材料和胶粘剂的性能指标应满足国家相关标准、规范的要求，其耐久性尚应满足建筑后续工作年限的要求。</w:t>
      </w:r>
    </w:p>
    <w:p w14:paraId="75C386C5">
      <w:pPr>
        <w:keepNext w:val="0"/>
        <w:keepLines w:val="0"/>
        <w:pageBreakBefore w:val="0"/>
        <w:widowControl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4.4.7</w:t>
      </w:r>
      <w:r>
        <w:rPr>
          <w:rFonts w:hint="default" w:ascii="Times New Roman" w:hAnsi="Times New Roman" w:eastAsia="宋体" w:cs="Times New Roman"/>
          <w:color w:val="auto"/>
          <w:sz w:val="24"/>
          <w:szCs w:val="24"/>
        </w:rPr>
        <w:t xml:space="preserve"> 既有建筑抗震加固方案设计时，非结构构件应满足下列要求：</w:t>
      </w:r>
    </w:p>
    <w:p w14:paraId="652BBEC8">
      <w:pPr>
        <w:keepNext w:val="0"/>
        <w:keepLines w:val="0"/>
        <w:pageBreakBefore w:val="0"/>
        <w:widowControl w:val="0"/>
        <w:kinsoku/>
        <w:wordWrap/>
        <w:overflowPunct/>
        <w:topLinePunct w:val="0"/>
        <w:autoSpaceDE/>
        <w:autoSpaceDN/>
        <w:bidi w:val="0"/>
        <w:adjustRightInd/>
        <w:snapToGrid/>
        <w:spacing w:line="360" w:lineRule="exact"/>
        <w:ind w:left="0" w:leftChars="0"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w:t>
      </w:r>
      <w:r>
        <w:rPr>
          <w:rFonts w:hint="default" w:ascii="Times New Roman" w:hAnsi="Times New Roman" w:eastAsia="宋体" w:cs="Times New Roman"/>
          <w:color w:val="auto"/>
          <w:sz w:val="24"/>
          <w:szCs w:val="24"/>
        </w:rPr>
        <w:t xml:space="preserve"> 对于不符合鉴定要求的女儿墙、门脸、出屋顶烟囱等易倒塌伤人的非结构构件，应拆除或降低高度，需要保持原高度时应加固。</w:t>
      </w:r>
    </w:p>
    <w:p w14:paraId="3525CB71">
      <w:pPr>
        <w:keepNext w:val="0"/>
        <w:keepLines w:val="0"/>
        <w:pageBreakBefore w:val="0"/>
        <w:widowControl w:val="0"/>
        <w:kinsoku/>
        <w:wordWrap/>
        <w:overflowPunct/>
        <w:topLinePunct w:val="0"/>
        <w:autoSpaceDE/>
        <w:autoSpaceDN/>
        <w:bidi w:val="0"/>
        <w:adjustRightInd/>
        <w:snapToGrid/>
        <w:spacing w:line="360" w:lineRule="exact"/>
        <w:ind w:left="0" w:leftChars="0" w:firstLine="48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2</w:t>
      </w:r>
      <w:r>
        <w:rPr>
          <w:rFonts w:hint="default" w:ascii="Times New Roman" w:hAnsi="Times New Roman" w:eastAsia="宋体" w:cs="Times New Roman"/>
          <w:color w:val="auto"/>
          <w:sz w:val="24"/>
          <w:szCs w:val="24"/>
        </w:rPr>
        <w:t xml:space="preserve"> 框架结构填充墙体、底框结构填充墙体、多层砌体结构自承重隔墙等构件的连接不符合抗震要求时，应采取措施加强其拉结作用。</w:t>
      </w:r>
    </w:p>
    <w:p w14:paraId="1565E2B6">
      <w:pPr>
        <w:keepNext w:val="0"/>
        <w:keepLines w:val="0"/>
        <w:pageBreakBefore w:val="0"/>
        <w:widowControl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4.4.8</w:t>
      </w:r>
      <w:r>
        <w:rPr>
          <w:rFonts w:hint="default" w:ascii="Times New Roman" w:hAnsi="Times New Roman" w:eastAsia="宋体" w:cs="Times New Roman"/>
          <w:color w:val="auto"/>
          <w:sz w:val="24"/>
          <w:szCs w:val="24"/>
        </w:rPr>
        <w:t xml:space="preserve"> 既有建筑抗震加固设计时，地震作用和结构抗震验算应符合下列规定：</w:t>
      </w:r>
    </w:p>
    <w:p w14:paraId="1FB4CC20">
      <w:pPr>
        <w:keepNext w:val="0"/>
        <w:keepLines w:val="0"/>
        <w:pageBreakBefore w:val="0"/>
        <w:widowControl w:val="0"/>
        <w:kinsoku/>
        <w:wordWrap/>
        <w:overflowPunct/>
        <w:topLinePunct w:val="0"/>
        <w:autoSpaceDE/>
        <w:autoSpaceDN/>
        <w:bidi w:val="0"/>
        <w:adjustRightInd/>
        <w:snapToGrid/>
        <w:spacing w:line="360" w:lineRule="exact"/>
        <w:ind w:left="0" w:leftChars="0" w:firstLine="48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color w:val="auto"/>
          <w:sz w:val="24"/>
          <w:szCs w:val="24"/>
        </w:rPr>
        <w:t>当抗震设防烈度为6度时</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建造于</w:t>
      </w:r>
      <w:r>
        <w:rPr>
          <w:rFonts w:hint="default" w:ascii="Times New Roman" w:hAnsi="Times New Roman" w:eastAsia="宋体" w:cs="Times New Roman"/>
          <w:color w:val="auto"/>
          <w:sz w:val="24"/>
          <w:szCs w:val="24"/>
          <w:lang w:eastAsia="zh-CN"/>
        </w:rPr>
        <w:t>Ⅳ</w:t>
      </w:r>
      <w:r>
        <w:rPr>
          <w:rFonts w:hint="default" w:ascii="Times New Roman" w:hAnsi="Times New Roman" w:eastAsia="宋体" w:cs="Times New Roman"/>
          <w:color w:val="auto"/>
          <w:sz w:val="24"/>
          <w:szCs w:val="24"/>
        </w:rPr>
        <w:t>类场地的较高的高层建筑除外</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以及木结构</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土石墙</w:t>
      </w:r>
      <w:r>
        <w:rPr>
          <w:rFonts w:hint="default" w:ascii="Times New Roman" w:hAnsi="Times New Roman" w:eastAsia="宋体" w:cs="Times New Roman"/>
          <w:color w:val="auto"/>
          <w:sz w:val="24"/>
          <w:szCs w:val="24"/>
          <w:lang w:val="en-US" w:eastAsia="zh-CN"/>
        </w:rPr>
        <w:t>和</w:t>
      </w:r>
      <w:r>
        <w:rPr>
          <w:rFonts w:hint="default" w:ascii="Times New Roman" w:hAnsi="Times New Roman" w:eastAsia="宋体" w:cs="Times New Roman"/>
          <w:color w:val="auto"/>
          <w:sz w:val="24"/>
          <w:szCs w:val="24"/>
        </w:rPr>
        <w:t>窑洞房屋，可不进行截面抗震验算，但应符合相应的构造要求。</w:t>
      </w:r>
    </w:p>
    <w:p w14:paraId="6A17CA74">
      <w:pPr>
        <w:keepNext w:val="0"/>
        <w:keepLines w:val="0"/>
        <w:pageBreakBefore w:val="0"/>
        <w:widowControl w:val="0"/>
        <w:kinsoku/>
        <w:wordWrap/>
        <w:overflowPunct/>
        <w:topLinePunct w:val="0"/>
        <w:autoSpaceDE/>
        <w:autoSpaceDN/>
        <w:bidi w:val="0"/>
        <w:adjustRightInd/>
        <w:snapToGrid/>
        <w:spacing w:line="360" w:lineRule="exact"/>
        <w:ind w:left="0" w:leftChars="0" w:firstLine="48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color w:val="auto"/>
          <w:sz w:val="24"/>
          <w:szCs w:val="24"/>
        </w:rPr>
        <w:t xml:space="preserve"> 抗震加固时的结构构件截面抗震承载力验算应满足本规程第</w:t>
      </w:r>
      <w:r>
        <w:rPr>
          <w:rFonts w:hint="default" w:ascii="Times New Roman" w:hAnsi="Times New Roman" w:eastAsia="宋体" w:cs="Times New Roman"/>
          <w:color w:val="auto"/>
          <w:sz w:val="24"/>
          <w:szCs w:val="24"/>
          <w:lang w:eastAsia="zh-CN"/>
        </w:rPr>
        <w:t>4.3.6</w:t>
      </w:r>
      <w:r>
        <w:rPr>
          <w:rFonts w:hint="default" w:ascii="Times New Roman" w:hAnsi="Times New Roman" w:eastAsia="宋体" w:cs="Times New Roman"/>
          <w:color w:val="auto"/>
          <w:sz w:val="24"/>
          <w:szCs w:val="24"/>
        </w:rPr>
        <w:t>条的规定。</w:t>
      </w:r>
    </w:p>
    <w:p w14:paraId="3F0A3087">
      <w:pPr>
        <w:keepNext w:val="0"/>
        <w:keepLines w:val="0"/>
        <w:pageBreakBefore w:val="0"/>
        <w:widowControl w:val="0"/>
        <w:kinsoku/>
        <w:wordWrap/>
        <w:overflowPunct/>
        <w:topLinePunct w:val="0"/>
        <w:autoSpaceDE/>
        <w:autoSpaceDN/>
        <w:bidi w:val="0"/>
        <w:adjustRightInd/>
        <w:snapToGrid/>
        <w:spacing w:line="360" w:lineRule="exact"/>
        <w:ind w:left="0" w:leftChars="0" w:firstLine="48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color w:val="auto"/>
          <w:sz w:val="24"/>
          <w:szCs w:val="24"/>
        </w:rPr>
        <w:t xml:space="preserve"> 加固后结构的分析和构件截面承载力计算，应符合下列要求：</w:t>
      </w:r>
    </w:p>
    <w:p w14:paraId="1E379173">
      <w:pPr>
        <w:keepNext w:val="0"/>
        <w:keepLines w:val="0"/>
        <w:pageBreakBefore w:val="0"/>
        <w:widowControl w:val="0"/>
        <w:numPr>
          <w:ilvl w:val="0"/>
          <w:numId w:val="2"/>
        </w:numPr>
        <w:kinsoku/>
        <w:wordWrap/>
        <w:overflowPunct/>
        <w:topLinePunct w:val="0"/>
        <w:autoSpaceDE/>
        <w:autoSpaceDN/>
        <w:bidi w:val="0"/>
        <w:adjustRightInd/>
        <w:snapToGrid/>
        <w:spacing w:line="360" w:lineRule="exact"/>
        <w:ind w:left="240" w:leftChars="10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结构的计算简图，应根据加固后的荷载、地震作用和实际受力状况确定；当加固后结构刚度和重力荷载代表值的变化分别不超过原来的10%和5%时，应允许不计入地震作用变化的影响；</w:t>
      </w:r>
    </w:p>
    <w:p w14:paraId="79D0668B">
      <w:pPr>
        <w:keepNext w:val="0"/>
        <w:keepLines w:val="0"/>
        <w:pageBreakBefore w:val="0"/>
        <w:widowControl w:val="0"/>
        <w:kinsoku/>
        <w:wordWrap/>
        <w:overflowPunct/>
        <w:topLinePunct w:val="0"/>
        <w:autoSpaceDE/>
        <w:autoSpaceDN/>
        <w:bidi w:val="0"/>
        <w:adjustRightInd/>
        <w:snapToGrid/>
        <w:spacing w:line="360" w:lineRule="exact"/>
        <w:ind w:left="240" w:leftChars="10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2）结构构件的计算截面面积，应采用实际有效的截面面积；</w:t>
      </w:r>
    </w:p>
    <w:p w14:paraId="0C81B4F9">
      <w:pPr>
        <w:keepNext w:val="0"/>
        <w:keepLines w:val="0"/>
        <w:pageBreakBefore w:val="0"/>
        <w:widowControl w:val="0"/>
        <w:kinsoku/>
        <w:wordWrap/>
        <w:overflowPunct/>
        <w:topLinePunct w:val="0"/>
        <w:autoSpaceDE/>
        <w:autoSpaceDN/>
        <w:bidi w:val="0"/>
        <w:adjustRightInd/>
        <w:snapToGrid/>
        <w:spacing w:line="360" w:lineRule="exact"/>
        <w:ind w:left="240" w:leftChars="10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3）结构构件截面承载力验算时，应计入实际荷载偏心、结构构件变形等造成的附加内力</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并应计入加固后的实际受力程度、新增部分的应变滞后和新旧部分协同工作的程度对承载力的影响。</w:t>
      </w:r>
    </w:p>
    <w:p w14:paraId="435EB9C0">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条文说明：加固通常导致刚度增加（如新增梁柱及支撑、粘贴钢板等），也可能因局部拆除构件（如改造开门洞）导致刚度降低。当刚度增加或减少不超过10%可认为对整体抗震性能影响较小。</w:t>
      </w:r>
    </w:p>
    <w:p w14:paraId="0F15E086">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刚度可根据位移角和自振周期进行判断，控制上述数值变化不超过10%，可认为对整体刚度的影响较小，同时也可避免因加固造成的刚度突变，降低隐患。</w:t>
      </w:r>
    </w:p>
    <w:p w14:paraId="71AC556F">
      <w:pPr>
        <w:keepNext w:val="0"/>
        <w:keepLines w:val="0"/>
        <w:pageBreakBefore w:val="0"/>
        <w:widowControl w:val="0"/>
        <w:kinsoku/>
        <w:wordWrap/>
        <w:overflowPunct/>
        <w:topLinePunct w:val="0"/>
        <w:autoSpaceDE/>
        <w:autoSpaceDN/>
        <w:bidi w:val="0"/>
        <w:adjustRightInd/>
        <w:snapToGrid/>
        <w:spacing w:line="360" w:lineRule="exact"/>
        <w:ind w:left="0" w:leftChars="0" w:firstLine="48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color w:val="auto"/>
          <w:sz w:val="24"/>
          <w:szCs w:val="24"/>
        </w:rPr>
        <w:t xml:space="preserve"> 当采用楼层综合抗震能力指数进行结构抗震验算时结构构造的体系影响系数</w:t>
      </w:r>
      <w:r>
        <w:rPr>
          <w:rFonts w:hint="default" w:ascii="Times New Roman" w:hAnsi="Times New Roman" w:eastAsia="宋体" w:cs="Times New Roman"/>
          <w:color w:val="auto"/>
          <w:position w:val="-12"/>
          <w:sz w:val="24"/>
          <w:szCs w:val="24"/>
        </w:rPr>
        <w:object>
          <v:shape id="_x0000_i1037" o:spt="75" type="#_x0000_t75" style="height:18pt;width:14.25pt;" o:ole="t" filled="f" o:preferrelative="t" stroked="f" coordsize="21600,21600">
            <v:path/>
            <v:fill on="f" focussize="0,0"/>
            <v:stroke on="f" joinstyle="miter"/>
            <v:imagedata r:id="rId27" o:title=""/>
            <o:lock v:ext="edit" aspectratio="t"/>
            <w10:wrap type="none"/>
            <w10:anchorlock/>
          </v:shape>
          <o:OLEObject Type="Embed" ProgID="Equation.DSMT4" ShapeID="_x0000_i1037" DrawAspect="Content" ObjectID="_1468075737" r:id="rId38">
            <o:LockedField>false</o:LockedField>
          </o:OLEObject>
        </w:object>
      </w:r>
      <w:r>
        <w:rPr>
          <w:rFonts w:hint="default" w:ascii="Times New Roman" w:hAnsi="Times New Roman" w:eastAsia="宋体" w:cs="Times New Roman"/>
          <w:color w:val="auto"/>
          <w:sz w:val="24"/>
          <w:szCs w:val="24"/>
        </w:rPr>
        <w:t>和局部影响系数</w:t>
      </w:r>
      <w:r>
        <w:rPr>
          <w:rFonts w:hint="default" w:ascii="Times New Roman" w:hAnsi="Times New Roman" w:eastAsia="宋体" w:cs="Times New Roman"/>
          <w:color w:val="auto"/>
          <w:position w:val="-12"/>
          <w:sz w:val="24"/>
          <w:szCs w:val="24"/>
        </w:rPr>
        <w:object>
          <v:shape id="_x0000_i1038" o:spt="75" type="#_x0000_t75" style="height:18pt;width:15pt;" o:ole="t" filled="f" o:preferrelative="t" stroked="f" coordsize="21600,21600">
            <v:path/>
            <v:fill on="f" focussize="0,0"/>
            <v:stroke on="f" joinstyle="miter"/>
            <v:imagedata r:id="rId29" o:title=""/>
            <o:lock v:ext="edit" aspectratio="t"/>
            <w10:wrap type="none"/>
            <w10:anchorlock/>
          </v:shape>
          <o:OLEObject Type="Embed" ProgID="Equation.DSMT4" ShapeID="_x0000_i1038" DrawAspect="Content" ObjectID="_1468075738" r:id="rId39">
            <o:LockedField>false</o:LockedField>
          </o:OLEObject>
        </w:object>
      </w:r>
      <w:r>
        <w:rPr>
          <w:rFonts w:hint="default" w:ascii="Times New Roman" w:hAnsi="Times New Roman" w:eastAsia="宋体" w:cs="Times New Roman"/>
          <w:color w:val="auto"/>
          <w:sz w:val="24"/>
          <w:szCs w:val="24"/>
        </w:rPr>
        <w:t>应根据房屋加固后的状态取值。</w:t>
      </w:r>
    </w:p>
    <w:p w14:paraId="275FCE85">
      <w:pPr>
        <w:keepNext w:val="0"/>
        <w:keepLines w:val="0"/>
        <w:pageBreakBefore w:val="0"/>
        <w:widowControl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4.4.9</w:t>
      </w:r>
      <w:r>
        <w:rPr>
          <w:rFonts w:hint="default" w:ascii="Times New Roman" w:hAnsi="Times New Roman" w:eastAsia="宋体" w:cs="Times New Roman"/>
          <w:color w:val="auto"/>
          <w:sz w:val="24"/>
          <w:szCs w:val="24"/>
        </w:rPr>
        <w:t xml:space="preserve"> 抗震加固的施工应符合下列要求：</w:t>
      </w:r>
    </w:p>
    <w:p w14:paraId="4C45B572">
      <w:pPr>
        <w:keepNext w:val="0"/>
        <w:keepLines w:val="0"/>
        <w:pageBreakBefore w:val="0"/>
        <w:widowControl w:val="0"/>
        <w:kinsoku/>
        <w:wordWrap/>
        <w:overflowPunct/>
        <w:topLinePunct w:val="0"/>
        <w:autoSpaceDE/>
        <w:autoSpaceDN/>
        <w:bidi w:val="0"/>
        <w:adjustRightInd/>
        <w:snapToGrid/>
        <w:spacing w:line="360" w:lineRule="exact"/>
        <w:ind w:left="0" w:leftChars="0" w:firstLine="48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1</w:t>
      </w:r>
      <w:r>
        <w:rPr>
          <w:rFonts w:hint="default" w:ascii="Times New Roman" w:hAnsi="Times New Roman" w:eastAsia="宋体" w:cs="Times New Roman"/>
          <w:color w:val="auto"/>
          <w:sz w:val="24"/>
          <w:szCs w:val="24"/>
        </w:rPr>
        <w:t xml:space="preserve"> 应采取措施避免或减少损伤原结构构件。</w:t>
      </w:r>
    </w:p>
    <w:p w14:paraId="3A5B5051">
      <w:pPr>
        <w:keepNext w:val="0"/>
        <w:keepLines w:val="0"/>
        <w:pageBreakBefore w:val="0"/>
        <w:widowControl w:val="0"/>
        <w:kinsoku/>
        <w:wordWrap/>
        <w:overflowPunct/>
        <w:topLinePunct w:val="0"/>
        <w:autoSpaceDE/>
        <w:autoSpaceDN/>
        <w:bidi w:val="0"/>
        <w:adjustRightInd/>
        <w:snapToGrid/>
        <w:spacing w:line="360" w:lineRule="exact"/>
        <w:ind w:left="0" w:leftChars="0" w:firstLine="48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2</w:t>
      </w:r>
      <w:r>
        <w:rPr>
          <w:rFonts w:hint="default" w:ascii="Times New Roman" w:hAnsi="Times New Roman" w:eastAsia="宋体" w:cs="Times New Roman"/>
          <w:color w:val="auto"/>
          <w:sz w:val="24"/>
          <w:szCs w:val="24"/>
        </w:rPr>
        <w:t xml:space="preserve"> 发现原结构或相关工程隐蔽部位的构造有严重缺陷时，应会同加固设计单位采取有效处理措施后方可继续施工。</w:t>
      </w:r>
    </w:p>
    <w:p w14:paraId="634A20B4">
      <w:pPr>
        <w:keepNext w:val="0"/>
        <w:keepLines w:val="0"/>
        <w:pageBreakBefore w:val="0"/>
        <w:widowControl w:val="0"/>
        <w:kinsoku/>
        <w:wordWrap/>
        <w:overflowPunct/>
        <w:topLinePunct w:val="0"/>
        <w:autoSpaceDE/>
        <w:autoSpaceDN/>
        <w:bidi w:val="0"/>
        <w:adjustRightInd/>
        <w:snapToGrid/>
        <w:spacing w:line="360" w:lineRule="exact"/>
        <w:ind w:left="0" w:leftChars="0" w:firstLine="482"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rPr>
        <w:t>3</w:t>
      </w:r>
      <w:r>
        <w:rPr>
          <w:rFonts w:hint="default" w:ascii="Times New Roman" w:hAnsi="Times New Roman" w:eastAsia="宋体" w:cs="Times New Roman"/>
          <w:color w:val="auto"/>
          <w:sz w:val="24"/>
          <w:szCs w:val="24"/>
        </w:rPr>
        <w:t xml:space="preserve"> 对可能导致的倾斜、开裂或局部倒塌等现象，应预先采取安全措施。</w:t>
      </w:r>
    </w:p>
    <w:p w14:paraId="1B618887">
      <w:pPr>
        <w:keepNext w:val="0"/>
        <w:keepLines w:val="0"/>
        <w:pageBreakBefore w:val="0"/>
        <w:widowControl w:val="0"/>
        <w:kinsoku/>
        <w:wordWrap/>
        <w:overflowPunct/>
        <w:topLinePunct w:val="0"/>
        <w:autoSpaceDE/>
        <w:autoSpaceDN/>
        <w:bidi w:val="0"/>
        <w:adjustRightInd/>
        <w:snapToGrid/>
        <w:spacing w:line="360" w:lineRule="exact"/>
        <w:ind w:left="0" w:leftChars="0" w:firstLine="48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对于施工中涉及削弱、拆除部分结构或构件形成临时状态，可能出现倾斜、失稳、开裂或坍塌等不安全因素，在加固施工前，应预先采取可靠措施，以防止发生安全事故。</w:t>
      </w:r>
    </w:p>
    <w:p w14:paraId="31F1F0F7">
      <w:pP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br w:type="page"/>
      </w:r>
    </w:p>
    <w:p w14:paraId="291F2785">
      <w:pPr>
        <w:pStyle w:val="2"/>
        <w:bidi w:val="0"/>
        <w:rPr>
          <w:rFonts w:hint="default"/>
        </w:rPr>
      </w:pPr>
      <w:bookmarkStart w:id="31" w:name="_Toc24233"/>
      <w:r>
        <w:rPr>
          <w:rFonts w:hint="default"/>
          <w:lang w:val="en-US" w:eastAsia="zh-CN"/>
        </w:rPr>
        <w:t>5</w:t>
      </w:r>
      <w:r>
        <w:rPr>
          <w:rFonts w:hint="default"/>
        </w:rPr>
        <w:t xml:space="preserve">  地基基础</w:t>
      </w:r>
      <w:bookmarkEnd w:id="31"/>
    </w:p>
    <w:p w14:paraId="4A90547E">
      <w:pPr>
        <w:pStyle w:val="3"/>
        <w:bidi w:val="0"/>
        <w:rPr>
          <w:rFonts w:hint="default"/>
          <w:lang w:val="en-US" w:eastAsia="zh-CN"/>
        </w:rPr>
      </w:pPr>
      <w:bookmarkStart w:id="32" w:name="_Toc4389"/>
      <w:r>
        <w:rPr>
          <w:rFonts w:hint="default"/>
          <w:lang w:val="en-US" w:eastAsia="zh-CN"/>
        </w:rPr>
        <w:t>5.1 一般规定</w:t>
      </w:r>
      <w:bookmarkEnd w:id="32"/>
    </w:p>
    <w:p w14:paraId="782B9DE9">
      <w:pPr>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color w:val="auto"/>
          <w:sz w:val="24"/>
          <w:szCs w:val="24"/>
        </w:rPr>
        <w:t xml:space="preserve"> 既有建筑地基基础的抗震加固设计，应符合下列规定：</w:t>
      </w:r>
    </w:p>
    <w:p w14:paraId="6B880523">
      <w:pPr>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rPr>
        <w:t>1</w:t>
      </w:r>
      <w:r>
        <w:rPr>
          <w:rFonts w:hint="default" w:ascii="Times New Roman" w:hAnsi="Times New Roman" w:eastAsia="宋体" w:cs="Times New Roman"/>
          <w:color w:val="auto"/>
          <w:sz w:val="24"/>
          <w:szCs w:val="24"/>
        </w:rPr>
        <w:t xml:space="preserve"> 应进行地基承载力、地基变形和基础承载力验算。</w:t>
      </w:r>
    </w:p>
    <w:p w14:paraId="7C6EFEE1">
      <w:pPr>
        <w:spacing w:line="360" w:lineRule="auto"/>
        <w:ind w:firstLine="482"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2</w:t>
      </w:r>
      <w:r>
        <w:rPr>
          <w:rFonts w:hint="default" w:ascii="Times New Roman" w:hAnsi="Times New Roman" w:eastAsia="宋体" w:cs="Times New Roman"/>
          <w:color w:val="auto"/>
          <w:sz w:val="24"/>
          <w:szCs w:val="24"/>
        </w:rPr>
        <w:t xml:space="preserve"> 既有建筑地基基础加固后或增加荷载后，建筑物相邻基础的沉降量、沉降差、局部倾斜和整体倾斜的允许值应</w:t>
      </w:r>
      <w:r>
        <w:rPr>
          <w:rFonts w:hint="default" w:ascii="Times New Roman" w:hAnsi="Times New Roman" w:eastAsia="宋体" w:cs="Times New Roman"/>
          <w:color w:val="auto"/>
          <w:sz w:val="24"/>
          <w:szCs w:val="24"/>
          <w:lang w:val="en-US" w:eastAsia="zh-CN"/>
        </w:rPr>
        <w:t>国家现行标准《既有建筑鉴定与加固通用规范》GB 55021、《建筑与市政地基基础通用规范》GB 55003、《建筑地基基础设计规范》GB 50007、《既有建筑地基基础加固技术规范》JGJ 123的有关规定</w:t>
      </w:r>
      <w:r>
        <w:rPr>
          <w:rFonts w:hint="default" w:ascii="Times New Roman" w:hAnsi="Times New Roman" w:eastAsia="宋体" w:cs="Times New Roman"/>
          <w:color w:val="auto"/>
          <w:sz w:val="24"/>
          <w:szCs w:val="24"/>
        </w:rPr>
        <w:t>。</w:t>
      </w:r>
    </w:p>
    <w:p w14:paraId="7076AA5F">
      <w:pPr>
        <w:spacing w:line="360" w:lineRule="auto"/>
        <w:ind w:firstLine="482"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3</w:t>
      </w:r>
      <w:r>
        <w:rPr>
          <w:rFonts w:hint="default" w:ascii="Times New Roman" w:hAnsi="Times New Roman" w:eastAsia="宋体" w:cs="Times New Roman"/>
          <w:color w:val="auto"/>
          <w:sz w:val="24"/>
          <w:szCs w:val="24"/>
        </w:rPr>
        <w:t xml:space="preserve"> 受较大水平荷载或位于斜坡上的既有建筑地基基础加固，以及邻近新建建筑、深基坑开挖、新建地下工程基础埋深大于既有建筑基础埋深并对既有建筑产生影响时，尚应进行地基稳定性验算。</w:t>
      </w:r>
    </w:p>
    <w:p w14:paraId="0020100E">
      <w:pPr>
        <w:spacing w:line="360" w:lineRule="auto"/>
        <w:ind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4</w:t>
      </w:r>
      <w:r>
        <w:rPr>
          <w:rFonts w:hint="default" w:ascii="Times New Roman" w:hAnsi="Times New Roman" w:eastAsia="宋体" w:cs="Times New Roman"/>
          <w:color w:val="auto"/>
          <w:sz w:val="24"/>
          <w:szCs w:val="24"/>
        </w:rPr>
        <w:t xml:space="preserve"> 对液化地基、软弱土地基或明显不均匀地基上的建筑，应采取相应的针对性措施：如优先采用增强上部结构抵抗不均匀沉降能力的措施；需同时加固地基基础和上部结构时，应首先对地基基础进行加固处理。</w:t>
      </w:r>
    </w:p>
    <w:p w14:paraId="10ABC362">
      <w:pPr>
        <w:spacing w:line="360" w:lineRule="auto"/>
        <w:ind w:firstLine="482" w:firstLineChars="200"/>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bCs/>
          <w:color w:val="auto"/>
          <w:sz w:val="24"/>
          <w:szCs w:val="24"/>
        </w:rPr>
        <w:t>5</w:t>
      </w:r>
      <w:r>
        <w:rPr>
          <w:rFonts w:hint="default" w:ascii="Times New Roman" w:hAnsi="Times New Roman" w:eastAsia="宋体" w:cs="Times New Roman"/>
          <w:b w:val="0"/>
          <w:bCs w:val="0"/>
          <w:color w:val="auto"/>
          <w:sz w:val="24"/>
          <w:szCs w:val="24"/>
        </w:rPr>
        <w:t xml:space="preserve"> 位于坡地上的建筑物在抗震加固时，新增结构不宜作支挡结构。</w:t>
      </w:r>
    </w:p>
    <w:p w14:paraId="50D86454">
      <w:pPr>
        <w:spacing w:line="360" w:lineRule="auto"/>
        <w:ind w:firstLine="482"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6</w:t>
      </w:r>
      <w:r>
        <w:rPr>
          <w:rFonts w:hint="default" w:ascii="Times New Roman" w:hAnsi="Times New Roman" w:eastAsia="宋体" w:cs="Times New Roman"/>
          <w:color w:val="auto"/>
          <w:sz w:val="24"/>
          <w:szCs w:val="24"/>
        </w:rPr>
        <w:t xml:space="preserve"> 既有建筑位于斜坡上或建筑物基础露出地坪时，基础的埋置深度应满足相关要求。基础埋置深度不满足要求时，可在基础附近增设刚性地坪、回填基础周围土体、加大基础底面积、加深基础及增设基础连系梁等加固措施。</w:t>
      </w:r>
    </w:p>
    <w:p w14:paraId="0F6F4E9B">
      <w:pPr>
        <w:spacing w:line="360" w:lineRule="auto"/>
        <w:ind w:firstLine="482"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7</w:t>
      </w:r>
      <w:r>
        <w:rPr>
          <w:rFonts w:hint="default" w:ascii="Times New Roman" w:hAnsi="Times New Roman" w:eastAsia="宋体" w:cs="Times New Roman"/>
          <w:color w:val="auto"/>
          <w:sz w:val="24"/>
          <w:szCs w:val="24"/>
        </w:rPr>
        <w:t xml:space="preserve"> 既有建筑地基基础加固工程，应对其在施工和使用期间进行沉降观测直至沉降达到稳定为止。</w:t>
      </w:r>
    </w:p>
    <w:p w14:paraId="03734B26">
      <w:pPr>
        <w:spacing w:line="360" w:lineRule="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kern w:val="0"/>
          <w:sz w:val="24"/>
          <w:szCs w:val="24"/>
          <w:lang w:val="en-US" w:eastAsia="zh-CN" w:bidi="ar"/>
        </w:rPr>
        <w:t xml:space="preserve"> </w:t>
      </w:r>
      <w:r>
        <w:rPr>
          <w:rFonts w:hint="default" w:ascii="Times New Roman" w:hAnsi="Times New Roman" w:eastAsia="宋体" w:cs="Times New Roman"/>
          <w:color w:val="auto"/>
          <w:kern w:val="0"/>
          <w:sz w:val="24"/>
          <w:szCs w:val="24"/>
          <w:lang w:val="en-US" w:eastAsia="zh-CN" w:bidi="ar"/>
        </w:rPr>
        <w:t>当地基沉降变</w:t>
      </w:r>
      <w:r>
        <w:rPr>
          <w:rFonts w:hint="default" w:ascii="Times New Roman" w:hAnsi="Times New Roman" w:eastAsia="宋体" w:cs="Times New Roman"/>
          <w:color w:val="auto"/>
          <w:sz w:val="24"/>
          <w:szCs w:val="24"/>
          <w:lang w:val="en-US" w:eastAsia="zh-CN"/>
        </w:rPr>
        <w:t>形超过规范允许值时，地基处理可采用注浆法、锚杆静压桩法、人工挖孔桩、高压喷射注浆法、置换挤密桩法、迫降纠倾、顶升纠倾等方法。</w:t>
      </w:r>
    </w:p>
    <w:p w14:paraId="3454B84F">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条文说明：由于地基不均匀、浸水湿陷、处理缺陷、水文和工程地质条件变化等引起的地基沉降变形会影响建筑物的正常使用，因此应根据建筑物的现状、变形的原因和业主的要求确定合理的治理方法，有时候单一的治理方法难以达到治理目标，需要采用两种或多种方法进行综合治理。</w:t>
      </w:r>
    </w:p>
    <w:p w14:paraId="42F19553">
      <w:pPr>
        <w:widowControl w:val="0"/>
        <w:numPr>
          <w:ilvl w:val="0"/>
          <w:numId w:val="0"/>
        </w:numPr>
        <w:spacing w:line="360" w:lineRule="auto"/>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kern w:val="0"/>
          <w:sz w:val="24"/>
          <w:szCs w:val="24"/>
          <w:lang w:val="en-US" w:eastAsia="zh-CN" w:bidi="ar"/>
        </w:rPr>
        <w:t xml:space="preserve"> </w:t>
      </w:r>
      <w:r>
        <w:rPr>
          <w:rFonts w:hint="default" w:ascii="Times New Roman" w:hAnsi="Times New Roman" w:eastAsia="宋体" w:cs="Times New Roman"/>
          <w:color w:val="auto"/>
          <w:sz w:val="24"/>
          <w:szCs w:val="24"/>
          <w:lang w:val="en-US" w:eastAsia="zh-CN"/>
        </w:rPr>
        <w:t>需要改变既有建筑物的平面位置时，可采用移位加固，移位加固设计应符合《既有建筑地基基础加固技术规范》JGJ 123的有关规定。建筑物移位加固设计时，应对上部结构进行施工安全性评估和移位建筑的地基承载力、变形的验算，如不满足设计要求时，应先对上部结构和地基进行加固。对于特殊的建筑，当抗震设计要求无法满足时，可结合移位加固采用隔震、减震技术。</w:t>
      </w:r>
    </w:p>
    <w:p w14:paraId="4750A105">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用于城市更新改造、市政道理扩建、规划变更、场地用途调整、兴建地下建筑等需要建筑物搬迁移位时，可采用移位加固技术。目前移位技术在国内得到广泛应用，已取得较多成功的经验。移位涉及到的建筑结构及地基基础问题专业性较强，因此在移位前应对建筑物进行必要的安全性评估，评估的主要内容为建筑物的结构整体性、抵抗竖向及水平向变形的能力等。</w:t>
      </w:r>
    </w:p>
    <w:p w14:paraId="706A3543">
      <w:pPr>
        <w:widowControl w:val="0"/>
        <w:numPr>
          <w:ilvl w:val="0"/>
          <w:numId w:val="0"/>
        </w:numPr>
        <w:spacing w:line="360" w:lineRule="auto"/>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kern w:val="0"/>
          <w:sz w:val="24"/>
          <w:szCs w:val="24"/>
          <w:lang w:val="en-US" w:eastAsia="zh-CN" w:bidi="ar"/>
        </w:rPr>
        <w:t xml:space="preserve"> </w:t>
      </w:r>
      <w:r>
        <w:rPr>
          <w:rFonts w:hint="default" w:ascii="Times New Roman" w:hAnsi="Times New Roman" w:eastAsia="宋体" w:cs="Times New Roman"/>
          <w:color w:val="auto"/>
          <w:sz w:val="24"/>
          <w:szCs w:val="24"/>
          <w:lang w:val="en-US" w:eastAsia="zh-CN"/>
        </w:rPr>
        <w:t>基础加固，应符合下列规定：</w:t>
      </w:r>
    </w:p>
    <w:p w14:paraId="6F2917FA">
      <w:pPr>
        <w:widowControl w:val="0"/>
        <w:numPr>
          <w:ilvl w:val="0"/>
          <w:numId w:val="0"/>
        </w:numPr>
        <w:spacing w:line="360" w:lineRule="auto"/>
        <w:ind w:firstLine="482"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color w:val="auto"/>
          <w:sz w:val="24"/>
          <w:szCs w:val="24"/>
          <w:lang w:val="en-US" w:eastAsia="zh-CN"/>
        </w:rPr>
        <w:t xml:space="preserve"> 注浆补强法可用于裂损基础的加固；</w:t>
      </w:r>
    </w:p>
    <w:p w14:paraId="52D2FF3C">
      <w:pPr>
        <w:widowControl w:val="0"/>
        <w:numPr>
          <w:ilvl w:val="0"/>
          <w:numId w:val="0"/>
        </w:numPr>
        <w:spacing w:line="360" w:lineRule="auto"/>
        <w:ind w:firstLine="482"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color w:val="auto"/>
          <w:sz w:val="24"/>
          <w:szCs w:val="24"/>
          <w:lang w:val="en-US" w:eastAsia="zh-CN"/>
        </w:rPr>
        <w:t xml:space="preserve"> 基础强度或刚度不满足设计要求时，可采用加大基础截面、加深基础、抬墙梁等措施；</w:t>
      </w:r>
    </w:p>
    <w:p w14:paraId="6EAB0BD4">
      <w:pPr>
        <w:widowControl w:val="0"/>
        <w:numPr>
          <w:ilvl w:val="0"/>
          <w:numId w:val="0"/>
        </w:numPr>
        <w:spacing w:line="360" w:lineRule="auto"/>
        <w:ind w:firstLine="482"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应遵循新、旧基础，新增桩和原有桩变形协调原则。新、旧基础的连接应采用可靠的技术措施</w:t>
      </w:r>
      <w:r>
        <w:rPr>
          <w:rFonts w:hint="default" w:ascii="Times New Roman" w:hAnsi="Times New Roman" w:eastAsia="宋体" w:cs="Times New Roman"/>
          <w:color w:val="auto"/>
          <w:sz w:val="24"/>
          <w:szCs w:val="24"/>
          <w:lang w:val="en-US" w:eastAsia="zh-CN"/>
        </w:rPr>
        <w:t>；</w:t>
      </w:r>
    </w:p>
    <w:p w14:paraId="023EA809">
      <w:pPr>
        <w:widowControl w:val="0"/>
        <w:numPr>
          <w:ilvl w:val="0"/>
          <w:numId w:val="0"/>
        </w:numPr>
        <w:spacing w:line="360" w:lineRule="auto"/>
        <w:ind w:firstLine="482"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color w:val="auto"/>
          <w:sz w:val="24"/>
          <w:szCs w:val="24"/>
          <w:lang w:val="en-US" w:eastAsia="zh-CN"/>
        </w:rPr>
        <w:t xml:space="preserve"> 基础加固设计及构造措施，应符合现行国家标准《建筑地基基础设计规范》GB 50007、《混凝土结构加固设计规范》GB 50367的有关规定</w:t>
      </w:r>
      <w:r>
        <w:rPr>
          <w:rFonts w:hint="default" w:ascii="Times New Roman" w:hAnsi="Times New Roman" w:eastAsia="宋体" w:cs="Times New Roman"/>
          <w:color w:val="auto"/>
          <w:sz w:val="24"/>
          <w:szCs w:val="24"/>
        </w:rPr>
        <w:t>。</w:t>
      </w:r>
    </w:p>
    <w:p w14:paraId="2F83F273">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基础补强注浆加固的特点是：施工方便，可以加强基础的刚度和整体性。由于注浆压力的控制要求高，实际施工时应进行试验性补强注浆，结合原基础材料强度和粘结强度，确定注浆施工参数。加大基础截面包括采用混凝土套或钢筋混凝土套扩大基础底面积，也可将原独立基础改成条形基础，原条形基础改成十字交叉条形基础或筏板基础，原筏板基础改成箱型基础。加深基础时，可将基础支承在较好的持力层上。加深的混凝土墩可以是间断的或连续的，主要取决于既有建筑的荷载大小和墩下地基土的承载能力及其变形能力。</w:t>
      </w:r>
    </w:p>
    <w:p w14:paraId="3E7DF0DA">
      <w:pPr>
        <w:widowControl w:val="0"/>
        <w:numPr>
          <w:ilvl w:val="0"/>
          <w:numId w:val="0"/>
        </w:numPr>
        <w:spacing w:line="360" w:lineRule="auto"/>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kern w:val="0"/>
          <w:sz w:val="24"/>
          <w:szCs w:val="24"/>
          <w:lang w:val="en-US" w:eastAsia="zh-CN" w:bidi="ar"/>
        </w:rPr>
        <w:t xml:space="preserve"> </w:t>
      </w:r>
      <w:r>
        <w:rPr>
          <w:rFonts w:hint="default" w:ascii="Times New Roman" w:hAnsi="Times New Roman" w:eastAsia="宋体" w:cs="Times New Roman"/>
          <w:color w:val="auto"/>
          <w:sz w:val="24"/>
          <w:szCs w:val="24"/>
          <w:lang w:val="en-US" w:eastAsia="zh-CN"/>
        </w:rPr>
        <w:t>陕西地区</w:t>
      </w:r>
      <w:r>
        <w:rPr>
          <w:rFonts w:hint="default" w:ascii="Times New Roman" w:hAnsi="Times New Roman" w:eastAsia="宋体" w:cs="Times New Roman"/>
          <w:b w:val="0"/>
          <w:bCs w:val="0"/>
          <w:color w:val="auto"/>
          <w:sz w:val="24"/>
          <w:szCs w:val="24"/>
          <w:lang w:val="en-US" w:eastAsia="zh-CN"/>
        </w:rPr>
        <w:t>黄土地基病害</w:t>
      </w:r>
      <w:r>
        <w:rPr>
          <w:rFonts w:hint="default" w:ascii="Times New Roman" w:hAnsi="Times New Roman" w:eastAsia="宋体" w:cs="Times New Roman"/>
          <w:color w:val="auto"/>
          <w:sz w:val="24"/>
          <w:szCs w:val="24"/>
          <w:lang w:val="en-US" w:eastAsia="zh-CN"/>
        </w:rPr>
        <w:t>应进行病害调查及勘察评价，分析病害成因，提出可行的地基病害治理方案。</w:t>
      </w:r>
    </w:p>
    <w:p w14:paraId="6F496B35">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地基病害勘察时黄土地基病害治理的基础，也是地基加固设计的依据。病害调查应在建设方的配合下，由有经验的勘察和结构专业人员进行。通过对原勘察、设计和竣工资料进行现场核查，对有疑问的地下隐蔽工程可能存在的问题，在经建设方同意的情况下进行局部开挖检查，特别是要查明管网损害渗透源、基础裂缝位置，以便分析病害原因和布置合理的勘察方案。黄土地基病害的成因多种多样，主要有两类，一类是由于渗水引起，黄土大多具有湿陷性，尤其是高压缩性的新近堆积黄土，即使非湿陷性黄土，浸水后也表现出强度降低，压缩性增大的特征，因此管道渗漏、地表积水、地下水位上升等都有可能引起黄土地基病害，病害程度与地基湿陷量、渗水量成正比；另一类是由于挖填方地基不均匀引起，，很多建筑物为半挖半填地基或填方地基，均匀性很差，即便是经过压实处理，也可能产生较大不均匀沉降，这是引起填方地基病害的主要原因。不论黄土地基病害由什么引起，一旦地基发生不均匀沉降，可能将给排水管道错断，并在地面形成裂缝，导致生活用水和地面雨水渗漏，渗水进一步加大地基湿陷和软化，不均匀沉降进一步加剧，需引起高度重视。</w:t>
      </w:r>
    </w:p>
    <w:p w14:paraId="6BDFA8DF">
      <w:pPr>
        <w:widowControl w:val="0"/>
        <w:numPr>
          <w:ilvl w:val="0"/>
          <w:numId w:val="0"/>
        </w:numPr>
        <w:spacing w:line="360" w:lineRule="auto"/>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5.1.6</w:t>
      </w:r>
      <w:r>
        <w:rPr>
          <w:rFonts w:hint="default" w:ascii="Times New Roman" w:hAnsi="Times New Roman" w:eastAsia="宋体" w:cs="Times New Roman"/>
          <w:color w:val="auto"/>
          <w:sz w:val="24"/>
          <w:szCs w:val="24"/>
          <w:lang w:val="en-US" w:eastAsia="zh-CN"/>
        </w:rPr>
        <w:t xml:space="preserve"> 纠倾设计与施工，应确保施工质量和结构安全，避免建筑物发生失稳、结构破坏和过量的附加沉降。</w:t>
      </w:r>
    </w:p>
    <w:p w14:paraId="69A0A17D">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纠倾加固设计时，应根据现状条件分析产生倾斜的原因，论证纠倾的可行性，对上部结构进行安全评估，确保建筑物安全。如果倾斜原因包括建筑物荷载中心的偏移，应论证地基加固的必要性，避免再度倾斜，产生附加沉降引起次生病害，在设计和施工时应高度重视。另外，施工时可采用信息化等辅助手段，增强风险辨识度，有助于设计施工优化变更。</w:t>
      </w:r>
    </w:p>
    <w:p w14:paraId="117BC224">
      <w:pPr>
        <w:spacing w:line="360" w:lineRule="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5.1.7</w:t>
      </w:r>
      <w:r>
        <w:rPr>
          <w:rFonts w:hint="default" w:ascii="Times New Roman" w:hAnsi="Times New Roman" w:eastAsia="宋体" w:cs="Times New Roman"/>
          <w:color w:val="auto"/>
          <w:sz w:val="24"/>
          <w:szCs w:val="24"/>
          <w:lang w:val="en-US" w:eastAsia="zh-CN"/>
        </w:rPr>
        <w:t xml:space="preserve"> 既有建筑地基基础加固中地下水控制方案应根据场地水文地质条件、地基基础加固方案、施工条件及周边环境条件等综合确定。</w:t>
      </w:r>
    </w:p>
    <w:p w14:paraId="452635C5">
      <w:pPr>
        <w:spacing w:line="360" w:lineRule="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5.1.8</w:t>
      </w:r>
      <w:r>
        <w:rPr>
          <w:rFonts w:hint="default" w:ascii="Times New Roman" w:hAnsi="Times New Roman" w:eastAsia="宋体" w:cs="Times New Roman"/>
          <w:color w:val="auto"/>
          <w:sz w:val="24"/>
          <w:szCs w:val="24"/>
          <w:lang w:val="en-US" w:eastAsia="zh-CN"/>
        </w:rPr>
        <w:t xml:space="preserve"> 既有建筑地下室加固施工期和使用期的抗浮治理方案应根据地下结构形式、埋置深度、结构荷载分布、抗浮设计等级、抗浮设防水位等条件，按最不利组合工况确定。</w:t>
      </w:r>
    </w:p>
    <w:p w14:paraId="265E758F">
      <w:pPr>
        <w:spacing w:line="360" w:lineRule="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5.1.9</w:t>
      </w:r>
      <w:r>
        <w:rPr>
          <w:rFonts w:hint="default" w:ascii="Times New Roman" w:hAnsi="Times New Roman" w:eastAsia="宋体" w:cs="Times New Roman"/>
          <w:color w:val="auto"/>
          <w:sz w:val="24"/>
          <w:szCs w:val="24"/>
          <w:lang w:val="en-US" w:eastAsia="zh-CN"/>
        </w:rPr>
        <w:t xml:space="preserve"> 既有建筑地下室抗浮治理方案，应符合下列规定：</w:t>
      </w:r>
    </w:p>
    <w:p w14:paraId="72EA3C59">
      <w:pPr>
        <w:spacing w:line="360" w:lineRule="auto"/>
        <w:ind w:firstLine="482"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color w:val="auto"/>
          <w:sz w:val="24"/>
          <w:szCs w:val="24"/>
          <w:lang w:val="en-US" w:eastAsia="zh-CN"/>
        </w:rPr>
        <w:t xml:space="preserve"> 当地下水位对基础加固存在影响时，应先降低地下水位；</w:t>
      </w:r>
    </w:p>
    <w:p w14:paraId="120F2724">
      <w:pPr>
        <w:spacing w:line="360" w:lineRule="auto"/>
        <w:ind w:firstLine="482"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color w:val="auto"/>
          <w:sz w:val="24"/>
          <w:szCs w:val="24"/>
          <w:lang w:val="en-US" w:eastAsia="zh-CN"/>
        </w:rPr>
        <w:t xml:space="preserve"> 地下室存在上浮时，宜在沉降稳定或复位后进行抗浮治理；</w:t>
      </w:r>
    </w:p>
    <w:p w14:paraId="19628EB9">
      <w:pPr>
        <w:spacing w:line="360" w:lineRule="auto"/>
        <w:ind w:firstLine="482"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color w:val="auto"/>
          <w:sz w:val="24"/>
          <w:szCs w:val="24"/>
          <w:lang w:val="en-US" w:eastAsia="zh-CN"/>
        </w:rPr>
        <w:t xml:space="preserve"> 宜采用新增抗浮结构与既有结构共同受力的联合体抗浮措施；</w:t>
      </w:r>
    </w:p>
    <w:p w14:paraId="071AE501">
      <w:pPr>
        <w:spacing w:line="360" w:lineRule="auto"/>
        <w:ind w:firstLine="482"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color w:val="auto"/>
          <w:sz w:val="24"/>
          <w:szCs w:val="24"/>
          <w:lang w:val="en-US" w:eastAsia="zh-CN"/>
        </w:rPr>
        <w:t xml:space="preserve"> 对发生隆起变形或开裂的区域，宜采用压重法和锚固法等组合方案；</w:t>
      </w:r>
    </w:p>
    <w:p w14:paraId="19F029EF">
      <w:pPr>
        <w:spacing w:line="360" w:lineRule="auto"/>
        <w:ind w:firstLine="482"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color w:val="auto"/>
          <w:sz w:val="24"/>
          <w:szCs w:val="24"/>
          <w:lang w:val="en-US" w:eastAsia="zh-CN"/>
        </w:rPr>
        <w:t xml:space="preserve"> 既有抗浮结构构件承载力不满足设计要求时，宜采取增补锚固构件或泄压等措施。</w:t>
      </w:r>
    </w:p>
    <w:p w14:paraId="0230B859">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建筑物发生上浮时，应对建筑类型、荷载情况、水文地质条件、环境情况、施工条件等进行综合分析，查明原因，确定合理有效的抗浮方案。地下空间有上浮情况时，应考虑泄压或压重等措施促使结构复位；上浮量不大且不影响正常使用功能，可在沉降稳定后进行上浮治理。</w:t>
      </w:r>
    </w:p>
    <w:p w14:paraId="2B79C272">
      <w:pPr>
        <w:pStyle w:val="3"/>
        <w:bidi w:val="0"/>
        <w:rPr>
          <w:rFonts w:hint="default"/>
        </w:rPr>
      </w:pPr>
      <w:bookmarkStart w:id="33" w:name="_Toc25545"/>
      <w:r>
        <w:rPr>
          <w:rFonts w:hint="default"/>
          <w:lang w:val="en-US" w:eastAsia="zh-CN"/>
        </w:rPr>
        <w:t>5.2 加固方法</w:t>
      </w:r>
      <w:bookmarkEnd w:id="33"/>
    </w:p>
    <w:p w14:paraId="1363C7F2">
      <w:pPr>
        <w:widowControl w:val="0"/>
        <w:numPr>
          <w:ilvl w:val="0"/>
          <w:numId w:val="0"/>
        </w:numPr>
        <w:spacing w:line="360" w:lineRule="auto"/>
        <w:ind w:leftChars="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rPr>
        <w:t>.2.</w:t>
      </w:r>
      <w:r>
        <w:rPr>
          <w:rFonts w:hint="default"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kern w:val="0"/>
          <w:sz w:val="24"/>
          <w:szCs w:val="24"/>
          <w:lang w:val="en-US" w:eastAsia="zh-CN" w:bidi="ar"/>
        </w:rPr>
        <w:t xml:space="preserve"> </w:t>
      </w:r>
      <w:r>
        <w:rPr>
          <w:rFonts w:hint="default" w:ascii="Times New Roman" w:hAnsi="Times New Roman" w:eastAsia="宋体" w:cs="Times New Roman"/>
          <w:b w:val="0"/>
          <w:bCs w:val="0"/>
          <w:color w:val="auto"/>
          <w:sz w:val="24"/>
          <w:szCs w:val="24"/>
          <w:lang w:val="en-US" w:eastAsia="zh-CN"/>
        </w:rPr>
        <w:t>高压旋喷桩法</w:t>
      </w:r>
      <w:r>
        <w:rPr>
          <w:rFonts w:hint="default" w:ascii="Times New Roman" w:hAnsi="Times New Roman" w:eastAsia="宋体" w:cs="Times New Roman"/>
          <w:color w:val="auto"/>
          <w:sz w:val="24"/>
          <w:szCs w:val="24"/>
          <w:lang w:val="en-US" w:eastAsia="zh-CN"/>
        </w:rPr>
        <w:t>加固施工前应先进行现场试验性施工，确定施工参数，应防止地基处理施工引起建筑物产生过大的附加沉降，浆液不应对地下水、地基土造成污染和增加腐蚀性。</w:t>
      </w:r>
    </w:p>
    <w:p w14:paraId="482D5C2E">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高压旋喷桩适用于地下水流速度小于0.1cm/s的杂填土、素填土、黄土状土、黄土、黏性土等地层，适用于单层、多层建筑物以及荷载不大的高层建筑物的地基病害治理。施工参数要根据地层埋深、孔隙率、含水量确定，可能一根桩不同深度应采用不同的参数，如淤泥层喷射压力小，浆液浓度高，较硬地层喷射压力大，浆液浓度低，因此全面成桩施工前应进行现场试验和试验性施工获取可靠的施工参数。另外，高压喷射注浆施工时，会有大量水分进入加固体周围地层，水的渗入有可能引起地基土的附加变形，因此，施工前应充分考虑附加沉降的不利影响，确保不会影响上部结构和构件的正常使用。</w:t>
      </w:r>
    </w:p>
    <w:p w14:paraId="64BF58C2">
      <w:pPr>
        <w:widowControl w:val="0"/>
        <w:numPr>
          <w:ilvl w:val="0"/>
          <w:numId w:val="0"/>
        </w:numPr>
        <w:spacing w:line="360" w:lineRule="auto"/>
        <w:ind w:leftChars="0"/>
        <w:jc w:val="both"/>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rPr>
        <w:t>.2.</w:t>
      </w: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kern w:val="0"/>
          <w:sz w:val="24"/>
          <w:szCs w:val="24"/>
          <w:lang w:val="en-US" w:eastAsia="zh-CN" w:bidi="ar"/>
        </w:rPr>
        <w:t xml:space="preserve"> </w:t>
      </w:r>
      <w:r>
        <w:rPr>
          <w:rFonts w:hint="default" w:ascii="Times New Roman" w:hAnsi="Times New Roman" w:eastAsia="宋体" w:cs="Times New Roman"/>
          <w:b w:val="0"/>
          <w:bCs w:val="0"/>
          <w:color w:val="auto"/>
          <w:kern w:val="0"/>
          <w:sz w:val="24"/>
          <w:szCs w:val="24"/>
          <w:lang w:val="en-US" w:eastAsia="zh-CN" w:bidi="ar"/>
        </w:rPr>
        <w:t>高压旋喷桩的平面布置应结合既有建筑物的结构特点、传力体系和基础类型确定，</w:t>
      </w:r>
      <w:r>
        <w:rPr>
          <w:rFonts w:hint="default" w:ascii="Times New Roman" w:hAnsi="Times New Roman" w:eastAsia="宋体" w:cs="Times New Roman"/>
          <w:b w:val="0"/>
          <w:bCs w:val="0"/>
          <w:color w:val="auto"/>
          <w:sz w:val="24"/>
          <w:szCs w:val="24"/>
          <w:lang w:val="en-US" w:eastAsia="zh-CN"/>
        </w:rPr>
        <w:t>宜选用压缩性低的非湿陷性土、黏性土、中密~密实的粉土、砂土、碎石土或基岩作为桩端持力层。当需要提高承载力时，可在桩身下部稳定土层适当扩大桩径。</w:t>
      </w:r>
    </w:p>
    <w:p w14:paraId="753A63B9">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条文说明：高压旋喷桩的布置及桩数可参考《建筑地基处理技术规范》JGJ 79得有关规定，桩位宜布置在基础的下方，布置在承重墙基础、独立基础、纵横墙交接处等荷载集中区域。对条形基础宜在基础两侧间隔布置；对独立基础宜对称布置，且桩数不少于4根。</w:t>
      </w:r>
    </w:p>
    <w:p w14:paraId="06CE1426">
      <w:pPr>
        <w:widowControl w:val="0"/>
        <w:numPr>
          <w:ilvl w:val="0"/>
          <w:numId w:val="0"/>
        </w:numPr>
        <w:spacing w:line="360" w:lineRule="auto"/>
        <w:ind w:leftChars="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rPr>
        <w:t>.2.</w:t>
      </w:r>
      <w:r>
        <w:rPr>
          <w:rFonts w:hint="default"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kern w:val="0"/>
          <w:sz w:val="24"/>
          <w:szCs w:val="24"/>
          <w:lang w:val="en-US" w:eastAsia="zh-CN" w:bidi="ar"/>
        </w:rPr>
        <w:t xml:space="preserve"> </w:t>
      </w:r>
      <w:r>
        <w:rPr>
          <w:rFonts w:hint="default" w:ascii="Times New Roman" w:hAnsi="Times New Roman" w:eastAsia="宋体" w:cs="Times New Roman"/>
          <w:color w:val="auto"/>
          <w:sz w:val="24"/>
          <w:szCs w:val="24"/>
          <w:lang w:val="en-US" w:eastAsia="zh-CN"/>
        </w:rPr>
        <w:t>当地基土为自重湿陷性黄土时，宜按桩基进行设计。当地基土为非自重湿陷性黄土、黏性土、砂类土时，宜按复合地基设计。</w:t>
      </w:r>
    </w:p>
    <w:p w14:paraId="6848A158">
      <w:pPr>
        <w:widowControl w:val="0"/>
        <w:numPr>
          <w:ilvl w:val="0"/>
          <w:numId w:val="0"/>
        </w:numPr>
        <w:spacing w:line="360" w:lineRule="auto"/>
        <w:ind w:leftChars="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 xml:space="preserve">1 </w:t>
      </w:r>
      <w:r>
        <w:rPr>
          <w:rFonts w:hint="default" w:ascii="Times New Roman" w:hAnsi="Times New Roman" w:eastAsia="宋体" w:cs="Times New Roman"/>
          <w:color w:val="auto"/>
          <w:sz w:val="24"/>
          <w:szCs w:val="24"/>
          <w:lang w:val="en-US" w:eastAsia="zh-CN"/>
        </w:rPr>
        <w:t>单桩承载力特征值可根据地区经验或通过现场载荷试验确定，初步设计时可按下式计算，取较小值。</w:t>
      </w:r>
    </w:p>
    <w:p w14:paraId="4F7D563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2880" w:firstLineChars="1200"/>
        <w:jc w:val="both"/>
        <w:textAlignment w:val="auto"/>
        <w:rPr>
          <w:rFonts w:hint="default" w:ascii="Times New Roman" w:hAnsi="Times New Roman" w:eastAsia="宋体" w:cs="Times New Roman"/>
          <w:color w:val="auto"/>
          <w:position w:val="-14"/>
          <w:sz w:val="24"/>
          <w:szCs w:val="24"/>
          <w:lang w:val="en-US" w:eastAsia="zh-CN"/>
        </w:rPr>
      </w:pPr>
      <w:r>
        <w:rPr>
          <w:rFonts w:hint="default" w:ascii="Times New Roman" w:hAnsi="Times New Roman" w:eastAsia="宋体" w:cs="Times New Roman"/>
          <w:color w:val="auto"/>
          <w:position w:val="-14"/>
          <w:sz w:val="24"/>
          <w:szCs w:val="24"/>
          <w:lang w:val="en-US" w:eastAsia="zh-CN"/>
        </w:rPr>
        <w:object>
          <v:shape id="_x0000_i1039" o:spt="75" type="#_x0000_t75" style="height:19pt;width:60pt;" o:ole="t" filled="f" o:preferrelative="t" stroked="f" coordsize="21600,21600">
            <v:path/>
            <v:fill on="f" focussize="0,0"/>
            <v:stroke on="f"/>
            <v:imagedata r:id="rId41" o:title=""/>
            <o:lock v:ext="edit" aspectratio="t"/>
            <w10:wrap type="none"/>
            <w10:anchorlock/>
          </v:shape>
          <o:OLEObject Type="Embed" ProgID="Equation.KSEE3" ShapeID="_x0000_i1039" DrawAspect="Content" ObjectID="_1468075739" r:id="rId40">
            <o:LockedField>false</o:LockedField>
          </o:OLEObject>
        </w:object>
      </w:r>
      <w:r>
        <w:rPr>
          <w:rFonts w:hint="default" w:ascii="Times New Roman" w:hAnsi="Times New Roman" w:eastAsia="宋体" w:cs="Times New Roman"/>
          <w:color w:val="auto"/>
          <w:position w:val="-14"/>
          <w:sz w:val="24"/>
          <w:szCs w:val="24"/>
          <w:lang w:val="en-US" w:eastAsia="zh-CN"/>
        </w:rPr>
        <w:t xml:space="preserve">                               （5.2.3-1）</w:t>
      </w:r>
    </w:p>
    <w:p w14:paraId="0F66A1D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2880" w:firstLineChars="1200"/>
        <w:jc w:val="both"/>
        <w:textAlignment w:val="auto"/>
        <w:rPr>
          <w:rFonts w:hint="default" w:ascii="Times New Roman" w:hAnsi="Times New Roman" w:eastAsia="宋体" w:cs="Times New Roman"/>
          <w:color w:val="auto"/>
          <w:position w:val="-14"/>
          <w:sz w:val="24"/>
          <w:szCs w:val="24"/>
          <w:lang w:val="en-US" w:eastAsia="zh-CN"/>
        </w:rPr>
      </w:pPr>
      <w:r>
        <w:rPr>
          <w:rFonts w:hint="default" w:ascii="Times New Roman" w:hAnsi="Times New Roman" w:eastAsia="宋体" w:cs="Times New Roman"/>
          <w:color w:val="auto"/>
          <w:position w:val="-28"/>
          <w:sz w:val="24"/>
          <w:szCs w:val="24"/>
          <w:lang w:val="en-US" w:eastAsia="zh-CN"/>
        </w:rPr>
        <w:object>
          <v:shape id="_x0000_i1040" o:spt="75" type="#_x0000_t75" style="height:34pt;width:114pt;" o:ole="t" filled="f" o:preferrelative="t" stroked="f" coordsize="21600,21600">
            <v:path/>
            <v:fill on="f" focussize="0,0"/>
            <v:stroke on="f"/>
            <v:imagedata r:id="rId43" o:title=""/>
            <o:lock v:ext="edit" aspectratio="t"/>
            <w10:wrap type="none"/>
            <w10:anchorlock/>
          </v:shape>
          <o:OLEObject Type="Embed" ProgID="Equation.KSEE3" ShapeID="_x0000_i1040" DrawAspect="Content" ObjectID="_1468075740" r:id="rId42">
            <o:LockedField>false</o:LockedField>
          </o:OLEObject>
        </w:object>
      </w:r>
      <w:r>
        <w:rPr>
          <w:rFonts w:hint="default" w:ascii="Times New Roman" w:hAnsi="Times New Roman" w:eastAsia="宋体" w:cs="Times New Roman"/>
          <w:color w:val="auto"/>
          <w:position w:val="-14"/>
          <w:sz w:val="24"/>
          <w:szCs w:val="24"/>
          <w:lang w:val="en-US" w:eastAsia="zh-CN"/>
        </w:rPr>
        <w:t xml:space="preserve">                     （5.2.3-2）</w:t>
      </w:r>
    </w:p>
    <w:p w14:paraId="74EE23AA">
      <w:pPr>
        <w:widowControl w:val="0"/>
        <w:numPr>
          <w:ilvl w:val="0"/>
          <w:numId w:val="0"/>
        </w:numPr>
        <w:spacing w:line="360" w:lineRule="auto"/>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式中  </w:t>
      </w:r>
      <w:r>
        <w:rPr>
          <w:rFonts w:hint="default" w:ascii="Times New Roman" w:hAnsi="Times New Roman" w:eastAsia="宋体" w:cs="Times New Roman"/>
          <w:color w:val="auto"/>
          <w:position w:val="-12"/>
          <w:sz w:val="24"/>
          <w:szCs w:val="24"/>
          <w:lang w:val="en-US" w:eastAsia="zh-CN"/>
        </w:rPr>
        <w:object>
          <v:shape id="_x0000_i1041" o:spt="75" type="#_x0000_t75" style="height:18pt;width:16pt;" o:ole="t" filled="f" o:preferrelative="t" stroked="f" coordsize="21600,21600">
            <v:path/>
            <v:fill on="f" focussize="0,0"/>
            <v:stroke on="f"/>
            <v:imagedata r:id="rId45" o:title=""/>
            <o:lock v:ext="edit" aspectratio="t"/>
            <w10:wrap type="none"/>
            <w10:anchorlock/>
          </v:shape>
          <o:OLEObject Type="Embed" ProgID="Equation.KSEE3" ShapeID="_x0000_i1041" DrawAspect="Content" ObjectID="_1468075741" r:id="rId44">
            <o:LockedField>false</o:LockedField>
          </o:OLEObject>
        </w:object>
      </w:r>
      <w:r>
        <w:rPr>
          <w:rFonts w:hint="default" w:ascii="Times New Roman" w:hAnsi="Times New Roman" w:eastAsia="宋体" w:cs="Times New Roman"/>
          <w:color w:val="auto"/>
          <w:sz w:val="24"/>
          <w:szCs w:val="24"/>
          <w:lang w:val="en-US" w:eastAsia="zh-CN"/>
        </w:rPr>
        <w:t>—单桩竖向承载力特征值（kN）；</w:t>
      </w:r>
    </w:p>
    <w:p w14:paraId="38A55D59">
      <w:pPr>
        <w:widowControl w:val="0"/>
        <w:numPr>
          <w:ilvl w:val="0"/>
          <w:numId w:val="0"/>
        </w:numPr>
        <w:spacing w:line="360" w:lineRule="auto"/>
        <w:ind w:leftChars="0" w:firstLine="720" w:firstLineChars="3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position w:val="-12"/>
          <w:sz w:val="24"/>
          <w:szCs w:val="24"/>
          <w:lang w:val="en-US" w:eastAsia="zh-CN"/>
        </w:rPr>
        <w:object>
          <v:shape id="_x0000_i1042" o:spt="75" type="#_x0000_t75" style="height:18pt;width:17pt;" o:ole="t" filled="f" o:preferrelative="t" stroked="f" coordsize="21600,21600">
            <v:path/>
            <v:fill on="f" focussize="0,0"/>
            <v:stroke on="f"/>
            <v:imagedata r:id="rId47" o:title=""/>
            <o:lock v:ext="edit" aspectratio="t"/>
            <w10:wrap type="none"/>
            <w10:anchorlock/>
          </v:shape>
          <o:OLEObject Type="Embed" ProgID="Equation.KSEE3" ShapeID="_x0000_i1042" DrawAspect="Content" ObjectID="_1468075742" r:id="rId46">
            <o:LockedField>false</o:LockedField>
          </o:OLEObject>
        </w:object>
      </w:r>
      <w:r>
        <w:rPr>
          <w:rFonts w:hint="default" w:ascii="Times New Roman" w:hAnsi="Times New Roman" w:eastAsia="宋体" w:cs="Times New Roman"/>
          <w:color w:val="auto"/>
          <w:sz w:val="24"/>
          <w:szCs w:val="24"/>
          <w:lang w:val="en-US" w:eastAsia="zh-CN"/>
        </w:rPr>
        <w:t>—桩体试块边长为150mm的立方体标准养护28d后的抗压强度平均值（kPa）</w:t>
      </w:r>
    </w:p>
    <w:p w14:paraId="08C90083">
      <w:pPr>
        <w:widowControl w:val="0"/>
        <w:numPr>
          <w:ilvl w:val="0"/>
          <w:numId w:val="0"/>
        </w:numPr>
        <w:spacing w:line="360" w:lineRule="auto"/>
        <w:ind w:firstLine="720" w:firstLineChars="3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position w:val="-10"/>
          <w:sz w:val="24"/>
          <w:szCs w:val="24"/>
          <w:lang w:val="en-US" w:eastAsia="zh-CN"/>
        </w:rPr>
        <w:object>
          <v:shape id="_x0000_i1043" o:spt="75" type="#_x0000_t75" style="height:13pt;width:10pt;" o:ole="t" filled="f" o:preferrelative="t" stroked="f" coordsize="21600,21600">
            <v:path/>
            <v:fill on="f" focussize="0,0"/>
            <v:stroke on="f"/>
            <v:imagedata r:id="rId49" o:title=""/>
            <o:lock v:ext="edit" aspectratio="t"/>
            <w10:wrap type="none"/>
            <w10:anchorlock/>
          </v:shape>
          <o:OLEObject Type="Embed" ProgID="Equation.KSEE3" ShapeID="_x0000_i1043" DrawAspect="Content" ObjectID="_1468075743" r:id="rId48">
            <o:LockedField>false</o:LockedField>
          </o:OLEObject>
        </w:object>
      </w:r>
      <w:r>
        <w:rPr>
          <w:rFonts w:hint="default" w:ascii="Times New Roman" w:hAnsi="Times New Roman" w:eastAsia="宋体" w:cs="Times New Roman"/>
          <w:color w:val="auto"/>
          <w:sz w:val="24"/>
          <w:szCs w:val="24"/>
          <w:lang w:val="en-US" w:eastAsia="zh-CN"/>
        </w:rPr>
        <w:t>—桩身强度折减系数，对自重湿陷性场地，可取0.33，对非自重湿陷性场地，可取0.35~0.5。</w:t>
      </w:r>
    </w:p>
    <w:p w14:paraId="73F6BFCA">
      <w:pPr>
        <w:widowControl w:val="0"/>
        <w:numPr>
          <w:ilvl w:val="0"/>
          <w:numId w:val="0"/>
        </w:numPr>
        <w:spacing w:line="360" w:lineRule="auto"/>
        <w:ind w:firstLine="720" w:firstLineChars="300"/>
        <w:jc w:val="both"/>
        <w:rPr>
          <w:rFonts w:hint="default" w:ascii="Times New Roman" w:hAnsi="Times New Roman" w:eastAsia="宋体" w:cs="Times New Roman"/>
          <w:color w:val="auto"/>
          <w:position w:val="-14"/>
          <w:sz w:val="24"/>
          <w:szCs w:val="24"/>
          <w:lang w:val="en-US" w:eastAsia="zh-CN"/>
        </w:rPr>
      </w:pPr>
      <w:r>
        <w:rPr>
          <w:rFonts w:hint="default" w:ascii="Times New Roman" w:hAnsi="Times New Roman" w:eastAsia="宋体" w:cs="Times New Roman"/>
          <w:color w:val="auto"/>
          <w:position w:val="-6"/>
          <w:sz w:val="24"/>
          <w:szCs w:val="24"/>
          <w:lang w:val="en-US" w:eastAsia="zh-CN"/>
        </w:rPr>
        <w:object>
          <v:shape id="_x0000_i1044" o:spt="75" type="#_x0000_t75" style="height:11pt;width:10pt;" o:ole="t" filled="f" o:preferrelative="t" stroked="f" coordsize="21600,21600">
            <v:path/>
            <v:fill on="f" focussize="0,0"/>
            <v:stroke on="f"/>
            <v:imagedata r:id="rId51" o:title=""/>
            <o:lock v:ext="edit" aspectratio="t"/>
            <w10:wrap type="none"/>
            <w10:anchorlock/>
          </v:shape>
          <o:OLEObject Type="Embed" ProgID="Equation.KSEE3" ShapeID="_x0000_i1044" DrawAspect="Content" ObjectID="_1468075744" r:id="rId50">
            <o:LockedField>false</o:LockedField>
          </o:OLEObject>
        </w:object>
      </w:r>
      <w:r>
        <w:rPr>
          <w:rFonts w:hint="default" w:ascii="Times New Roman" w:hAnsi="Times New Roman" w:eastAsia="宋体" w:cs="Times New Roman"/>
          <w:color w:val="auto"/>
          <w:position w:val="-14"/>
          <w:sz w:val="24"/>
          <w:szCs w:val="24"/>
          <w:lang w:val="en-US" w:eastAsia="zh-CN"/>
        </w:rPr>
        <w:t>—桩身长度范围内的土层层数；</w:t>
      </w:r>
    </w:p>
    <w:p w14:paraId="276886D0">
      <w:pPr>
        <w:widowControl w:val="0"/>
        <w:numPr>
          <w:ilvl w:val="0"/>
          <w:numId w:val="0"/>
        </w:numPr>
        <w:spacing w:line="360" w:lineRule="auto"/>
        <w:ind w:firstLine="720" w:firstLineChars="300"/>
        <w:jc w:val="both"/>
        <w:rPr>
          <w:rFonts w:hint="default" w:ascii="Times New Roman" w:hAnsi="Times New Roman" w:eastAsia="宋体" w:cs="Times New Roman"/>
          <w:color w:val="auto"/>
          <w:position w:val="-14"/>
          <w:sz w:val="24"/>
          <w:szCs w:val="24"/>
          <w:lang w:val="en-US" w:eastAsia="zh-CN"/>
        </w:rPr>
      </w:pPr>
      <w:r>
        <w:rPr>
          <w:rFonts w:hint="default" w:ascii="Times New Roman" w:hAnsi="Times New Roman" w:eastAsia="宋体" w:cs="Times New Roman"/>
          <w:color w:val="auto"/>
          <w:position w:val="-14"/>
          <w:sz w:val="24"/>
          <w:szCs w:val="24"/>
          <w:lang w:val="en-US" w:eastAsia="zh-CN"/>
        </w:rPr>
        <w:object>
          <v:shape id="_x0000_i1045" o:spt="75" type="#_x0000_t75" style="height:19pt;width:17pt;" o:ole="t" filled="f" o:preferrelative="t" stroked="f" coordsize="21600,21600">
            <v:path/>
            <v:fill on="f" focussize="0,0"/>
            <v:stroke on="f"/>
            <v:imagedata r:id="rId53" o:title=""/>
            <o:lock v:ext="edit" aspectratio="t"/>
            <w10:wrap type="none"/>
            <w10:anchorlock/>
          </v:shape>
          <o:OLEObject Type="Embed" ProgID="Equation.KSEE3" ShapeID="_x0000_i1045" DrawAspect="Content" ObjectID="_1468075745" r:id="rId52">
            <o:LockedField>false</o:LockedField>
          </o:OLEObject>
        </w:object>
      </w:r>
      <w:r>
        <w:rPr>
          <w:rFonts w:hint="default" w:ascii="Times New Roman" w:hAnsi="Times New Roman" w:eastAsia="宋体" w:cs="Times New Roman"/>
          <w:color w:val="auto"/>
          <w:position w:val="-14"/>
          <w:sz w:val="24"/>
          <w:szCs w:val="24"/>
          <w:lang w:val="en-US" w:eastAsia="zh-CN"/>
        </w:rPr>
        <w:t>—桩身周长；</w:t>
      </w:r>
    </w:p>
    <w:p w14:paraId="18473F6D">
      <w:pPr>
        <w:widowControl w:val="0"/>
        <w:numPr>
          <w:ilvl w:val="0"/>
          <w:numId w:val="0"/>
        </w:numPr>
        <w:spacing w:line="360" w:lineRule="auto"/>
        <w:ind w:firstLine="720" w:firstLineChars="300"/>
        <w:jc w:val="both"/>
        <w:rPr>
          <w:rFonts w:hint="default" w:ascii="Times New Roman" w:hAnsi="Times New Roman" w:eastAsia="宋体" w:cs="Times New Roman"/>
          <w:color w:val="auto"/>
          <w:position w:val="-14"/>
          <w:sz w:val="24"/>
          <w:szCs w:val="24"/>
          <w:lang w:val="en-US" w:eastAsia="zh-CN"/>
        </w:rPr>
      </w:pPr>
      <w:r>
        <w:rPr>
          <w:rFonts w:hint="default" w:ascii="Times New Roman" w:hAnsi="Times New Roman" w:eastAsia="宋体" w:cs="Times New Roman"/>
          <w:color w:val="auto"/>
          <w:position w:val="-12"/>
          <w:sz w:val="24"/>
          <w:szCs w:val="24"/>
          <w:lang w:val="en-US" w:eastAsia="zh-CN"/>
        </w:rPr>
        <w:object>
          <v:shape id="_x0000_i1046" o:spt="75" type="#_x0000_t75" style="height:18pt;width:9pt;" o:ole="t" filled="f" o:preferrelative="t" stroked="f" coordsize="21600,21600">
            <v:path/>
            <v:fill on="f" focussize="0,0"/>
            <v:stroke on="f"/>
            <v:imagedata r:id="rId55" o:title=""/>
            <o:lock v:ext="edit" aspectratio="t"/>
            <w10:wrap type="none"/>
            <w10:anchorlock/>
          </v:shape>
          <o:OLEObject Type="Embed" ProgID="Equation.KSEE3" ShapeID="_x0000_i1046" DrawAspect="Content" ObjectID="_1468075746" r:id="rId54">
            <o:LockedField>false</o:LockedField>
          </o:OLEObject>
        </w:object>
      </w:r>
      <w:r>
        <w:rPr>
          <w:rFonts w:hint="default" w:ascii="Times New Roman" w:hAnsi="Times New Roman" w:eastAsia="宋体" w:cs="Times New Roman"/>
          <w:color w:val="auto"/>
          <w:position w:val="-14"/>
          <w:sz w:val="24"/>
          <w:szCs w:val="24"/>
          <w:lang w:val="en-US" w:eastAsia="zh-CN"/>
        </w:rPr>
        <w:t>—桩长范围内第</w:t>
      </w:r>
      <w:r>
        <w:rPr>
          <w:rFonts w:hint="default" w:ascii="Times New Roman" w:hAnsi="Times New Roman" w:eastAsia="宋体" w:cs="Times New Roman"/>
          <w:color w:val="auto"/>
          <w:position w:val="-6"/>
          <w:sz w:val="24"/>
          <w:szCs w:val="24"/>
          <w:lang w:val="en-US" w:eastAsia="zh-CN"/>
        </w:rPr>
        <w:object>
          <v:shape id="_x0000_i1047" o:spt="75" type="#_x0000_t75" style="height:13pt;width:6.95pt;" o:ole="t" filled="f" o:preferrelative="t" stroked="f" coordsize="21600,21600">
            <v:path/>
            <v:fill on="f" focussize="0,0"/>
            <v:stroke on="f"/>
            <v:imagedata r:id="rId57" o:title=""/>
            <o:lock v:ext="edit" aspectratio="t"/>
            <w10:wrap type="none"/>
            <w10:anchorlock/>
          </v:shape>
          <o:OLEObject Type="Embed" ProgID="Equation.KSEE3" ShapeID="_x0000_i1047" DrawAspect="Content" ObjectID="_1468075747" r:id="rId56">
            <o:LockedField>false</o:LockedField>
          </o:OLEObject>
        </w:object>
      </w:r>
      <w:r>
        <w:rPr>
          <w:rFonts w:hint="default" w:ascii="Times New Roman" w:hAnsi="Times New Roman" w:eastAsia="宋体" w:cs="Times New Roman"/>
          <w:color w:val="auto"/>
          <w:position w:val="-14"/>
          <w:sz w:val="24"/>
          <w:szCs w:val="24"/>
          <w:lang w:val="en-US" w:eastAsia="zh-CN"/>
        </w:rPr>
        <w:t>层土的厚度；</w:t>
      </w:r>
    </w:p>
    <w:p w14:paraId="6D3C04AB">
      <w:pPr>
        <w:widowControl w:val="0"/>
        <w:numPr>
          <w:ilvl w:val="0"/>
          <w:numId w:val="0"/>
        </w:numPr>
        <w:spacing w:line="360" w:lineRule="auto"/>
        <w:ind w:firstLine="720" w:firstLineChars="300"/>
        <w:jc w:val="both"/>
        <w:rPr>
          <w:rFonts w:hint="default" w:ascii="Times New Roman" w:hAnsi="Times New Roman" w:eastAsia="宋体" w:cs="Times New Roman"/>
          <w:color w:val="auto"/>
          <w:position w:val="-14"/>
          <w:sz w:val="24"/>
          <w:szCs w:val="24"/>
          <w:lang w:val="en-US" w:eastAsia="zh-CN"/>
        </w:rPr>
      </w:pPr>
      <w:r>
        <w:rPr>
          <w:rFonts w:hint="default" w:ascii="Times New Roman" w:hAnsi="Times New Roman" w:eastAsia="宋体" w:cs="Times New Roman"/>
          <w:color w:val="auto"/>
          <w:position w:val="-12"/>
          <w:sz w:val="24"/>
          <w:szCs w:val="24"/>
          <w:lang w:val="en-US" w:eastAsia="zh-CN"/>
        </w:rPr>
        <w:object>
          <v:shape id="_x0000_i1048" o:spt="75" type="#_x0000_t75" style="height:18pt;width:15pt;" o:ole="t" filled="f" o:preferrelative="t" stroked="f" coordsize="21600,21600">
            <v:path/>
            <v:fill on="f" focussize="0,0"/>
            <v:stroke on="f"/>
            <v:imagedata r:id="rId59" o:title=""/>
            <o:lock v:ext="edit" aspectratio="t"/>
            <w10:wrap type="none"/>
            <w10:anchorlock/>
          </v:shape>
          <o:OLEObject Type="Embed" ProgID="Equation.KSEE3" ShapeID="_x0000_i1048" DrawAspect="Content" ObjectID="_1468075748" r:id="rId58">
            <o:LockedField>false</o:LockedField>
          </o:OLEObject>
        </w:object>
      </w:r>
      <w:r>
        <w:rPr>
          <w:rFonts w:hint="default" w:ascii="Times New Roman" w:hAnsi="Times New Roman" w:eastAsia="宋体" w:cs="Times New Roman"/>
          <w:color w:val="auto"/>
          <w:position w:val="-14"/>
          <w:sz w:val="24"/>
          <w:szCs w:val="24"/>
          <w:lang w:val="en-US" w:eastAsia="zh-CN"/>
        </w:rPr>
        <w:t>—桩周第</w:t>
      </w:r>
      <w:r>
        <w:rPr>
          <w:rFonts w:hint="default" w:ascii="Times New Roman" w:hAnsi="Times New Roman" w:eastAsia="宋体" w:cs="Times New Roman"/>
          <w:color w:val="auto"/>
          <w:position w:val="-6"/>
          <w:sz w:val="24"/>
          <w:szCs w:val="24"/>
          <w:lang w:val="en-US" w:eastAsia="zh-CN"/>
        </w:rPr>
        <w:object>
          <v:shape id="_x0000_i1049" o:spt="75" type="#_x0000_t75" style="height:13pt;width:6.95pt;" o:ole="t" filled="f" o:preferrelative="t" stroked="f" coordsize="21600,21600">
            <v:path/>
            <v:fill on="f" focussize="0,0"/>
            <v:stroke on="f"/>
            <v:imagedata r:id="rId57" o:title=""/>
            <o:lock v:ext="edit" aspectratio="t"/>
            <w10:wrap type="none"/>
            <w10:anchorlock/>
          </v:shape>
          <o:OLEObject Type="Embed" ProgID="Equation.KSEE3" ShapeID="_x0000_i1049" DrawAspect="Content" ObjectID="_1468075749" r:id="rId60">
            <o:LockedField>false</o:LockedField>
          </o:OLEObject>
        </w:object>
      </w:r>
      <w:r>
        <w:rPr>
          <w:rFonts w:hint="default" w:ascii="Times New Roman" w:hAnsi="Times New Roman" w:eastAsia="宋体" w:cs="Times New Roman"/>
          <w:color w:val="auto"/>
          <w:position w:val="-14"/>
          <w:sz w:val="24"/>
          <w:szCs w:val="24"/>
          <w:lang w:val="en-US" w:eastAsia="zh-CN"/>
        </w:rPr>
        <w:t>层土的侧阻力特征值</w:t>
      </w:r>
      <w:bookmarkStart w:id="34" w:name="OLE_LINK4"/>
      <w:r>
        <w:rPr>
          <w:rFonts w:hint="default" w:ascii="Times New Roman" w:hAnsi="Times New Roman" w:eastAsia="宋体" w:cs="Times New Roman"/>
          <w:color w:val="auto"/>
          <w:position w:val="-14"/>
          <w:sz w:val="24"/>
          <w:szCs w:val="24"/>
          <w:lang w:val="en-US" w:eastAsia="zh-CN"/>
        </w:rPr>
        <w:t>（kPa）；</w:t>
      </w:r>
      <w:bookmarkEnd w:id="34"/>
      <w:r>
        <w:rPr>
          <w:rFonts w:hint="default" w:ascii="Times New Roman" w:hAnsi="Times New Roman" w:eastAsia="宋体" w:cs="Times New Roman"/>
          <w:color w:val="auto"/>
          <w:position w:val="-14"/>
          <w:sz w:val="24"/>
          <w:szCs w:val="24"/>
          <w:lang w:val="en-US" w:eastAsia="zh-CN"/>
        </w:rPr>
        <w:t>非自重湿陷性黄土取10kPa~20kPa，自重湿陷性黄土层取-10kPa~-20kPa；</w:t>
      </w:r>
    </w:p>
    <w:p w14:paraId="3FE005E0">
      <w:pPr>
        <w:widowControl w:val="0"/>
        <w:numPr>
          <w:ilvl w:val="0"/>
          <w:numId w:val="0"/>
        </w:numPr>
        <w:spacing w:line="360" w:lineRule="auto"/>
        <w:ind w:firstLine="720" w:firstLineChars="300"/>
        <w:jc w:val="both"/>
        <w:rPr>
          <w:rFonts w:hint="default" w:ascii="Times New Roman" w:hAnsi="Times New Roman" w:eastAsia="宋体" w:cs="Times New Roman"/>
          <w:color w:val="auto"/>
          <w:position w:val="-14"/>
          <w:sz w:val="24"/>
          <w:szCs w:val="24"/>
          <w:lang w:val="en-US" w:eastAsia="zh-CN"/>
        </w:rPr>
      </w:pPr>
      <w:r>
        <w:rPr>
          <w:rFonts w:hint="default" w:ascii="Times New Roman" w:hAnsi="Times New Roman" w:eastAsia="宋体" w:cs="Times New Roman"/>
          <w:color w:val="auto"/>
          <w:position w:val="-14"/>
          <w:sz w:val="24"/>
          <w:szCs w:val="24"/>
          <w:lang w:val="en-US" w:eastAsia="zh-CN"/>
        </w:rPr>
        <w:object>
          <v:shape id="_x0000_i1050" o:spt="75" type="#_x0000_t75" style="height:19pt;width:17pt;" o:ole="t" filled="f" o:preferrelative="t" stroked="f" coordsize="21600,21600">
            <v:path/>
            <v:fill on="f" focussize="0,0"/>
            <v:stroke on="f"/>
            <v:imagedata r:id="rId62" o:title=""/>
            <o:lock v:ext="edit" aspectratio="t"/>
            <w10:wrap type="none"/>
            <w10:anchorlock/>
          </v:shape>
          <o:OLEObject Type="Embed" ProgID="Equation.KSEE3" ShapeID="_x0000_i1050" DrawAspect="Content" ObjectID="_1468075750" r:id="rId61">
            <o:LockedField>false</o:LockedField>
          </o:OLEObject>
        </w:object>
      </w:r>
      <w:r>
        <w:rPr>
          <w:rFonts w:hint="default" w:ascii="Times New Roman" w:hAnsi="Times New Roman" w:eastAsia="宋体" w:cs="Times New Roman"/>
          <w:color w:val="auto"/>
          <w:position w:val="-14"/>
          <w:sz w:val="24"/>
          <w:szCs w:val="24"/>
          <w:lang w:val="en-US" w:eastAsia="zh-CN"/>
        </w:rPr>
        <w:t>—桩端地基土承载力特征值（kPa）；</w:t>
      </w:r>
    </w:p>
    <w:p w14:paraId="17E0C710">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条文说明：现行行业标准《建筑地基处理技术规范》JGJ 79给的</w:t>
      </w:r>
      <w:r>
        <w:rPr>
          <w:rFonts w:hint="default" w:ascii="仿宋" w:hAnsi="仿宋" w:eastAsia="仿宋" w:cs="仿宋"/>
          <w:b w:val="0"/>
          <w:bCs w:val="0"/>
          <w:color w:val="0070C0"/>
          <w:spacing w:val="0"/>
          <w:sz w:val="24"/>
          <w:szCs w:val="24"/>
          <w:lang w:val="en-US" w:eastAsia="zh-CN"/>
        </w:rPr>
        <w:object>
          <v:shape id="_x0000_i1051" o:spt="75" type="#_x0000_t75" style="height:13pt;width:10pt;" o:ole="t" filled="f" o:preferrelative="t" stroked="f" coordsize="21600,21600">
            <v:path/>
            <v:fill on="f" focussize="0,0"/>
            <v:stroke on="f"/>
            <v:imagedata r:id="rId64" o:title=""/>
            <o:lock v:ext="edit" aspectratio="t"/>
            <w10:wrap type="none"/>
            <w10:anchorlock/>
          </v:shape>
          <o:OLEObject Type="Embed" ProgID="Equation.KSEE3" ShapeID="_x0000_i1051" DrawAspect="Content" ObjectID="_1468075751" r:id="rId63">
            <o:LockedField>false</o:LockedField>
          </o:OLEObject>
        </w:object>
      </w:r>
      <w:r>
        <w:rPr>
          <w:rFonts w:hint="default" w:ascii="仿宋" w:hAnsi="仿宋" w:eastAsia="仿宋" w:cs="仿宋"/>
          <w:b w:val="0"/>
          <w:bCs w:val="0"/>
          <w:color w:val="0070C0"/>
          <w:spacing w:val="0"/>
          <w:sz w:val="24"/>
          <w:szCs w:val="24"/>
          <w:lang w:val="en-US" w:eastAsia="zh-CN"/>
        </w:rPr>
        <w:t>值很小，为0.2~0.25；《地基处理与托换技术》（叶书麟著）中给出的值为0.35~0.5。根据西安及临近地区的工程经验，当单管法旋喷桩直径为600mm、加固深度6.0m~8.0m时，按加固体单轴抗压强度为3MPa~4MPa、承载力为400kN~500kN进行反算，</w:t>
      </w:r>
      <w:r>
        <w:rPr>
          <w:rFonts w:hint="default" w:ascii="仿宋" w:hAnsi="仿宋" w:eastAsia="仿宋" w:cs="仿宋"/>
          <w:b w:val="0"/>
          <w:bCs w:val="0"/>
          <w:color w:val="0070C0"/>
          <w:spacing w:val="0"/>
          <w:sz w:val="24"/>
          <w:szCs w:val="24"/>
          <w:lang w:val="en-US" w:eastAsia="zh-CN"/>
        </w:rPr>
        <w:object>
          <v:shape id="_x0000_i1052" o:spt="75" type="#_x0000_t75" style="height:13pt;width:10pt;" o:ole="t" filled="f" o:preferrelative="t" stroked="f" coordsize="21600,21600">
            <v:path/>
            <v:fill on="f" focussize="0,0"/>
            <v:stroke on="f"/>
            <v:imagedata r:id="rId66" o:title=""/>
            <o:lock v:ext="edit" aspectratio="t"/>
            <w10:wrap type="none"/>
            <w10:anchorlock/>
          </v:shape>
          <o:OLEObject Type="Embed" ProgID="Equation.KSEE3" ShapeID="_x0000_i1052" DrawAspect="Content" ObjectID="_1468075752" r:id="rId65">
            <o:LockedField>false</o:LockedField>
          </o:OLEObject>
        </w:object>
      </w:r>
      <w:r>
        <w:rPr>
          <w:rFonts w:hint="default" w:ascii="仿宋" w:hAnsi="仿宋" w:eastAsia="仿宋" w:cs="仿宋"/>
          <w:b w:val="0"/>
          <w:bCs w:val="0"/>
          <w:color w:val="0070C0"/>
          <w:spacing w:val="0"/>
          <w:sz w:val="24"/>
          <w:szCs w:val="24"/>
          <w:lang w:val="en-US" w:eastAsia="zh-CN"/>
        </w:rPr>
        <w:t>应为0.0左右。对单桩承载力不是特别高又有周边土共同作用的高压旋喷桩复合地基，采用和独立承载的刚性桩相同的桩身强度折减系数已属保守。综合以上因素，本规程按《地基处理与托换技术》（叶书麟著）给出的0.35~0.5取值。</w:t>
      </w:r>
    </w:p>
    <w:p w14:paraId="0F57162F">
      <w:pPr>
        <w:widowControl w:val="0"/>
        <w:numPr>
          <w:ilvl w:val="0"/>
          <w:numId w:val="0"/>
        </w:numPr>
        <w:spacing w:line="360" w:lineRule="auto"/>
        <w:ind w:leftChars="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 xml:space="preserve">2 </w:t>
      </w:r>
      <w:r>
        <w:rPr>
          <w:rFonts w:hint="default" w:ascii="Times New Roman" w:hAnsi="Times New Roman" w:eastAsia="宋体" w:cs="Times New Roman"/>
          <w:color w:val="auto"/>
          <w:sz w:val="24"/>
          <w:szCs w:val="24"/>
          <w:lang w:val="en-US" w:eastAsia="zh-CN"/>
        </w:rPr>
        <w:t>复合地基的承载力特征值可根据地区经验或通过现场载荷试验确定。初步设计时可按下式估算：</w:t>
      </w:r>
    </w:p>
    <w:p w14:paraId="7A4BA3E7">
      <w:pPr>
        <w:widowControl w:val="0"/>
        <w:numPr>
          <w:ilvl w:val="0"/>
          <w:numId w:val="0"/>
        </w:numPr>
        <w:spacing w:line="360" w:lineRule="auto"/>
        <w:ind w:leftChars="0" w:firstLine="2640" w:firstLineChars="11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position w:val="-32"/>
          <w:sz w:val="24"/>
          <w:szCs w:val="24"/>
          <w:lang w:val="en-US" w:eastAsia="zh-CN"/>
        </w:rPr>
        <w:object>
          <v:shape id="_x0000_i1053" o:spt="75" type="#_x0000_t75" style="height:36pt;width:127pt;" o:ole="t" filled="f" o:preferrelative="t" stroked="f" coordsize="21600,21600">
            <v:path/>
            <v:fill on="f" focussize="0,0"/>
            <v:stroke on="f"/>
            <v:imagedata r:id="rId68" o:title=""/>
            <o:lock v:ext="edit" aspectratio="t"/>
            <w10:wrap type="none"/>
            <w10:anchorlock/>
          </v:shape>
          <o:OLEObject Type="Embed" ProgID="Equation.KSEE3" ShapeID="_x0000_i1053" DrawAspect="Content" ObjectID="_1468075753" r:id="rId67">
            <o:LockedField>false</o:LockedField>
          </o:OLEObject>
        </w:object>
      </w:r>
      <w:r>
        <w:rPr>
          <w:rFonts w:hint="default" w:ascii="Times New Roman" w:hAnsi="Times New Roman" w:eastAsia="宋体" w:cs="Times New Roman"/>
          <w:color w:val="auto"/>
          <w:position w:val="-14"/>
          <w:sz w:val="24"/>
          <w:szCs w:val="24"/>
          <w:lang w:val="en-US" w:eastAsia="zh-CN"/>
        </w:rPr>
        <w:t xml:space="preserve">                               （5.2.3-3）</w:t>
      </w:r>
    </w:p>
    <w:p w14:paraId="7B454824">
      <w:pPr>
        <w:widowControl w:val="0"/>
        <w:numPr>
          <w:ilvl w:val="0"/>
          <w:numId w:val="0"/>
        </w:numPr>
        <w:spacing w:line="360" w:lineRule="auto"/>
        <w:ind w:leftChars="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式中 </w:t>
      </w:r>
      <w:r>
        <w:rPr>
          <w:rFonts w:hint="default" w:ascii="Times New Roman" w:hAnsi="Times New Roman" w:eastAsia="宋体" w:cs="Times New Roman"/>
          <w:color w:val="auto"/>
          <w:position w:val="-14"/>
          <w:sz w:val="24"/>
          <w:szCs w:val="24"/>
          <w:lang w:val="en-US" w:eastAsia="zh-CN"/>
        </w:rPr>
        <w:object>
          <v:shape id="_x0000_i1054" o:spt="75" type="#_x0000_t75" style="height:19pt;width:21pt;" o:ole="t" filled="f" o:preferrelative="t" stroked="f" coordsize="21600,21600">
            <v:path/>
            <v:fill on="f" focussize="0,0"/>
            <v:stroke on="f"/>
            <v:imagedata r:id="rId70" o:title=""/>
            <o:lock v:ext="edit" aspectratio="t"/>
            <w10:wrap type="none"/>
            <w10:anchorlock/>
          </v:shape>
          <o:OLEObject Type="Embed" ProgID="Equation.KSEE3" ShapeID="_x0000_i1054" DrawAspect="Content" ObjectID="_1468075754" r:id="rId69">
            <o:LockedField>false</o:LockedField>
          </o:OLEObject>
        </w:object>
      </w:r>
      <w:r>
        <w:rPr>
          <w:rFonts w:hint="default" w:ascii="Times New Roman" w:hAnsi="Times New Roman" w:eastAsia="宋体" w:cs="Times New Roman"/>
          <w:color w:val="auto"/>
          <w:sz w:val="24"/>
          <w:szCs w:val="24"/>
          <w:lang w:val="en-US" w:eastAsia="zh-CN"/>
        </w:rPr>
        <w:t>—复合地基承载力特征值（kPa）;</w:t>
      </w:r>
    </w:p>
    <w:p w14:paraId="379C1F93">
      <w:pPr>
        <w:widowControl w:val="0"/>
        <w:numPr>
          <w:ilvl w:val="0"/>
          <w:numId w:val="0"/>
        </w:numPr>
        <w:spacing w:line="360" w:lineRule="auto"/>
        <w:ind w:leftChars="0" w:firstLine="720" w:firstLineChars="3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position w:val="-6"/>
          <w:sz w:val="24"/>
          <w:szCs w:val="24"/>
          <w:lang w:val="en-US" w:eastAsia="zh-CN"/>
        </w:rPr>
        <w:object>
          <v:shape id="_x0000_i1055" o:spt="75" type="#_x0000_t75" style="height:11pt;width:13pt;" o:ole="t" filled="f" o:preferrelative="t" stroked="f" coordsize="21600,21600">
            <v:path/>
            <v:fill on="f" focussize="0,0"/>
            <v:stroke on="f"/>
            <v:imagedata r:id="rId72" o:title=""/>
            <o:lock v:ext="edit" aspectratio="t"/>
            <w10:wrap type="none"/>
            <w10:anchorlock/>
          </v:shape>
          <o:OLEObject Type="Embed" ProgID="Equation.KSEE3" ShapeID="_x0000_i1055" DrawAspect="Content" ObjectID="_1468075755" r:id="rId71">
            <o:LockedField>false</o:LockedField>
          </o:OLEObject>
        </w:object>
      </w:r>
      <w:r>
        <w:rPr>
          <w:rFonts w:hint="default" w:ascii="Times New Roman" w:hAnsi="Times New Roman" w:eastAsia="宋体" w:cs="Times New Roman"/>
          <w:color w:val="auto"/>
          <w:sz w:val="24"/>
          <w:szCs w:val="24"/>
          <w:lang w:val="en-US" w:eastAsia="zh-CN"/>
        </w:rPr>
        <w:t>—面积置换率；</w:t>
      </w:r>
    </w:p>
    <w:p w14:paraId="31FD1841">
      <w:pPr>
        <w:widowControl w:val="0"/>
        <w:numPr>
          <w:ilvl w:val="0"/>
          <w:numId w:val="0"/>
        </w:numPr>
        <w:spacing w:line="360" w:lineRule="auto"/>
        <w:ind w:leftChars="0" w:firstLine="720" w:firstLineChars="3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position w:val="-10"/>
          <w:sz w:val="24"/>
          <w:szCs w:val="24"/>
          <w:lang w:val="en-US" w:eastAsia="zh-CN"/>
        </w:rPr>
        <w:object>
          <v:shape id="_x0000_i1056" o:spt="75" type="#_x0000_t75" style="height:16pt;width:12pt;" o:ole="t" filled="f" o:preferrelative="t" stroked="f" coordsize="21600,21600">
            <v:path/>
            <v:fill on="f" focussize="0,0"/>
            <v:stroke on="f"/>
            <v:imagedata r:id="rId74" o:title=""/>
            <o:lock v:ext="edit" aspectratio="t"/>
            <w10:wrap type="none"/>
            <w10:anchorlock/>
          </v:shape>
          <o:OLEObject Type="Embed" ProgID="Equation.KSEE3" ShapeID="_x0000_i1056" DrawAspect="Content" ObjectID="_1468075756" r:id="rId73">
            <o:LockedField>false</o:LockedField>
          </o:OLEObject>
        </w:object>
      </w:r>
      <w:r>
        <w:rPr>
          <w:rFonts w:hint="default" w:ascii="Times New Roman" w:hAnsi="Times New Roman" w:eastAsia="宋体" w:cs="Times New Roman"/>
          <w:color w:val="auto"/>
          <w:sz w:val="24"/>
          <w:szCs w:val="24"/>
          <w:lang w:val="en-US" w:eastAsia="zh-CN"/>
        </w:rPr>
        <w:t>—桩间土承载力折减系数，宜按地区经验取值，如无经验时可取0.35~0.65，黄土湿陷性轻微或液性指数小时取高值，黄土湿陷性严重或液性指数大时取低值；</w:t>
      </w:r>
    </w:p>
    <w:p w14:paraId="78F15E04">
      <w:pPr>
        <w:widowControl w:val="0"/>
        <w:numPr>
          <w:ilvl w:val="0"/>
          <w:numId w:val="0"/>
        </w:numPr>
        <w:spacing w:line="360" w:lineRule="auto"/>
        <w:ind w:leftChars="0" w:firstLine="720" w:firstLineChars="3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position w:val="-12"/>
          <w:sz w:val="24"/>
          <w:szCs w:val="24"/>
          <w:lang w:val="en-US" w:eastAsia="zh-CN"/>
        </w:rPr>
        <w:object>
          <v:shape id="_x0000_i1057" o:spt="75" type="#_x0000_t75" style="height:18pt;width:17pt;" o:ole="t" filled="f" o:preferrelative="t" stroked="f" coordsize="21600,21600">
            <v:path/>
            <v:fill on="f" focussize="0,0"/>
            <v:stroke on="f"/>
            <v:imagedata r:id="rId76" o:title=""/>
            <o:lock v:ext="edit" aspectratio="t"/>
            <w10:wrap type="none"/>
            <w10:anchorlock/>
          </v:shape>
          <o:OLEObject Type="Embed" ProgID="Equation.KSEE3" ShapeID="_x0000_i1057" DrawAspect="Content" ObjectID="_1468075757" r:id="rId75">
            <o:LockedField>false</o:LockedField>
          </o:OLEObject>
        </w:object>
      </w:r>
      <w:r>
        <w:rPr>
          <w:rFonts w:hint="default" w:ascii="Times New Roman" w:hAnsi="Times New Roman" w:eastAsia="宋体" w:cs="Times New Roman"/>
          <w:color w:val="auto"/>
          <w:sz w:val="24"/>
          <w:szCs w:val="24"/>
          <w:lang w:val="en-US" w:eastAsia="zh-CN"/>
        </w:rPr>
        <w:t>—处理后桩间土承载力特征值（kPa），宜按当地经验取值，如无经验时可取饱和状态下地基承载力特征值或湿陷起始压力值。</w:t>
      </w:r>
    </w:p>
    <w:p w14:paraId="3ECA0BFA">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条文说明：现行行业标准《建筑地基处理技术规范》JGJ 79给的</w:t>
      </w:r>
      <w:r>
        <w:rPr>
          <w:rFonts w:hint="default" w:ascii="仿宋" w:hAnsi="仿宋" w:eastAsia="仿宋" w:cs="仿宋"/>
          <w:b w:val="0"/>
          <w:bCs w:val="0"/>
          <w:color w:val="0070C0"/>
          <w:spacing w:val="0"/>
          <w:sz w:val="24"/>
          <w:szCs w:val="24"/>
          <w:lang w:val="en-US" w:eastAsia="zh-CN"/>
        </w:rPr>
        <w:object>
          <v:shape id="_x0000_i1058" o:spt="75" type="#_x0000_t75" style="height:16pt;width:12pt;" o:ole="t" filled="f" o:preferrelative="t" stroked="f" coordsize="21600,21600">
            <v:path/>
            <v:fill on="f" focussize="0,0"/>
            <v:stroke on="f"/>
            <v:imagedata r:id="rId74" o:title=""/>
            <o:lock v:ext="edit" aspectratio="t"/>
            <w10:wrap type="none"/>
            <w10:anchorlock/>
          </v:shape>
          <o:OLEObject Type="Embed" ProgID="Equation.KSEE3" ShapeID="_x0000_i1058" DrawAspect="Content" ObjectID="_1468075758" r:id="rId77">
            <o:LockedField>false</o:LockedField>
          </o:OLEObject>
        </w:object>
      </w:r>
      <w:r>
        <w:rPr>
          <w:rFonts w:hint="default" w:ascii="仿宋" w:hAnsi="仿宋" w:eastAsia="仿宋" w:cs="仿宋"/>
          <w:b w:val="0"/>
          <w:bCs w:val="0"/>
          <w:color w:val="0070C0"/>
          <w:spacing w:val="0"/>
          <w:sz w:val="24"/>
          <w:szCs w:val="24"/>
          <w:lang w:val="en-US" w:eastAsia="zh-CN"/>
        </w:rPr>
        <w:t>值为0.10~0.80，《地基处理设计及应用》（杨鸿贵著）给出的值为0.0~0.5，对自重湿陷性土</w:t>
      </w:r>
      <w:r>
        <w:rPr>
          <w:rFonts w:hint="default" w:ascii="仿宋" w:hAnsi="仿宋" w:eastAsia="仿宋" w:cs="仿宋"/>
          <w:b w:val="0"/>
          <w:bCs w:val="0"/>
          <w:color w:val="0070C0"/>
          <w:spacing w:val="0"/>
          <w:sz w:val="24"/>
          <w:szCs w:val="24"/>
          <w:lang w:val="en-US" w:eastAsia="zh-CN"/>
        </w:rPr>
        <w:object>
          <v:shape id="_x0000_i1059" o:spt="75" type="#_x0000_t75" style="height:16pt;width:12pt;" o:ole="t" filled="f" o:preferrelative="t" stroked="f" coordsize="21600,21600">
            <v:path/>
            <v:fill on="f" focussize="0,0"/>
            <v:stroke on="f"/>
            <v:imagedata r:id="rId74" o:title=""/>
            <o:lock v:ext="edit" aspectratio="t"/>
            <w10:wrap type="none"/>
            <w10:anchorlock/>
          </v:shape>
          <o:OLEObject Type="Embed" ProgID="Equation.KSEE3" ShapeID="_x0000_i1059" DrawAspect="Content" ObjectID="_1468075759" r:id="rId78">
            <o:LockedField>false</o:LockedField>
          </o:OLEObject>
        </w:object>
      </w:r>
      <w:r>
        <w:rPr>
          <w:rFonts w:hint="default" w:ascii="仿宋" w:hAnsi="仿宋" w:eastAsia="仿宋" w:cs="仿宋"/>
          <w:b w:val="0"/>
          <w:bCs w:val="0"/>
          <w:color w:val="0070C0"/>
          <w:spacing w:val="0"/>
          <w:sz w:val="24"/>
          <w:szCs w:val="24"/>
          <w:lang w:val="en-US" w:eastAsia="zh-CN"/>
        </w:rPr>
        <w:t>值取0；《地基处理与托换技术》（叶书麟著）一书中给出的值为0.2~0.6。综合分析认为：对非自重湿陷性黄土取0.35~0.65较适宜，这也突出了黄土地基的特点。对于尚未浸水的非自重湿陷性黄土的</w:t>
      </w:r>
      <w:r>
        <w:rPr>
          <w:rFonts w:hint="default" w:ascii="仿宋" w:hAnsi="仿宋" w:eastAsia="仿宋" w:cs="仿宋"/>
          <w:b w:val="0"/>
          <w:bCs w:val="0"/>
          <w:color w:val="0070C0"/>
          <w:spacing w:val="0"/>
          <w:sz w:val="24"/>
          <w:szCs w:val="24"/>
          <w:lang w:val="en-US" w:eastAsia="zh-CN"/>
        </w:rPr>
        <w:object>
          <v:shape id="_x0000_i1060" o:spt="75" type="#_x0000_t75" style="height:18pt;width:17pt;" o:ole="t" filled="f" o:preferrelative="t" stroked="f" coordsize="21600,21600">
            <v:path/>
            <v:fill on="f" focussize="0,0"/>
            <v:stroke on="f"/>
            <v:imagedata r:id="rId80" o:title=""/>
            <o:lock v:ext="edit" aspectratio="t"/>
            <w10:wrap type="none"/>
            <w10:anchorlock/>
          </v:shape>
          <o:OLEObject Type="Embed" ProgID="Equation.KSEE3" ShapeID="_x0000_i1060" DrawAspect="Content" ObjectID="_1468075760" r:id="rId79">
            <o:LockedField>false</o:LockedField>
          </o:OLEObject>
        </w:object>
      </w:r>
      <w:r>
        <w:rPr>
          <w:rFonts w:hint="default" w:ascii="仿宋" w:hAnsi="仿宋" w:eastAsia="仿宋" w:cs="仿宋"/>
          <w:b w:val="0"/>
          <w:bCs w:val="0"/>
          <w:color w:val="0070C0"/>
          <w:spacing w:val="0"/>
          <w:sz w:val="24"/>
          <w:szCs w:val="24"/>
          <w:lang w:val="en-US" w:eastAsia="zh-CN"/>
        </w:rPr>
        <w:t>，可取其实现起始压力值。</w:t>
      </w:r>
    </w:p>
    <w:p w14:paraId="377B2CF2">
      <w:pPr>
        <w:widowControl w:val="0"/>
        <w:numPr>
          <w:ilvl w:val="0"/>
          <w:numId w:val="0"/>
        </w:numPr>
        <w:spacing w:line="360" w:lineRule="auto"/>
        <w:ind w:leftChars="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rPr>
        <w:t>.2.</w:t>
      </w:r>
      <w:r>
        <w:rPr>
          <w:rFonts w:hint="default"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kern w:val="0"/>
          <w:sz w:val="24"/>
          <w:szCs w:val="24"/>
          <w:lang w:val="en-US" w:eastAsia="zh-CN" w:bidi="ar"/>
        </w:rPr>
        <w:t xml:space="preserve"> </w:t>
      </w:r>
      <w:r>
        <w:rPr>
          <w:rFonts w:hint="default" w:ascii="Times New Roman" w:hAnsi="Times New Roman" w:eastAsia="宋体" w:cs="Times New Roman"/>
          <w:b w:val="0"/>
          <w:bCs w:val="0"/>
          <w:color w:val="auto"/>
          <w:kern w:val="0"/>
          <w:sz w:val="24"/>
          <w:szCs w:val="24"/>
          <w:lang w:val="en-US" w:eastAsia="zh-CN" w:bidi="ar"/>
        </w:rPr>
        <w:t>锚杆</w:t>
      </w:r>
      <w:r>
        <w:rPr>
          <w:rFonts w:hint="default" w:ascii="Times New Roman" w:hAnsi="Times New Roman" w:eastAsia="宋体" w:cs="Times New Roman"/>
          <w:b w:val="0"/>
          <w:bCs w:val="0"/>
          <w:color w:val="auto"/>
          <w:sz w:val="24"/>
          <w:szCs w:val="24"/>
          <w:lang w:val="en-US" w:eastAsia="zh-CN"/>
        </w:rPr>
        <w:t>静压桩托换可</w:t>
      </w:r>
      <w:r>
        <w:rPr>
          <w:rFonts w:hint="default" w:ascii="Times New Roman" w:hAnsi="Times New Roman" w:eastAsia="宋体" w:cs="Times New Roman"/>
          <w:color w:val="auto"/>
          <w:sz w:val="24"/>
          <w:szCs w:val="24"/>
          <w:lang w:val="en-US" w:eastAsia="zh-CN"/>
        </w:rPr>
        <w:t>采用预制钢筋混凝土方桩、钢管桩或型钢桩时，单桩承载力可按《桩基技术规范》JGJ 94的有关规定估算，当桩周土为自重湿陷性黄土时，桩的负摩阻力特征值可按现行国家标准《湿陷性黄土地区建筑标准》GB 50025的有关规定取值，桩尖应穿透湿陷性土层、欠固结土或软弱土层，并支承在压缩性较低的非湿陷性土层，入土深度不宜小于1.0m。</w:t>
      </w:r>
    </w:p>
    <w:p w14:paraId="30675755">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条文说明：静压桩设计时，单桩承载力特征值可根据地基土的物理力学指标与承载力参数之间的经验关系确定。桩侧摩阻力特征值及桩端阻力特征值主要依据现行行业标准《建筑桩基技术规范》JGJ 94表5.3.5中的数值除以安全系数2所得，对自重湿陷性黄土，依据现行国家标准《湿陷性黄土地区建筑标准》GB 50025中表5.7.6，桩侧平均负摩阻力特征值的大小与自重湿陷性量的大小有关。</w:t>
      </w:r>
    </w:p>
    <w:p w14:paraId="27B1A2F9">
      <w:pPr>
        <w:widowControl w:val="0"/>
        <w:numPr>
          <w:ilvl w:val="0"/>
          <w:numId w:val="0"/>
        </w:numPr>
        <w:spacing w:line="360" w:lineRule="auto"/>
        <w:ind w:leftChars="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rPr>
        <w:t>.2.</w:t>
      </w:r>
      <w:r>
        <w:rPr>
          <w:rFonts w:hint="default"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kern w:val="0"/>
          <w:sz w:val="24"/>
          <w:szCs w:val="24"/>
          <w:lang w:val="en-US" w:eastAsia="zh-CN" w:bidi="ar"/>
        </w:rPr>
        <w:t xml:space="preserve"> </w:t>
      </w:r>
      <w:r>
        <w:rPr>
          <w:rFonts w:hint="default" w:ascii="Times New Roman" w:hAnsi="Times New Roman" w:eastAsia="宋体" w:cs="Times New Roman"/>
          <w:b w:val="0"/>
          <w:bCs w:val="0"/>
          <w:color w:val="auto"/>
          <w:sz w:val="24"/>
          <w:szCs w:val="24"/>
          <w:lang w:val="en-US" w:eastAsia="zh-CN"/>
        </w:rPr>
        <w:t>导坑式人工挖孔桩</w:t>
      </w:r>
      <w:r>
        <w:rPr>
          <w:rFonts w:hint="default" w:ascii="Times New Roman" w:hAnsi="Times New Roman" w:eastAsia="宋体" w:cs="Times New Roman"/>
          <w:color w:val="auto"/>
          <w:sz w:val="24"/>
          <w:szCs w:val="24"/>
          <w:lang w:val="en-US" w:eastAsia="zh-CN"/>
        </w:rPr>
        <w:t>的单桩承载力可按《桩基技术规范》JGJ 94的有关规定估算，当桩周土为自重湿陷性黄土、欠固结土时，应考虑其负摩阻力的影响。当需要提高承载力时，可采取变径或扩底工艺。</w:t>
      </w:r>
    </w:p>
    <w:p w14:paraId="08E65A3D">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条文说明：对桩侧自重湿陷性黄土或欠固结填土较厚的人工挖孔桩，若扣除桩侧负摩阻力值后，单桩承载力较低，可采取变径或扩底工艺提高单桩承载力。</w:t>
      </w:r>
    </w:p>
    <w:p w14:paraId="7496C468">
      <w:pPr>
        <w:widowControl w:val="0"/>
        <w:numPr>
          <w:ilvl w:val="0"/>
          <w:numId w:val="0"/>
        </w:numPr>
        <w:spacing w:line="360" w:lineRule="auto"/>
        <w:ind w:leftChars="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rPr>
        <w:t>.2.</w:t>
      </w:r>
      <w:r>
        <w:rPr>
          <w:rFonts w:hint="default" w:ascii="Times New Roman" w:hAnsi="Times New Roman" w:eastAsia="宋体" w:cs="Times New Roman"/>
          <w:b/>
          <w:bCs/>
          <w:color w:val="auto"/>
          <w:sz w:val="24"/>
          <w:szCs w:val="24"/>
          <w:lang w:val="en-US" w:eastAsia="zh-CN"/>
        </w:rPr>
        <w:t>6</w:t>
      </w:r>
      <w:r>
        <w:rPr>
          <w:rFonts w:hint="default" w:ascii="Times New Roman" w:hAnsi="Times New Roman" w:eastAsia="宋体" w:cs="Times New Roman"/>
          <w:b/>
          <w:bCs/>
          <w:color w:val="auto"/>
          <w:kern w:val="0"/>
          <w:sz w:val="24"/>
          <w:szCs w:val="24"/>
          <w:lang w:val="en-US" w:eastAsia="zh-CN" w:bidi="ar"/>
        </w:rPr>
        <w:t xml:space="preserve"> </w:t>
      </w:r>
      <w:r>
        <w:rPr>
          <w:rFonts w:hint="default" w:ascii="Times New Roman" w:hAnsi="Times New Roman" w:eastAsia="宋体" w:cs="Times New Roman"/>
          <w:color w:val="auto"/>
          <w:sz w:val="24"/>
          <w:szCs w:val="24"/>
          <w:lang w:val="en-US" w:eastAsia="zh-CN"/>
        </w:rPr>
        <w:t>采用</w:t>
      </w:r>
      <w:r>
        <w:rPr>
          <w:rFonts w:hint="default" w:ascii="Times New Roman" w:hAnsi="Times New Roman" w:eastAsia="宋体" w:cs="Times New Roman"/>
          <w:b w:val="0"/>
          <w:bCs w:val="0"/>
          <w:color w:val="auto"/>
          <w:sz w:val="24"/>
          <w:szCs w:val="24"/>
          <w:lang w:val="en-US" w:eastAsia="zh-CN"/>
        </w:rPr>
        <w:t>单液硅化法和碱液法</w:t>
      </w:r>
      <w:r>
        <w:rPr>
          <w:rFonts w:hint="default" w:ascii="Times New Roman" w:hAnsi="Times New Roman" w:eastAsia="宋体" w:cs="Times New Roman"/>
          <w:color w:val="auto"/>
          <w:sz w:val="24"/>
          <w:szCs w:val="24"/>
          <w:lang w:val="en-US" w:eastAsia="zh-CN"/>
        </w:rPr>
        <w:t>加固湿陷性黄土地基时，施工前应在建筑场地内建筑物影响范围外进行单孔或多孔灌注溶液试验，确定该方法的适用性及灌注溶液的速度、时间、注浆量和压力等注浆参数。初步设计时，参数的估算宜符合《湿陷性黄土地区建筑标准》GB 50025和《黄土地基病害勘察与治理技术规程》DBJ61/T 131的有关规定。</w:t>
      </w:r>
    </w:p>
    <w:p w14:paraId="1D810206">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现场试验的目的一方面是为了验证单液硅化法和碱液法的加固效果，另一方面也是为了确定加固注浆参数。由于土的变异性，在不同的场地单液硅化法和碱液法注浆参数变化很大，加固效果也有较大差异，故规定应通过试验确定适宜性及相关参数。</w:t>
      </w:r>
    </w:p>
    <w:p w14:paraId="00BFB60E">
      <w:pPr>
        <w:widowControl w:val="0"/>
        <w:numPr>
          <w:ilvl w:val="0"/>
          <w:numId w:val="0"/>
        </w:numPr>
        <w:spacing w:line="360" w:lineRule="auto"/>
        <w:ind w:leftChars="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5.2.7</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b w:val="0"/>
          <w:bCs w:val="0"/>
          <w:color w:val="auto"/>
          <w:sz w:val="24"/>
          <w:szCs w:val="24"/>
          <w:lang w:val="en-US" w:eastAsia="zh-CN"/>
        </w:rPr>
        <w:t>置换挤密桩法</w:t>
      </w:r>
      <w:r>
        <w:rPr>
          <w:rFonts w:hint="default" w:ascii="Times New Roman" w:hAnsi="Times New Roman" w:eastAsia="宋体" w:cs="Times New Roman"/>
          <w:color w:val="auto"/>
          <w:sz w:val="24"/>
          <w:szCs w:val="24"/>
          <w:lang w:val="en-US" w:eastAsia="zh-CN"/>
        </w:rPr>
        <w:t>适用于素填土、湿陷性黄土等地基的处理，也适用于室外地面和道路路基的加固。挤密桩布置应沿着基础外侧平行基础边沿呈等边三角形布置，每侧不应少于两排。用于室外地面或道路路基时，也可按等边三角形布置。</w:t>
      </w:r>
    </w:p>
    <w:p w14:paraId="46318B9F">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采用置换挤密桩法处理黄土地基，一般用于低层或多层建筑物的局部处理，基础多为条形基础或独立基础，从外向向里挤密便于挤密基础下的地基土层。另外置换挤密桩法不仅对于原地基有挤密作用，而且桩身对于原地基有置换作用。通常采用螺旋钻、冲击钻、人工洛阳铲、机械洛阳铲等成孔，然后边填料边在孔内用重锤夯扩挤密形成桩土复合地基。为降低振动对既有建筑物的不利影响，不宜采用沉管、冲击、爆扩等成孔。置换挤密桩法相对其他地基处理方法，因施工方便且造价低，较适宜于对室外地面和道路地基的加固。</w:t>
      </w:r>
    </w:p>
    <w:p w14:paraId="3D06F79C">
      <w:pPr>
        <w:widowControl w:val="0"/>
        <w:numPr>
          <w:ilvl w:val="0"/>
          <w:numId w:val="0"/>
        </w:numPr>
        <w:spacing w:line="360" w:lineRule="auto"/>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5.2.8</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b w:val="0"/>
          <w:bCs w:val="0"/>
          <w:color w:val="auto"/>
          <w:sz w:val="24"/>
          <w:szCs w:val="24"/>
          <w:lang w:val="en-US" w:eastAsia="zh-CN"/>
        </w:rPr>
        <w:t>掏土纠倾设计</w:t>
      </w:r>
      <w:r>
        <w:rPr>
          <w:rFonts w:hint="default" w:ascii="Times New Roman" w:hAnsi="Times New Roman" w:eastAsia="宋体" w:cs="Times New Roman"/>
          <w:color w:val="auto"/>
          <w:sz w:val="24"/>
          <w:szCs w:val="24"/>
          <w:lang w:val="en-US" w:eastAsia="zh-CN"/>
        </w:rPr>
        <w:t>时，应验算地基基础强度是否满足要求。若地基需要加固，应先对沉降较大部位进行加固施工。初步设计时，基础下掏土量、掏土面积等施工参数宜符合《既有建筑地基基础加固技术规程》JGJ 123和《黄土地基病害勘察与治理技术规程》DBJ61/T 131的有关规定。</w:t>
      </w:r>
    </w:p>
    <w:p w14:paraId="2D366959">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基础沉降较大的部位是地基土强度较低的部位，当其强度或压缩变形不满足治理后基础使用要求，后期仍有可能继续发生沉降，此时直接进行掏土纠倾也不能达到目的，且影响施工安全，因此应先加固沉降较大部位的地基，阻止不均匀沉降发生，纠倾方可实施。</w:t>
      </w:r>
    </w:p>
    <w:p w14:paraId="11B8D723">
      <w:pPr>
        <w:widowControl w:val="0"/>
        <w:numPr>
          <w:ilvl w:val="0"/>
          <w:numId w:val="0"/>
        </w:numPr>
        <w:spacing w:line="360" w:lineRule="auto"/>
        <w:ind w:leftChars="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5.2.9</w:t>
      </w:r>
      <w:r>
        <w:rPr>
          <w:rFonts w:hint="default" w:ascii="Times New Roman" w:hAnsi="Times New Roman" w:eastAsia="宋体" w:cs="Times New Roman"/>
          <w:color w:val="auto"/>
          <w:sz w:val="24"/>
          <w:szCs w:val="24"/>
          <w:lang w:val="en-US" w:eastAsia="zh-CN"/>
        </w:rPr>
        <w:t xml:space="preserve"> 水平纠倾目标设计值应根据建筑类型、高度、结构整体性、基础类型、地基土工程性质、使用要求等综合确定，水平纠倾量目标设计值可按表5.2.9采用。</w:t>
      </w:r>
    </w:p>
    <w:p w14:paraId="3B5FE6B3">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default" w:ascii="宋体" w:hAnsi="宋体" w:eastAsia="宋体" w:cs="宋体"/>
          <w:color w:val="auto"/>
          <w:spacing w:val="-2"/>
          <w:sz w:val="28"/>
          <w:szCs w:val="28"/>
          <w:lang w:val="en-US" w:eastAsia="zh-CN"/>
        </w:rPr>
      </w:pPr>
      <w:r>
        <w:rPr>
          <w:rFonts w:hint="default" w:ascii="宋体" w:hAnsi="宋体" w:eastAsia="宋体" w:cs="宋体"/>
          <w:color w:val="auto"/>
          <w:spacing w:val="-2"/>
          <w:sz w:val="28"/>
          <w:szCs w:val="28"/>
          <w:lang w:val="en-US" w:eastAsia="zh-CN"/>
        </w:rPr>
        <w:t>表5.2.9  水平纠倾目标设计值</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76"/>
        <w:gridCol w:w="2959"/>
        <w:gridCol w:w="4840"/>
      </w:tblGrid>
      <w:tr w14:paraId="3511B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9" w:type="pct"/>
            <w:vAlign w:val="center"/>
          </w:tcPr>
          <w:p w14:paraId="65025E2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建筑物类型</w:t>
            </w:r>
          </w:p>
        </w:tc>
        <w:tc>
          <w:tcPr>
            <w:tcW w:w="1468" w:type="pct"/>
            <w:vAlign w:val="center"/>
          </w:tcPr>
          <w:p w14:paraId="3C262F6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建筑高度（m）</w:t>
            </w:r>
          </w:p>
        </w:tc>
        <w:tc>
          <w:tcPr>
            <w:tcW w:w="2401" w:type="pct"/>
            <w:vAlign w:val="center"/>
          </w:tcPr>
          <w:p w14:paraId="4297E82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水平纠倾目标设计值（m）</w:t>
            </w:r>
          </w:p>
        </w:tc>
      </w:tr>
      <w:tr w14:paraId="1A64D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pct"/>
            <w:vAlign w:val="center"/>
          </w:tcPr>
          <w:p w14:paraId="6E0D94C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建筑物</w:t>
            </w:r>
          </w:p>
        </w:tc>
        <w:tc>
          <w:tcPr>
            <w:tcW w:w="1468" w:type="pct"/>
            <w:vAlign w:val="center"/>
          </w:tcPr>
          <w:p w14:paraId="1882604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position w:val="-14"/>
                <w:sz w:val="24"/>
                <w:szCs w:val="24"/>
                <w:vertAlign w:val="baseline"/>
                <w:lang w:val="en-US" w:eastAsia="zh-CN"/>
              </w:rPr>
              <w:object>
                <v:shape id="_x0000_i1061" o:spt="75" type="#_x0000_t75" style="height:19pt;width:19pt;" o:ole="t" filled="f" o:preferrelative="t" stroked="f" coordsize="21600,21600">
                  <v:path/>
                  <v:fill on="f" focussize="0,0"/>
                  <v:stroke on="f"/>
                  <v:imagedata r:id="rId82" o:title=""/>
                  <o:lock v:ext="edit" aspectratio="t"/>
                  <w10:wrap type="none"/>
                  <w10:anchorlock/>
                </v:shape>
                <o:OLEObject Type="Embed" ProgID="Equation.KSEE3" ShapeID="_x0000_i1061" DrawAspect="Content" ObjectID="_1468075761" r:id="rId81">
                  <o:LockedField>false</o:LockedField>
                </o:OLEObject>
              </w:object>
            </w:r>
            <w:r>
              <w:rPr>
                <w:rFonts w:hint="default" w:ascii="Times New Roman" w:hAnsi="Times New Roman" w:eastAsia="宋体" w:cs="Times New Roman"/>
                <w:color w:val="auto"/>
                <w:sz w:val="24"/>
                <w:szCs w:val="24"/>
                <w:vertAlign w:val="baseline"/>
                <w:lang w:val="en-US" w:eastAsia="zh-CN"/>
              </w:rPr>
              <w:t>≤24</w:t>
            </w:r>
          </w:p>
          <w:p w14:paraId="726726F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24＜</w:t>
            </w:r>
            <w:r>
              <w:rPr>
                <w:rFonts w:hint="default" w:ascii="Times New Roman" w:hAnsi="Times New Roman" w:eastAsia="宋体" w:cs="Times New Roman"/>
                <w:color w:val="auto"/>
                <w:position w:val="-14"/>
                <w:sz w:val="24"/>
                <w:szCs w:val="24"/>
                <w:vertAlign w:val="baseline"/>
                <w:lang w:val="en-US" w:eastAsia="zh-CN"/>
              </w:rPr>
              <w:object>
                <v:shape id="_x0000_i1062" o:spt="75" type="#_x0000_t75" style="height:19pt;width:19pt;" o:ole="t" filled="f" o:preferrelative="t" stroked="f" coordsize="21600,21600">
                  <v:path/>
                  <v:fill on="f" focussize="0,0"/>
                  <v:stroke on="f"/>
                  <v:imagedata r:id="rId82" o:title=""/>
                  <o:lock v:ext="edit" aspectratio="t"/>
                  <w10:wrap type="none"/>
                  <w10:anchorlock/>
                </v:shape>
                <o:OLEObject Type="Embed" ProgID="Equation.KSEE3" ShapeID="_x0000_i1062" DrawAspect="Content" ObjectID="_1468075762" r:id="rId83">
                  <o:LockedField>false</o:LockedField>
                </o:OLEObject>
              </w:object>
            </w:r>
            <w:r>
              <w:rPr>
                <w:rFonts w:hint="default" w:ascii="Times New Roman" w:hAnsi="Times New Roman" w:eastAsia="宋体" w:cs="Times New Roman"/>
                <w:color w:val="auto"/>
                <w:sz w:val="24"/>
                <w:szCs w:val="24"/>
                <w:vertAlign w:val="baseline"/>
                <w:lang w:val="en-US" w:eastAsia="zh-CN"/>
              </w:rPr>
              <w:t>≤60</w:t>
            </w:r>
          </w:p>
          <w:p w14:paraId="288B235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60＜</w:t>
            </w:r>
            <w:r>
              <w:rPr>
                <w:rFonts w:hint="default" w:ascii="Times New Roman" w:hAnsi="Times New Roman" w:eastAsia="宋体" w:cs="Times New Roman"/>
                <w:color w:val="auto"/>
                <w:position w:val="-14"/>
                <w:sz w:val="24"/>
                <w:szCs w:val="24"/>
                <w:vertAlign w:val="baseline"/>
                <w:lang w:val="en-US" w:eastAsia="zh-CN"/>
              </w:rPr>
              <w:object>
                <v:shape id="_x0000_i1063" o:spt="75" type="#_x0000_t75" style="height:19pt;width:19pt;" o:ole="t" filled="f" o:preferrelative="t" stroked="f" coordsize="21600,21600">
                  <v:path/>
                  <v:fill on="f" focussize="0,0"/>
                  <v:stroke on="f"/>
                  <v:imagedata r:id="rId82" o:title=""/>
                  <o:lock v:ext="edit" aspectratio="t"/>
                  <w10:wrap type="none"/>
                  <w10:anchorlock/>
                </v:shape>
                <o:OLEObject Type="Embed" ProgID="Equation.KSEE3" ShapeID="_x0000_i1063" DrawAspect="Content" ObjectID="_1468075763" r:id="rId84">
                  <o:LockedField>false</o:LockedField>
                </o:OLEObject>
              </w:object>
            </w:r>
            <w:r>
              <w:rPr>
                <w:rFonts w:hint="default" w:ascii="Times New Roman" w:hAnsi="Times New Roman" w:eastAsia="宋体" w:cs="Times New Roman"/>
                <w:color w:val="auto"/>
                <w:sz w:val="24"/>
                <w:szCs w:val="24"/>
                <w:vertAlign w:val="baseline"/>
                <w:lang w:val="en-US" w:eastAsia="zh-CN"/>
              </w:rPr>
              <w:t>≤100</w:t>
            </w:r>
          </w:p>
        </w:tc>
        <w:tc>
          <w:tcPr>
            <w:tcW w:w="2401" w:type="pct"/>
            <w:vAlign w:val="center"/>
          </w:tcPr>
          <w:p w14:paraId="0230119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position w:val="-10"/>
                <w:sz w:val="24"/>
                <w:szCs w:val="24"/>
                <w:vertAlign w:val="baseline"/>
                <w:lang w:val="en-US" w:eastAsia="zh-CN"/>
              </w:rPr>
              <w:object>
                <v:shape id="_x0000_i1064" o:spt="75" type="#_x0000_t75" style="height:17pt;width:17pt;" o:ole="t" filled="f" o:preferrelative="t" stroked="f" coordsize="21600,21600">
                  <v:path/>
                  <v:fill on="f" focussize="0,0"/>
                  <v:stroke on="f"/>
                  <v:imagedata r:id="rId86" o:title=""/>
                  <o:lock v:ext="edit" aspectratio="t"/>
                  <w10:wrap type="none"/>
                  <w10:anchorlock/>
                </v:shape>
                <o:OLEObject Type="Embed" ProgID="Equation.KSEE3" ShapeID="_x0000_i1064" DrawAspect="Content" ObjectID="_1468075764" r:id="rId85">
                  <o:LockedField>false</o:LockedField>
                </o:OLEObject>
              </w:object>
            </w:r>
            <w:r>
              <w:rPr>
                <w:rFonts w:hint="default" w:ascii="Times New Roman" w:hAnsi="Times New Roman" w:eastAsia="宋体" w:cs="Times New Roman"/>
                <w:color w:val="auto"/>
                <w:sz w:val="24"/>
                <w:szCs w:val="24"/>
                <w:vertAlign w:val="baseline"/>
                <w:lang w:val="en-US" w:eastAsia="zh-CN"/>
              </w:rPr>
              <w:t>≤0.005</w:t>
            </w:r>
            <w:r>
              <w:rPr>
                <w:rFonts w:hint="default" w:ascii="Times New Roman" w:hAnsi="Times New Roman" w:eastAsia="宋体" w:cs="Times New Roman"/>
                <w:color w:val="auto"/>
                <w:position w:val="-14"/>
                <w:sz w:val="24"/>
                <w:szCs w:val="24"/>
                <w:vertAlign w:val="baseline"/>
                <w:lang w:val="en-US" w:eastAsia="zh-CN"/>
              </w:rPr>
              <w:object>
                <v:shape id="_x0000_i1065" o:spt="75" type="#_x0000_t75" style="height:19pt;width:19pt;" o:ole="t" filled="f" o:preferrelative="t" stroked="f" coordsize="21600,21600">
                  <v:path/>
                  <v:fill on="f" focussize="0,0"/>
                  <v:stroke on="f"/>
                  <v:imagedata r:id="rId82" o:title=""/>
                  <o:lock v:ext="edit" aspectratio="t"/>
                  <w10:wrap type="none"/>
                  <w10:anchorlock/>
                </v:shape>
                <o:OLEObject Type="Embed" ProgID="Equation.KSEE3" ShapeID="_x0000_i1065" DrawAspect="Content" ObjectID="_1468075765" r:id="rId87">
                  <o:LockedField>false</o:LockedField>
                </o:OLEObject>
              </w:object>
            </w:r>
          </w:p>
          <w:p w14:paraId="6E47A6A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position w:val="-10"/>
                <w:sz w:val="24"/>
                <w:szCs w:val="24"/>
                <w:vertAlign w:val="baseline"/>
                <w:lang w:val="en-US" w:eastAsia="zh-CN"/>
              </w:rPr>
              <w:object>
                <v:shape id="_x0000_i1066" o:spt="75" type="#_x0000_t75" style="height:17pt;width:17pt;" o:ole="t" filled="f" o:preferrelative="t" stroked="f" coordsize="21600,21600">
                  <v:path/>
                  <v:fill on="f" focussize="0,0"/>
                  <v:stroke on="f"/>
                  <v:imagedata r:id="rId86" o:title=""/>
                  <o:lock v:ext="edit" aspectratio="t"/>
                  <w10:wrap type="none"/>
                  <w10:anchorlock/>
                </v:shape>
                <o:OLEObject Type="Embed" ProgID="Equation.KSEE3" ShapeID="_x0000_i1066" DrawAspect="Content" ObjectID="_1468075766" r:id="rId88">
                  <o:LockedField>false</o:LockedField>
                </o:OLEObject>
              </w:object>
            </w:r>
            <w:r>
              <w:rPr>
                <w:rFonts w:hint="default" w:ascii="Times New Roman" w:hAnsi="Times New Roman" w:eastAsia="宋体" w:cs="Times New Roman"/>
                <w:color w:val="auto"/>
                <w:sz w:val="24"/>
                <w:szCs w:val="24"/>
                <w:vertAlign w:val="baseline"/>
                <w:lang w:val="en-US" w:eastAsia="zh-CN"/>
              </w:rPr>
              <w:t>≤0.0035</w:t>
            </w:r>
            <w:r>
              <w:rPr>
                <w:rFonts w:hint="default" w:ascii="Times New Roman" w:hAnsi="Times New Roman" w:eastAsia="宋体" w:cs="Times New Roman"/>
                <w:color w:val="auto"/>
                <w:position w:val="-14"/>
                <w:sz w:val="24"/>
                <w:szCs w:val="24"/>
                <w:vertAlign w:val="baseline"/>
                <w:lang w:val="en-US" w:eastAsia="zh-CN"/>
              </w:rPr>
              <w:object>
                <v:shape id="_x0000_i1067" o:spt="75" type="#_x0000_t75" style="height:19pt;width:19pt;" o:ole="t" filled="f" o:preferrelative="t" stroked="f" coordsize="21600,21600">
                  <v:path/>
                  <v:fill on="f" focussize="0,0"/>
                  <v:stroke on="f"/>
                  <v:imagedata r:id="rId82" o:title=""/>
                  <o:lock v:ext="edit" aspectratio="t"/>
                  <w10:wrap type="none"/>
                  <w10:anchorlock/>
                </v:shape>
                <o:OLEObject Type="Embed" ProgID="Equation.KSEE3" ShapeID="_x0000_i1067" DrawAspect="Content" ObjectID="_1468075767" r:id="rId89">
                  <o:LockedField>false</o:LockedField>
                </o:OLEObject>
              </w:object>
            </w:r>
          </w:p>
          <w:p w14:paraId="651C54D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position w:val="-10"/>
                <w:sz w:val="24"/>
                <w:szCs w:val="24"/>
                <w:vertAlign w:val="baseline"/>
                <w:lang w:val="en-US" w:eastAsia="zh-CN"/>
              </w:rPr>
              <w:object>
                <v:shape id="_x0000_i1068" o:spt="75" type="#_x0000_t75" style="height:17pt;width:17pt;" o:ole="t" filled="f" o:preferrelative="t" stroked="f" coordsize="21600,21600">
                  <v:path/>
                  <v:fill on="f" focussize="0,0"/>
                  <v:stroke on="f"/>
                  <v:imagedata r:id="rId86" o:title=""/>
                  <o:lock v:ext="edit" aspectratio="t"/>
                  <w10:wrap type="none"/>
                  <w10:anchorlock/>
                </v:shape>
                <o:OLEObject Type="Embed" ProgID="Equation.KSEE3" ShapeID="_x0000_i1068" DrawAspect="Content" ObjectID="_1468075768" r:id="rId90">
                  <o:LockedField>false</o:LockedField>
                </o:OLEObject>
              </w:object>
            </w:r>
            <w:r>
              <w:rPr>
                <w:rFonts w:hint="default" w:ascii="Times New Roman" w:hAnsi="Times New Roman" w:eastAsia="宋体" w:cs="Times New Roman"/>
                <w:color w:val="auto"/>
                <w:sz w:val="24"/>
                <w:szCs w:val="24"/>
                <w:vertAlign w:val="baseline"/>
                <w:lang w:val="en-US" w:eastAsia="zh-CN"/>
              </w:rPr>
              <w:t>≤0.0025</w:t>
            </w:r>
            <w:r>
              <w:rPr>
                <w:rFonts w:hint="default" w:ascii="Times New Roman" w:hAnsi="Times New Roman" w:eastAsia="宋体" w:cs="Times New Roman"/>
                <w:color w:val="auto"/>
                <w:position w:val="-14"/>
                <w:sz w:val="24"/>
                <w:szCs w:val="24"/>
                <w:vertAlign w:val="baseline"/>
                <w:lang w:val="en-US" w:eastAsia="zh-CN"/>
              </w:rPr>
              <w:object>
                <v:shape id="_x0000_i1069" o:spt="75" type="#_x0000_t75" style="height:19pt;width:19pt;" o:ole="t" filled="f" o:preferrelative="t" stroked="f" coordsize="21600,21600">
                  <v:path/>
                  <v:fill on="f" focussize="0,0"/>
                  <v:stroke on="f"/>
                  <v:imagedata r:id="rId82" o:title=""/>
                  <o:lock v:ext="edit" aspectratio="t"/>
                  <w10:wrap type="none"/>
                  <w10:anchorlock/>
                </v:shape>
                <o:OLEObject Type="Embed" ProgID="Equation.KSEE3" ShapeID="_x0000_i1069" DrawAspect="Content" ObjectID="_1468075769" r:id="rId91">
                  <o:LockedField>false</o:LockedField>
                </o:OLEObject>
              </w:object>
            </w:r>
          </w:p>
        </w:tc>
      </w:tr>
      <w:tr w14:paraId="114F0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1" w:hRule="atLeast"/>
        </w:trPr>
        <w:tc>
          <w:tcPr>
            <w:tcW w:w="1129" w:type="pct"/>
            <w:vAlign w:val="center"/>
          </w:tcPr>
          <w:p w14:paraId="3609CB9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构筑物</w:t>
            </w:r>
          </w:p>
        </w:tc>
        <w:tc>
          <w:tcPr>
            <w:tcW w:w="1468" w:type="pct"/>
            <w:vAlign w:val="center"/>
          </w:tcPr>
          <w:p w14:paraId="661D8A6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position w:val="-14"/>
                <w:sz w:val="24"/>
                <w:szCs w:val="24"/>
                <w:vertAlign w:val="baseline"/>
                <w:lang w:val="en-US" w:eastAsia="zh-CN"/>
              </w:rPr>
              <w:object>
                <v:shape id="_x0000_i1070" o:spt="75" type="#_x0000_t75" style="height:19pt;width:19pt;" o:ole="t" filled="f" o:preferrelative="t" stroked="f" coordsize="21600,21600">
                  <v:path/>
                  <v:fill on="f" focussize="0,0"/>
                  <v:stroke on="f"/>
                  <v:imagedata r:id="rId82" o:title=""/>
                  <o:lock v:ext="edit" aspectratio="t"/>
                  <w10:wrap type="none"/>
                  <w10:anchorlock/>
                </v:shape>
                <o:OLEObject Type="Embed" ProgID="Equation.KSEE3" ShapeID="_x0000_i1070" DrawAspect="Content" ObjectID="_1468075770" r:id="rId92">
                  <o:LockedField>false</o:LockedField>
                </o:OLEObject>
              </w:object>
            </w:r>
            <w:r>
              <w:rPr>
                <w:rFonts w:hint="default" w:ascii="Times New Roman" w:hAnsi="Times New Roman" w:eastAsia="宋体" w:cs="Times New Roman"/>
                <w:color w:val="auto"/>
                <w:sz w:val="24"/>
                <w:szCs w:val="24"/>
                <w:vertAlign w:val="baseline"/>
                <w:lang w:val="en-US" w:eastAsia="zh-CN"/>
              </w:rPr>
              <w:t>≤20</w:t>
            </w:r>
          </w:p>
          <w:p w14:paraId="4CA1225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20＜</w:t>
            </w:r>
            <w:r>
              <w:rPr>
                <w:rFonts w:hint="default" w:ascii="Times New Roman" w:hAnsi="Times New Roman" w:eastAsia="宋体" w:cs="Times New Roman"/>
                <w:color w:val="auto"/>
                <w:position w:val="-14"/>
                <w:sz w:val="24"/>
                <w:szCs w:val="24"/>
                <w:vertAlign w:val="baseline"/>
                <w:lang w:val="en-US" w:eastAsia="zh-CN"/>
              </w:rPr>
              <w:object>
                <v:shape id="_x0000_i1071" o:spt="75" type="#_x0000_t75" style="height:19pt;width:19pt;" o:ole="t" filled="f" o:preferrelative="t" stroked="f" coordsize="21600,21600">
                  <v:path/>
                  <v:fill on="f" focussize="0,0"/>
                  <v:stroke on="f"/>
                  <v:imagedata r:id="rId82" o:title=""/>
                  <o:lock v:ext="edit" aspectratio="t"/>
                  <w10:wrap type="none"/>
                  <w10:anchorlock/>
                </v:shape>
                <o:OLEObject Type="Embed" ProgID="Equation.KSEE3" ShapeID="_x0000_i1071" DrawAspect="Content" ObjectID="_1468075771" r:id="rId93">
                  <o:LockedField>false</o:LockedField>
                </o:OLEObject>
              </w:object>
            </w:r>
            <w:r>
              <w:rPr>
                <w:rFonts w:hint="default" w:ascii="Times New Roman" w:hAnsi="Times New Roman" w:eastAsia="宋体" w:cs="Times New Roman"/>
                <w:color w:val="auto"/>
                <w:sz w:val="24"/>
                <w:szCs w:val="24"/>
                <w:vertAlign w:val="baseline"/>
                <w:lang w:val="en-US" w:eastAsia="zh-CN"/>
              </w:rPr>
              <w:t>≤50</w:t>
            </w:r>
          </w:p>
          <w:p w14:paraId="4B4B26A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50＜</w:t>
            </w:r>
            <w:r>
              <w:rPr>
                <w:rFonts w:hint="default" w:ascii="Times New Roman" w:hAnsi="Times New Roman" w:eastAsia="宋体" w:cs="Times New Roman"/>
                <w:color w:val="auto"/>
                <w:position w:val="-14"/>
                <w:sz w:val="24"/>
                <w:szCs w:val="24"/>
                <w:vertAlign w:val="baseline"/>
                <w:lang w:val="en-US" w:eastAsia="zh-CN"/>
              </w:rPr>
              <w:object>
                <v:shape id="_x0000_i1072" o:spt="75" type="#_x0000_t75" style="height:19pt;width:19pt;" o:ole="t" filled="f" o:preferrelative="t" stroked="f" coordsize="21600,21600">
                  <v:path/>
                  <v:fill on="f" focussize="0,0"/>
                  <v:stroke on="f"/>
                  <v:imagedata r:id="rId82" o:title=""/>
                  <o:lock v:ext="edit" aspectratio="t"/>
                  <w10:wrap type="none"/>
                  <w10:anchorlock/>
                </v:shape>
                <o:OLEObject Type="Embed" ProgID="Equation.KSEE3" ShapeID="_x0000_i1072" DrawAspect="Content" ObjectID="_1468075772" r:id="rId94">
                  <o:LockedField>false</o:LockedField>
                </o:OLEObject>
              </w:object>
            </w:r>
            <w:r>
              <w:rPr>
                <w:rFonts w:hint="default" w:ascii="Times New Roman" w:hAnsi="Times New Roman" w:eastAsia="宋体" w:cs="Times New Roman"/>
                <w:color w:val="auto"/>
                <w:sz w:val="24"/>
                <w:szCs w:val="24"/>
                <w:vertAlign w:val="baseline"/>
                <w:lang w:val="en-US" w:eastAsia="zh-CN"/>
              </w:rPr>
              <w:t>≤100</w:t>
            </w:r>
          </w:p>
          <w:p w14:paraId="6C68B5F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100＜</w:t>
            </w:r>
            <w:r>
              <w:rPr>
                <w:rFonts w:hint="default" w:ascii="Times New Roman" w:hAnsi="Times New Roman" w:eastAsia="宋体" w:cs="Times New Roman"/>
                <w:color w:val="auto"/>
                <w:position w:val="-14"/>
                <w:sz w:val="24"/>
                <w:szCs w:val="24"/>
                <w:vertAlign w:val="baseline"/>
                <w:lang w:val="en-US" w:eastAsia="zh-CN"/>
              </w:rPr>
              <w:object>
                <v:shape id="_x0000_i1073" o:spt="75" type="#_x0000_t75" style="height:19pt;width:19pt;" o:ole="t" filled="f" o:preferrelative="t" stroked="f" coordsize="21600,21600">
                  <v:path/>
                  <v:fill on="f" focussize="0,0"/>
                  <v:stroke on="f"/>
                  <v:imagedata r:id="rId82" o:title=""/>
                  <o:lock v:ext="edit" aspectratio="t"/>
                  <w10:wrap type="none"/>
                  <w10:anchorlock/>
                </v:shape>
                <o:OLEObject Type="Embed" ProgID="Equation.KSEE3" ShapeID="_x0000_i1073" DrawAspect="Content" ObjectID="_1468075773" r:id="rId95">
                  <o:LockedField>false</o:LockedField>
                </o:OLEObject>
              </w:object>
            </w:r>
            <w:r>
              <w:rPr>
                <w:rFonts w:hint="default" w:ascii="Times New Roman" w:hAnsi="Times New Roman" w:eastAsia="宋体" w:cs="Times New Roman"/>
                <w:color w:val="auto"/>
                <w:sz w:val="24"/>
                <w:szCs w:val="24"/>
                <w:vertAlign w:val="baseline"/>
                <w:lang w:val="en-US" w:eastAsia="zh-CN"/>
              </w:rPr>
              <w:t>≤150</w:t>
            </w:r>
          </w:p>
        </w:tc>
        <w:tc>
          <w:tcPr>
            <w:tcW w:w="2401" w:type="pct"/>
            <w:vAlign w:val="center"/>
          </w:tcPr>
          <w:p w14:paraId="5E168B3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position w:val="-10"/>
                <w:sz w:val="24"/>
                <w:szCs w:val="24"/>
                <w:vertAlign w:val="baseline"/>
                <w:lang w:val="en-US" w:eastAsia="zh-CN"/>
              </w:rPr>
              <w:object>
                <v:shape id="_x0000_i1074" o:spt="75" type="#_x0000_t75" style="height:17pt;width:17pt;" o:ole="t" filled="f" o:preferrelative="t" stroked="f" coordsize="21600,21600">
                  <v:path/>
                  <v:fill on="f" focussize="0,0"/>
                  <v:stroke on="f"/>
                  <v:imagedata r:id="rId86" o:title=""/>
                  <o:lock v:ext="edit" aspectratio="t"/>
                  <w10:wrap type="none"/>
                  <w10:anchorlock/>
                </v:shape>
                <o:OLEObject Type="Embed" ProgID="Equation.KSEE3" ShapeID="_x0000_i1074" DrawAspect="Content" ObjectID="_1468075774" r:id="rId96">
                  <o:LockedField>false</o:LockedField>
                </o:OLEObject>
              </w:object>
            </w:r>
            <w:r>
              <w:rPr>
                <w:rFonts w:hint="default" w:ascii="Times New Roman" w:hAnsi="Times New Roman" w:eastAsia="宋体" w:cs="Times New Roman"/>
                <w:color w:val="auto"/>
                <w:sz w:val="24"/>
                <w:szCs w:val="24"/>
                <w:vertAlign w:val="baseline"/>
                <w:lang w:val="en-US" w:eastAsia="zh-CN"/>
              </w:rPr>
              <w:t>≤0.008</w:t>
            </w:r>
            <w:r>
              <w:rPr>
                <w:rFonts w:hint="default" w:ascii="Times New Roman" w:hAnsi="Times New Roman" w:eastAsia="宋体" w:cs="Times New Roman"/>
                <w:color w:val="auto"/>
                <w:position w:val="-14"/>
                <w:sz w:val="24"/>
                <w:szCs w:val="24"/>
                <w:vertAlign w:val="baseline"/>
                <w:lang w:val="en-US" w:eastAsia="zh-CN"/>
              </w:rPr>
              <w:object>
                <v:shape id="_x0000_i1075" o:spt="75" type="#_x0000_t75" style="height:19pt;width:19pt;" o:ole="t" filled="f" o:preferrelative="t" stroked="f" coordsize="21600,21600">
                  <v:path/>
                  <v:fill on="f" focussize="0,0"/>
                  <v:stroke on="f"/>
                  <v:imagedata r:id="rId82" o:title=""/>
                  <o:lock v:ext="edit" aspectratio="t"/>
                  <w10:wrap type="none"/>
                  <w10:anchorlock/>
                </v:shape>
                <o:OLEObject Type="Embed" ProgID="Equation.KSEE3" ShapeID="_x0000_i1075" DrawAspect="Content" ObjectID="_1468075775" r:id="rId97">
                  <o:LockedField>false</o:LockedField>
                </o:OLEObject>
              </w:object>
            </w:r>
          </w:p>
          <w:p w14:paraId="4C7D110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position w:val="-10"/>
                <w:sz w:val="24"/>
                <w:szCs w:val="24"/>
                <w:vertAlign w:val="baseline"/>
                <w:lang w:val="en-US" w:eastAsia="zh-CN"/>
              </w:rPr>
              <w:object>
                <v:shape id="_x0000_i1076" o:spt="75" type="#_x0000_t75" style="height:17pt;width:17pt;" o:ole="t" filled="f" o:preferrelative="t" stroked="f" coordsize="21600,21600">
                  <v:path/>
                  <v:fill on="f" focussize="0,0"/>
                  <v:stroke on="f"/>
                  <v:imagedata r:id="rId86" o:title=""/>
                  <o:lock v:ext="edit" aspectratio="t"/>
                  <w10:wrap type="none"/>
                  <w10:anchorlock/>
                </v:shape>
                <o:OLEObject Type="Embed" ProgID="Equation.KSEE3" ShapeID="_x0000_i1076" DrawAspect="Content" ObjectID="_1468075776" r:id="rId98">
                  <o:LockedField>false</o:LockedField>
                </o:OLEObject>
              </w:object>
            </w:r>
            <w:r>
              <w:rPr>
                <w:rFonts w:hint="default" w:ascii="Times New Roman" w:hAnsi="Times New Roman" w:eastAsia="宋体" w:cs="Times New Roman"/>
                <w:color w:val="auto"/>
                <w:sz w:val="24"/>
                <w:szCs w:val="24"/>
                <w:vertAlign w:val="baseline"/>
                <w:lang w:val="en-US" w:eastAsia="zh-CN"/>
              </w:rPr>
              <w:t>≤0.006</w:t>
            </w:r>
            <w:r>
              <w:rPr>
                <w:rFonts w:hint="default" w:ascii="Times New Roman" w:hAnsi="Times New Roman" w:eastAsia="宋体" w:cs="Times New Roman"/>
                <w:color w:val="auto"/>
                <w:position w:val="-14"/>
                <w:sz w:val="24"/>
                <w:szCs w:val="24"/>
                <w:vertAlign w:val="baseline"/>
                <w:lang w:val="en-US" w:eastAsia="zh-CN"/>
              </w:rPr>
              <w:object>
                <v:shape id="_x0000_i1077" o:spt="75" type="#_x0000_t75" style="height:19pt;width:19pt;" o:ole="t" filled="f" o:preferrelative="t" stroked="f" coordsize="21600,21600">
                  <v:path/>
                  <v:fill on="f" focussize="0,0"/>
                  <v:stroke on="f"/>
                  <v:imagedata r:id="rId82" o:title=""/>
                  <o:lock v:ext="edit" aspectratio="t"/>
                  <w10:wrap type="none"/>
                  <w10:anchorlock/>
                </v:shape>
                <o:OLEObject Type="Embed" ProgID="Equation.KSEE3" ShapeID="_x0000_i1077" DrawAspect="Content" ObjectID="_1468075777" r:id="rId99">
                  <o:LockedField>false</o:LockedField>
                </o:OLEObject>
              </w:object>
            </w:r>
          </w:p>
          <w:p w14:paraId="7848C66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position w:val="-10"/>
                <w:sz w:val="24"/>
                <w:szCs w:val="24"/>
                <w:vertAlign w:val="baseline"/>
                <w:lang w:val="en-US" w:eastAsia="zh-CN"/>
              </w:rPr>
              <w:object>
                <v:shape id="_x0000_i1078" o:spt="75" type="#_x0000_t75" style="height:17pt;width:17pt;" o:ole="t" filled="f" o:preferrelative="t" stroked="f" coordsize="21600,21600">
                  <v:path/>
                  <v:fill on="f" focussize="0,0"/>
                  <v:stroke on="f"/>
                  <v:imagedata r:id="rId86" o:title=""/>
                  <o:lock v:ext="edit" aspectratio="t"/>
                  <w10:wrap type="none"/>
                  <w10:anchorlock/>
                </v:shape>
                <o:OLEObject Type="Embed" ProgID="Equation.KSEE3" ShapeID="_x0000_i1078" DrawAspect="Content" ObjectID="_1468075778" r:id="rId100">
                  <o:LockedField>false</o:LockedField>
                </o:OLEObject>
              </w:object>
            </w:r>
            <w:r>
              <w:rPr>
                <w:rFonts w:hint="default" w:ascii="Times New Roman" w:hAnsi="Times New Roman" w:eastAsia="宋体" w:cs="Times New Roman"/>
                <w:color w:val="auto"/>
                <w:sz w:val="24"/>
                <w:szCs w:val="24"/>
                <w:vertAlign w:val="baseline"/>
                <w:lang w:val="en-US" w:eastAsia="zh-CN"/>
              </w:rPr>
              <w:t>≤0.005</w:t>
            </w:r>
            <w:r>
              <w:rPr>
                <w:rFonts w:hint="default" w:ascii="Times New Roman" w:hAnsi="Times New Roman" w:eastAsia="宋体" w:cs="Times New Roman"/>
                <w:color w:val="auto"/>
                <w:position w:val="-14"/>
                <w:sz w:val="24"/>
                <w:szCs w:val="24"/>
                <w:vertAlign w:val="baseline"/>
                <w:lang w:val="en-US" w:eastAsia="zh-CN"/>
              </w:rPr>
              <w:object>
                <v:shape id="_x0000_i1079" o:spt="75" type="#_x0000_t75" style="height:19pt;width:19pt;" o:ole="t" filled="f" o:preferrelative="t" stroked="f" coordsize="21600,21600">
                  <v:path/>
                  <v:fill on="f" focussize="0,0"/>
                  <v:stroke on="f"/>
                  <v:imagedata r:id="rId82" o:title=""/>
                  <o:lock v:ext="edit" aspectratio="t"/>
                  <w10:wrap type="none"/>
                  <w10:anchorlock/>
                </v:shape>
                <o:OLEObject Type="Embed" ProgID="Equation.KSEE3" ShapeID="_x0000_i1079" DrawAspect="Content" ObjectID="_1468075779" r:id="rId101">
                  <o:LockedField>false</o:LockedField>
                </o:OLEObject>
              </w:object>
            </w:r>
          </w:p>
          <w:p w14:paraId="7C7F3E4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position w:val="-10"/>
                <w:sz w:val="24"/>
                <w:szCs w:val="24"/>
                <w:vertAlign w:val="baseline"/>
                <w:lang w:val="en-US" w:eastAsia="zh-CN"/>
              </w:rPr>
              <w:object>
                <v:shape id="_x0000_i1080" o:spt="75" type="#_x0000_t75" style="height:17pt;width:17pt;" o:ole="t" filled="f" o:preferrelative="t" stroked="f" coordsize="21600,21600">
                  <v:path/>
                  <v:fill on="f" focussize="0,0"/>
                  <v:stroke on="f"/>
                  <v:imagedata r:id="rId86" o:title=""/>
                  <o:lock v:ext="edit" aspectratio="t"/>
                  <w10:wrap type="none"/>
                  <w10:anchorlock/>
                </v:shape>
                <o:OLEObject Type="Embed" ProgID="Equation.KSEE3" ShapeID="_x0000_i1080" DrawAspect="Content" ObjectID="_1468075780" r:id="rId102">
                  <o:LockedField>false</o:LockedField>
                </o:OLEObject>
              </w:object>
            </w:r>
            <w:r>
              <w:rPr>
                <w:rFonts w:hint="default" w:ascii="Times New Roman" w:hAnsi="Times New Roman" w:eastAsia="宋体" w:cs="Times New Roman"/>
                <w:color w:val="auto"/>
                <w:sz w:val="24"/>
                <w:szCs w:val="24"/>
                <w:vertAlign w:val="baseline"/>
                <w:lang w:val="en-US" w:eastAsia="zh-CN"/>
              </w:rPr>
              <w:t>≤0.004</w:t>
            </w:r>
            <w:r>
              <w:rPr>
                <w:rFonts w:hint="default" w:ascii="Times New Roman" w:hAnsi="Times New Roman" w:eastAsia="宋体" w:cs="Times New Roman"/>
                <w:color w:val="auto"/>
                <w:position w:val="-14"/>
                <w:sz w:val="24"/>
                <w:szCs w:val="24"/>
                <w:vertAlign w:val="baseline"/>
                <w:lang w:val="en-US" w:eastAsia="zh-CN"/>
              </w:rPr>
              <w:object>
                <v:shape id="_x0000_i1081" o:spt="75" type="#_x0000_t75" style="height:19pt;width:19pt;" o:ole="t" filled="f" o:preferrelative="t" stroked="f" coordsize="21600,21600">
                  <v:path/>
                  <v:fill on="f" focussize="0,0"/>
                  <v:stroke on="f"/>
                  <v:imagedata r:id="rId82" o:title=""/>
                  <o:lock v:ext="edit" aspectratio="t"/>
                  <w10:wrap type="none"/>
                  <w10:anchorlock/>
                </v:shape>
                <o:OLEObject Type="Embed" ProgID="Equation.KSEE3" ShapeID="_x0000_i1081" DrawAspect="Content" ObjectID="_1468075781" r:id="rId103">
                  <o:LockedField>false</o:LockedField>
                </o:OLEObject>
              </w:object>
            </w:r>
          </w:p>
        </w:tc>
      </w:tr>
    </w:tbl>
    <w:p w14:paraId="5EA9EA2E">
      <w:pPr>
        <w:widowControl w:val="0"/>
        <w:numPr>
          <w:ilvl w:val="0"/>
          <w:numId w:val="0"/>
        </w:numPr>
        <w:spacing w:line="240" w:lineRule="auto"/>
        <w:ind w:left="140" w:leftChars="0"/>
        <w:jc w:val="both"/>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lang w:val="en-US" w:eastAsia="zh-CN"/>
        </w:rPr>
        <w:t>注：</w:t>
      </w:r>
      <w:r>
        <w:rPr>
          <w:rFonts w:hint="eastAsia" w:ascii="宋体" w:hAnsi="宋体" w:eastAsia="宋体" w:cs="宋体"/>
          <w:b w:val="0"/>
          <w:bCs w:val="0"/>
          <w:color w:val="auto"/>
          <w:position w:val="-10"/>
          <w:sz w:val="21"/>
          <w:szCs w:val="21"/>
          <w:vertAlign w:val="baseline"/>
          <w:lang w:val="en-US" w:eastAsia="zh-CN"/>
        </w:rPr>
        <w:object>
          <v:shape id="_x0000_i1082" o:spt="75" type="#_x0000_t75" style="height:17pt;width:17pt;" o:ole="t" filled="f" o:preferrelative="t" stroked="f" coordsize="21600,21600">
            <v:path/>
            <v:fill on="f" focussize="0,0"/>
            <v:stroke on="f"/>
            <v:imagedata r:id="rId86" o:title=""/>
            <o:lock v:ext="edit" aspectratio="t"/>
            <w10:wrap type="none"/>
            <w10:anchorlock/>
          </v:shape>
          <o:OLEObject Type="Embed" ProgID="Equation.KSEE3" ShapeID="_x0000_i1082" DrawAspect="Content" ObjectID="_1468075782" r:id="rId104">
            <o:LockedField>false</o:LockedField>
          </o:OLEObject>
        </w:object>
      </w:r>
      <w:r>
        <w:rPr>
          <w:rFonts w:hint="eastAsia" w:ascii="宋体" w:hAnsi="宋体" w:eastAsia="宋体" w:cs="宋体"/>
          <w:b w:val="0"/>
          <w:bCs w:val="0"/>
          <w:color w:val="auto"/>
          <w:sz w:val="21"/>
          <w:szCs w:val="21"/>
          <w:vertAlign w:val="baseline"/>
          <w:lang w:val="en-US" w:eastAsia="zh-CN"/>
        </w:rPr>
        <w:t>为水平纠倾目标设计值（m）；</w:t>
      </w:r>
    </w:p>
    <w:p w14:paraId="71D44E6B">
      <w:pPr>
        <w:widowControl w:val="0"/>
        <w:numPr>
          <w:ilvl w:val="0"/>
          <w:numId w:val="0"/>
        </w:numPr>
        <w:spacing w:line="240" w:lineRule="auto"/>
        <w:ind w:left="140" w:leftChars="0" w:firstLine="420" w:firstLineChars="200"/>
        <w:jc w:val="both"/>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position w:val="-14"/>
          <w:sz w:val="21"/>
          <w:szCs w:val="21"/>
          <w:vertAlign w:val="baseline"/>
          <w:lang w:val="en-US" w:eastAsia="zh-CN"/>
        </w:rPr>
        <w:object>
          <v:shape id="_x0000_i1083" o:spt="75" type="#_x0000_t75" style="height:19pt;width:19pt;" o:ole="t" filled="f" o:preferrelative="t" stroked="f" coordsize="21600,21600">
            <v:path/>
            <v:fill on="f" focussize="0,0"/>
            <v:stroke on="f"/>
            <v:imagedata r:id="rId82" o:title=""/>
            <o:lock v:ext="edit" aspectratio="t"/>
            <w10:wrap type="none"/>
            <w10:anchorlock/>
          </v:shape>
          <o:OLEObject Type="Embed" ProgID="Equation.KSEE3" ShapeID="_x0000_i1083" DrawAspect="Content" ObjectID="_1468075783" r:id="rId105">
            <o:LockedField>false</o:LockedField>
          </o:OLEObject>
        </w:object>
      </w:r>
      <w:r>
        <w:rPr>
          <w:rFonts w:hint="eastAsia" w:ascii="宋体" w:hAnsi="宋体" w:eastAsia="宋体" w:cs="宋体"/>
          <w:b w:val="0"/>
          <w:bCs w:val="0"/>
          <w:color w:val="auto"/>
          <w:sz w:val="21"/>
          <w:szCs w:val="21"/>
          <w:vertAlign w:val="baseline"/>
          <w:lang w:val="en-US" w:eastAsia="zh-CN"/>
        </w:rPr>
        <w:t>为自室外地坪算起的建筑物高度（m）。</w:t>
      </w:r>
    </w:p>
    <w:p w14:paraId="6F277E66">
      <w:pPr>
        <w:widowControl w:val="0"/>
        <w:numPr>
          <w:ilvl w:val="0"/>
          <w:numId w:val="0"/>
        </w:numPr>
        <w:spacing w:line="360" w:lineRule="auto"/>
        <w:ind w:leftChars="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5.2.10</w:t>
      </w:r>
      <w:r>
        <w:rPr>
          <w:rFonts w:hint="default" w:ascii="Times New Roman" w:hAnsi="Times New Roman" w:eastAsia="宋体" w:cs="Times New Roman"/>
          <w:color w:val="auto"/>
          <w:sz w:val="24"/>
          <w:szCs w:val="24"/>
          <w:lang w:val="en-US" w:eastAsia="zh-CN"/>
        </w:rPr>
        <w:t xml:space="preserve"> 基础迫降量目标值可参考下图，按下式计算：</w:t>
      </w:r>
    </w:p>
    <w:p w14:paraId="3C847A7D">
      <w:pPr>
        <w:widowControl w:val="0"/>
        <w:numPr>
          <w:ilvl w:val="0"/>
          <w:numId w:val="0"/>
        </w:numPr>
        <w:spacing w:line="360" w:lineRule="auto"/>
        <w:ind w:leftChars="0" w:firstLine="720" w:firstLineChars="3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position w:val="-32"/>
          <w:sz w:val="24"/>
          <w:szCs w:val="24"/>
          <w:lang w:val="en-US" w:eastAsia="zh-CN"/>
        </w:rPr>
        <w:object>
          <v:shape id="_x0000_i1084" o:spt="75" type="#_x0000_t75" style="height:36pt;width:89pt;" o:ole="t" filled="f" o:preferrelative="t" stroked="f" coordsize="21600,21600">
            <v:path/>
            <v:fill on="f" focussize="0,0"/>
            <v:stroke on="f"/>
            <v:imagedata r:id="rId107" o:title=""/>
            <o:lock v:ext="edit" aspectratio="t"/>
            <w10:wrap type="none"/>
            <w10:anchorlock/>
          </v:shape>
          <o:OLEObject Type="Embed" ProgID="Equation.KSEE3" ShapeID="_x0000_i1084" DrawAspect="Content" ObjectID="_1468075784" r:id="rId106">
            <o:LockedField>false</o:LockedField>
          </o:OLEObject>
        </w:object>
      </w:r>
      <w:r>
        <w:rPr>
          <w:rFonts w:hint="default" w:ascii="Times New Roman" w:hAnsi="Times New Roman" w:eastAsia="宋体" w:cs="Times New Roman"/>
          <w:color w:val="auto"/>
          <w:sz w:val="24"/>
          <w:szCs w:val="24"/>
          <w:lang w:val="en-US" w:eastAsia="zh-CN"/>
        </w:rPr>
        <w:t xml:space="preserve">，或 </w:t>
      </w:r>
      <w:r>
        <w:rPr>
          <w:rFonts w:hint="default" w:ascii="Times New Roman" w:hAnsi="Times New Roman" w:eastAsia="宋体" w:cs="Times New Roman"/>
          <w:color w:val="auto"/>
          <w:position w:val="-12"/>
          <w:sz w:val="24"/>
          <w:szCs w:val="24"/>
          <w:lang w:val="en-US" w:eastAsia="zh-CN"/>
        </w:rPr>
        <w:object>
          <v:shape id="_x0000_i1085" o:spt="75" type="#_x0000_t75" style="height:19pt;width:66pt;" o:ole="t" filled="f" o:preferrelative="t" stroked="f" coordsize="21600,21600">
            <v:path/>
            <v:fill on="f" focussize="0,0"/>
            <v:stroke on="f"/>
            <v:imagedata r:id="rId109" o:title=""/>
            <o:lock v:ext="edit" aspectratio="t"/>
            <w10:wrap type="none"/>
            <w10:anchorlock/>
          </v:shape>
          <o:OLEObject Type="Embed" ProgID="Equation.KSEE3" ShapeID="_x0000_i1085" DrawAspect="Content" ObjectID="_1468075785" r:id="rId108">
            <o:LockedField>false</o:LockedField>
          </o:OLEObject>
        </w:object>
      </w:r>
      <w:r>
        <w:rPr>
          <w:rFonts w:hint="eastAsia" w:ascii="Times New Roman" w:hAnsi="Times New Roman" w:eastAsia="宋体" w:cs="Times New Roman"/>
          <w:color w:val="auto"/>
          <w:position w:val="-12"/>
          <w:sz w:val="24"/>
          <w:szCs w:val="24"/>
          <w:lang w:val="en-US" w:eastAsia="zh-CN"/>
        </w:rPr>
        <w:t xml:space="preserve">                        </w:t>
      </w:r>
      <w:r>
        <w:rPr>
          <w:rFonts w:hint="default" w:ascii="Times New Roman" w:hAnsi="Times New Roman" w:eastAsia="宋体" w:cs="Times New Roman"/>
          <w:color w:val="auto"/>
          <w:position w:val="-14"/>
          <w:sz w:val="24"/>
          <w:szCs w:val="24"/>
          <w:lang w:val="en-US" w:eastAsia="zh-CN"/>
        </w:rPr>
        <w:t>（5.2.</w:t>
      </w:r>
      <w:r>
        <w:rPr>
          <w:rFonts w:hint="eastAsia" w:ascii="Times New Roman" w:hAnsi="Times New Roman" w:eastAsia="宋体" w:cs="Times New Roman"/>
          <w:color w:val="auto"/>
          <w:position w:val="-14"/>
          <w:sz w:val="24"/>
          <w:szCs w:val="24"/>
          <w:lang w:val="en-US" w:eastAsia="zh-CN"/>
        </w:rPr>
        <w:t>10</w:t>
      </w:r>
      <w:r>
        <w:rPr>
          <w:rFonts w:hint="default" w:ascii="Times New Roman" w:hAnsi="Times New Roman" w:eastAsia="宋体" w:cs="Times New Roman"/>
          <w:color w:val="auto"/>
          <w:position w:val="-14"/>
          <w:sz w:val="24"/>
          <w:szCs w:val="24"/>
          <w:lang w:val="en-US" w:eastAsia="zh-CN"/>
        </w:rPr>
        <w:t>）</w:t>
      </w:r>
    </w:p>
    <w:p w14:paraId="6EDF7726">
      <w:pPr>
        <w:widowControl w:val="0"/>
        <w:numPr>
          <w:ilvl w:val="0"/>
          <w:numId w:val="0"/>
        </w:numPr>
        <w:spacing w:line="360" w:lineRule="auto"/>
        <w:ind w:leftChars="0" w:firstLine="720" w:firstLineChars="3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其中：</w:t>
      </w:r>
      <w:r>
        <w:rPr>
          <w:rFonts w:hint="default" w:ascii="Times New Roman" w:hAnsi="Times New Roman" w:eastAsia="宋体" w:cs="Times New Roman"/>
          <w:color w:val="auto"/>
          <w:position w:val="-32"/>
          <w:sz w:val="24"/>
          <w:szCs w:val="24"/>
          <w:lang w:val="en-US" w:eastAsia="zh-CN"/>
        </w:rPr>
        <w:object>
          <v:shape id="_x0000_i1086" o:spt="75" type="#_x0000_t75" style="height:36pt;width:54pt;" o:ole="t" filled="f" o:preferrelative="t" stroked="f" coordsize="21600,21600">
            <v:path/>
            <v:fill on="f" focussize="0,0"/>
            <v:stroke on="f"/>
            <v:imagedata r:id="rId111" o:title=""/>
            <o:lock v:ext="edit" aspectratio="t"/>
            <w10:wrap type="none"/>
            <w10:anchorlock/>
          </v:shape>
          <o:OLEObject Type="Embed" ProgID="Equation.KSEE3" ShapeID="_x0000_i1086" DrawAspect="Content" ObjectID="_1468075786" r:id="rId110">
            <o:LockedField>false</o:LockedField>
          </o:OLEObject>
        </w:object>
      </w:r>
    </w:p>
    <w:p w14:paraId="69422DDA">
      <w:pPr>
        <w:widowControl w:val="0"/>
        <w:numPr>
          <w:ilvl w:val="0"/>
          <w:numId w:val="0"/>
        </w:numPr>
        <w:spacing w:line="360" w:lineRule="auto"/>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式中 </w:t>
      </w:r>
      <w:r>
        <w:rPr>
          <w:rFonts w:hint="default" w:ascii="Times New Roman" w:hAnsi="Times New Roman" w:eastAsia="宋体" w:cs="Times New Roman"/>
          <w:color w:val="auto"/>
          <w:position w:val="-12"/>
          <w:sz w:val="24"/>
          <w:szCs w:val="24"/>
          <w:lang w:val="en-US" w:eastAsia="zh-CN"/>
        </w:rPr>
        <w:object>
          <v:shape id="_x0000_i1087" o:spt="75" type="#_x0000_t75" style="height:18pt;width:13.95pt;" o:ole="t" filled="f" o:preferrelative="t" stroked="f" coordsize="21600,21600">
            <v:path/>
            <v:fill on="f" focussize="0,0"/>
            <v:stroke on="f"/>
            <v:imagedata r:id="rId113" o:title=""/>
            <o:lock v:ext="edit" aspectratio="t"/>
            <w10:wrap type="none"/>
            <w10:anchorlock/>
          </v:shape>
          <o:OLEObject Type="Embed" ProgID="Equation.KSEE3" ShapeID="_x0000_i1087" DrawAspect="Content" ObjectID="_1468075787" r:id="rId112">
            <o:LockedField>false</o:LockedField>
          </o:OLEObject>
        </w:object>
      </w:r>
      <w:r>
        <w:rPr>
          <w:rFonts w:hint="default" w:ascii="Times New Roman" w:hAnsi="Times New Roman" w:eastAsia="宋体" w:cs="Times New Roman"/>
          <w:color w:val="auto"/>
          <w:sz w:val="24"/>
          <w:szCs w:val="24"/>
          <w:lang w:val="en-US" w:eastAsia="zh-CN"/>
        </w:rPr>
        <w:t>—基础迫降量目标值（mm）；</w:t>
      </w:r>
    </w:p>
    <w:p w14:paraId="77E7285E">
      <w:pPr>
        <w:widowControl w:val="0"/>
        <w:numPr>
          <w:ilvl w:val="0"/>
          <w:numId w:val="0"/>
        </w:numPr>
        <w:spacing w:line="360" w:lineRule="auto"/>
        <w:ind w:firstLine="720" w:firstLineChars="3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position w:val="-6"/>
          <w:sz w:val="24"/>
          <w:szCs w:val="24"/>
          <w:lang w:val="en-US" w:eastAsia="zh-CN"/>
        </w:rPr>
        <w:object>
          <v:shape id="_x0000_i1088" o:spt="75" type="#_x0000_t75" style="height:16pt;width:17pt;" o:ole="t" filled="f" o:preferrelative="t" stroked="f" coordsize="21600,21600">
            <v:path/>
            <v:fill on="f" focussize="0,0"/>
            <v:stroke on="f"/>
            <v:imagedata r:id="rId115" o:title=""/>
            <o:lock v:ext="edit" aspectratio="t"/>
            <w10:wrap type="none"/>
            <w10:anchorlock/>
          </v:shape>
          <o:OLEObject Type="Embed" ProgID="Equation.KSEE3" ShapeID="_x0000_i1088" DrawAspect="Content" ObjectID="_1468075788" r:id="rId114">
            <o:LockedField>false</o:LockedField>
          </o:OLEObject>
        </w:object>
      </w:r>
      <w:r>
        <w:rPr>
          <w:rFonts w:hint="default" w:ascii="Times New Roman" w:hAnsi="Times New Roman" w:eastAsia="宋体" w:cs="Times New Roman"/>
          <w:color w:val="auto"/>
          <w:sz w:val="24"/>
          <w:szCs w:val="24"/>
          <w:lang w:val="en-US" w:eastAsia="zh-CN"/>
        </w:rPr>
        <w:t>—倾斜方向基础两侧沉降差（mm）；</w:t>
      </w:r>
    </w:p>
    <w:p w14:paraId="7AA7E373">
      <w:pPr>
        <w:widowControl w:val="0"/>
        <w:numPr>
          <w:ilvl w:val="0"/>
          <w:numId w:val="0"/>
        </w:numPr>
        <w:spacing w:line="360" w:lineRule="auto"/>
        <w:ind w:firstLine="720" w:firstLineChars="3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position w:val="-10"/>
          <w:sz w:val="24"/>
          <w:szCs w:val="24"/>
          <w:lang w:val="en-US" w:eastAsia="zh-CN"/>
        </w:rPr>
        <w:object>
          <v:shape id="_x0000_i1089" o:spt="75" type="#_x0000_t75" style="height:17pt;width:20pt;" o:ole="t" filled="f" o:preferrelative="t" stroked="f" coordsize="21600,21600">
            <v:path/>
            <v:fill on="f" focussize="0,0"/>
            <v:stroke on="f"/>
            <v:imagedata r:id="rId117" o:title=""/>
            <o:lock v:ext="edit" aspectratio="t"/>
            <w10:wrap type="none"/>
            <w10:anchorlock/>
          </v:shape>
          <o:OLEObject Type="Embed" ProgID="Equation.KSEE3" ShapeID="_x0000_i1089" DrawAspect="Content" ObjectID="_1468075789" r:id="rId116">
            <o:LockedField>false</o:LockedField>
          </o:OLEObject>
        </w:object>
      </w:r>
      <w:r>
        <w:rPr>
          <w:rFonts w:hint="default" w:ascii="Times New Roman" w:hAnsi="Times New Roman" w:eastAsia="宋体" w:cs="Times New Roman"/>
          <w:color w:val="auto"/>
          <w:sz w:val="24"/>
          <w:szCs w:val="24"/>
          <w:lang w:val="en-US" w:eastAsia="zh-CN"/>
        </w:rPr>
        <w:t>—建筑物顶部水平偏移值（mm）；</w:t>
      </w:r>
    </w:p>
    <w:p w14:paraId="73003DA1">
      <w:pPr>
        <w:widowControl w:val="0"/>
        <w:numPr>
          <w:ilvl w:val="0"/>
          <w:numId w:val="0"/>
        </w:numPr>
        <w:spacing w:line="360" w:lineRule="auto"/>
        <w:ind w:firstLine="720" w:firstLineChars="3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position w:val="-10"/>
          <w:sz w:val="24"/>
          <w:szCs w:val="24"/>
          <w:lang w:val="en-US" w:eastAsia="zh-CN"/>
        </w:rPr>
        <w:object>
          <v:shape id="_x0000_i1090" o:spt="75" type="#_x0000_t75" style="height:17pt;width:17pt;" o:ole="t" filled="f" o:preferrelative="t" stroked="f" coordsize="21600,21600">
            <v:path/>
            <v:fill on="f" focussize="0,0"/>
            <v:stroke on="f"/>
            <v:imagedata r:id="rId119" o:title=""/>
            <o:lock v:ext="edit" aspectratio="t"/>
            <w10:wrap type="none"/>
            <w10:anchorlock/>
          </v:shape>
          <o:OLEObject Type="Embed" ProgID="Equation.KSEE3" ShapeID="_x0000_i1090" DrawAspect="Content" ObjectID="_1468075790" r:id="rId118">
            <o:LockedField>false</o:LockedField>
          </o:OLEObject>
        </w:object>
      </w:r>
      <w:r>
        <w:rPr>
          <w:rFonts w:hint="default" w:ascii="Times New Roman" w:hAnsi="Times New Roman" w:eastAsia="宋体" w:cs="Times New Roman"/>
          <w:color w:val="auto"/>
          <w:sz w:val="24"/>
          <w:szCs w:val="24"/>
          <w:lang w:val="en-US" w:eastAsia="zh-CN"/>
        </w:rPr>
        <w:t>—水平纠倾目标设计值（mm）；</w:t>
      </w:r>
    </w:p>
    <w:p w14:paraId="6599B720">
      <w:pPr>
        <w:widowControl w:val="0"/>
        <w:numPr>
          <w:ilvl w:val="0"/>
          <w:numId w:val="0"/>
        </w:numPr>
        <w:spacing w:line="360" w:lineRule="auto"/>
        <w:ind w:firstLine="720" w:firstLineChars="3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position w:val="-6"/>
          <w:sz w:val="24"/>
          <w:szCs w:val="24"/>
          <w:lang w:val="en-US" w:eastAsia="zh-CN"/>
        </w:rPr>
        <w:object>
          <v:shape id="_x0000_i1091" o:spt="75" type="#_x0000_t75" style="height:13.95pt;width:10pt;" o:ole="t" filled="f" o:preferrelative="t" stroked="f" coordsize="21600,21600">
            <v:path/>
            <v:fill on="f" focussize="0,0"/>
            <v:stroke on="f"/>
            <v:imagedata r:id="rId121" o:title=""/>
            <o:lock v:ext="edit" aspectratio="t"/>
            <w10:wrap type="none"/>
            <w10:anchorlock/>
          </v:shape>
          <o:OLEObject Type="Embed" ProgID="Equation.KSEE3" ShapeID="_x0000_i1091" DrawAspect="Content" ObjectID="_1468075791" r:id="rId120">
            <o:LockedField>false</o:LockedField>
          </o:OLEObject>
        </w:object>
      </w:r>
      <w:r>
        <w:rPr>
          <w:rFonts w:hint="default" w:ascii="Times New Roman" w:hAnsi="Times New Roman" w:eastAsia="宋体" w:cs="Times New Roman"/>
          <w:color w:val="auto"/>
          <w:sz w:val="24"/>
          <w:szCs w:val="24"/>
          <w:lang w:val="en-US" w:eastAsia="zh-CN"/>
        </w:rPr>
        <w:t>—倾斜方向建筑物高度（mm）；</w:t>
      </w:r>
    </w:p>
    <w:p w14:paraId="4B69EFB7">
      <w:pPr>
        <w:widowControl w:val="0"/>
        <w:numPr>
          <w:ilvl w:val="0"/>
          <w:numId w:val="0"/>
        </w:numPr>
        <w:spacing w:line="360" w:lineRule="auto"/>
        <w:ind w:firstLine="720" w:firstLineChars="3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position w:val="-12"/>
          <w:sz w:val="24"/>
          <w:szCs w:val="24"/>
          <w:lang w:val="en-US" w:eastAsia="zh-CN"/>
        </w:rPr>
        <w:object>
          <v:shape id="_x0000_i1092" o:spt="75" type="#_x0000_t75" style="height:18pt;width:15pt;" o:ole="t" filled="f" o:preferrelative="t" stroked="f" coordsize="21600,21600">
            <v:path/>
            <v:fill on="f" focussize="0,0"/>
            <v:stroke on="f"/>
            <v:imagedata r:id="rId123" o:title=""/>
            <o:lock v:ext="edit" aspectratio="t"/>
            <w10:wrap type="none"/>
            <w10:anchorlock/>
          </v:shape>
          <o:OLEObject Type="Embed" ProgID="Equation.KSEE3" ShapeID="_x0000_i1092" DrawAspect="Content" ObjectID="_1468075792" r:id="rId122">
            <o:LockedField>false</o:LockedField>
          </o:OLEObject>
        </w:object>
      </w:r>
      <w:r>
        <w:rPr>
          <w:rFonts w:hint="default" w:ascii="Times New Roman" w:hAnsi="Times New Roman" w:eastAsia="宋体" w:cs="Times New Roman"/>
          <w:color w:val="auto"/>
          <w:sz w:val="24"/>
          <w:szCs w:val="24"/>
          <w:lang w:val="en-US" w:eastAsia="zh-CN"/>
        </w:rPr>
        <w:t>—残留沉降值（mm）；</w:t>
      </w:r>
    </w:p>
    <w:p w14:paraId="436FEACE">
      <w:pPr>
        <w:widowControl w:val="0"/>
        <w:numPr>
          <w:ilvl w:val="0"/>
          <w:numId w:val="0"/>
        </w:numPr>
        <w:spacing w:line="360" w:lineRule="auto"/>
        <w:ind w:firstLine="720" w:firstLineChars="3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position w:val="-14"/>
          <w:sz w:val="24"/>
          <w:szCs w:val="24"/>
          <w:lang w:val="en-US" w:eastAsia="zh-CN"/>
        </w:rPr>
        <w:object>
          <v:shape id="_x0000_i1093" o:spt="75" type="#_x0000_t75" style="height:19pt;width:19pt;" o:ole="t" filled="f" o:preferrelative="t" stroked="f" coordsize="21600,21600">
            <v:path/>
            <v:fill on="f" focussize="0,0"/>
            <v:stroke on="f"/>
            <v:imagedata r:id="rId125" o:title=""/>
            <o:lock v:ext="edit" aspectratio="t"/>
            <w10:wrap type="none"/>
            <w10:anchorlock/>
          </v:shape>
          <o:OLEObject Type="Embed" ProgID="Equation.KSEE3" ShapeID="_x0000_i1093" DrawAspect="Content" ObjectID="_1468075793" r:id="rId124">
            <o:LockedField>false</o:LockedField>
          </o:OLEObject>
        </w:object>
      </w:r>
      <w:r>
        <w:rPr>
          <w:rFonts w:hint="default" w:ascii="Times New Roman" w:hAnsi="Times New Roman" w:eastAsia="宋体" w:cs="Times New Roman"/>
          <w:color w:val="auto"/>
          <w:sz w:val="24"/>
          <w:szCs w:val="24"/>
          <w:lang w:val="en-US" w:eastAsia="zh-CN"/>
        </w:rPr>
        <w:t>—自室外地坪起算的建筑物高度（mm）；</w:t>
      </w:r>
    </w:p>
    <w:p w14:paraId="73875B87">
      <w:pPr>
        <w:widowControl w:val="0"/>
        <w:numPr>
          <w:ilvl w:val="0"/>
          <w:numId w:val="0"/>
        </w:numPr>
        <w:spacing w:line="360" w:lineRule="auto"/>
        <w:ind w:firstLine="720" w:firstLineChars="30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drawing>
          <wp:inline distT="0" distB="0" distL="114300" distR="114300">
            <wp:extent cx="4210050" cy="2075180"/>
            <wp:effectExtent l="0" t="0" r="0" b="0"/>
            <wp:docPr id="32" name="图片 32" descr="174945122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749451229150"/>
                    <pic:cNvPicPr>
                      <a:picLocks noChangeAspect="1"/>
                    </pic:cNvPicPr>
                  </pic:nvPicPr>
                  <pic:blipFill>
                    <a:blip r:embed="rId126"/>
                    <a:srcRect b="20776"/>
                    <a:stretch>
                      <a:fillRect/>
                    </a:stretch>
                  </pic:blipFill>
                  <pic:spPr>
                    <a:xfrm>
                      <a:off x="0" y="0"/>
                      <a:ext cx="4210050" cy="2075180"/>
                    </a:xfrm>
                    <a:prstGeom prst="rect">
                      <a:avLst/>
                    </a:prstGeom>
                  </pic:spPr>
                </pic:pic>
              </a:graphicData>
            </a:graphic>
          </wp:inline>
        </w:drawing>
      </w:r>
    </w:p>
    <w:p w14:paraId="39DEF814">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建筑物纠倾前                （2）建筑物纠倾后</w:t>
      </w:r>
    </w:p>
    <w:p w14:paraId="792326A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highlight w:val="none"/>
        </w:rPr>
        <w:t>图</w:t>
      </w:r>
      <w:r>
        <w:rPr>
          <w:rFonts w:hint="default" w:ascii="Times New Roman" w:hAnsi="Times New Roman" w:eastAsia="宋体" w:cs="Times New Roman"/>
          <w:color w:val="auto"/>
          <w:sz w:val="24"/>
          <w:szCs w:val="24"/>
          <w:highlight w:val="none"/>
          <w:lang w:val="en-US" w:eastAsia="zh-CN"/>
        </w:rPr>
        <w:t>5.2.10</w: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z w:val="24"/>
          <w:szCs w:val="24"/>
          <w:highlight w:val="none"/>
          <w:lang w:val="en-US" w:eastAsia="zh-CN"/>
        </w:rPr>
        <w:t>迫降法纠倾变位示意图</w:t>
      </w:r>
    </w:p>
    <w:p w14:paraId="3480947B">
      <w:pPr>
        <w:widowControl w:val="0"/>
        <w:numPr>
          <w:ilvl w:val="0"/>
          <w:numId w:val="0"/>
        </w:numPr>
        <w:spacing w:line="360" w:lineRule="auto"/>
        <w:ind w:leftChars="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5.2.11</w:t>
      </w:r>
      <w:r>
        <w:rPr>
          <w:rFonts w:hint="default" w:ascii="Times New Roman" w:hAnsi="Times New Roman" w:eastAsia="宋体" w:cs="Times New Roman"/>
          <w:color w:val="auto"/>
          <w:sz w:val="24"/>
          <w:szCs w:val="24"/>
          <w:lang w:val="en-US" w:eastAsia="zh-CN"/>
        </w:rPr>
        <w:t xml:space="preserve"> 基础迫降量施工值可按下式计算：</w:t>
      </w:r>
    </w:p>
    <w:p w14:paraId="26CB699A">
      <w:pPr>
        <w:widowControl w:val="0"/>
        <w:numPr>
          <w:ilvl w:val="0"/>
          <w:numId w:val="0"/>
        </w:numPr>
        <w:spacing w:line="360" w:lineRule="auto"/>
        <w:ind w:leftChars="0" w:firstLine="1920" w:firstLineChars="8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position w:val="-12"/>
          <w:sz w:val="24"/>
          <w:szCs w:val="24"/>
          <w:lang w:val="en-US" w:eastAsia="zh-CN"/>
        </w:rPr>
        <w:object>
          <v:shape id="_x0000_i1094" o:spt="75" type="#_x0000_t75" style="height:18pt;width:62pt;" o:ole="t" filled="f" o:preferrelative="t" stroked="f" coordsize="21600,21600">
            <v:path/>
            <v:fill on="f" focussize="0,0"/>
            <v:stroke on="f"/>
            <v:imagedata r:id="rId128" o:title=""/>
            <o:lock v:ext="edit" aspectratio="t"/>
            <w10:wrap type="none"/>
            <w10:anchorlock/>
          </v:shape>
          <o:OLEObject Type="Embed" ProgID="Equation.KSEE3" ShapeID="_x0000_i1094" DrawAspect="Content" ObjectID="_1468075794" r:id="rId127">
            <o:LockedField>false</o:LockedField>
          </o:OLEObject>
        </w:object>
      </w:r>
      <w:r>
        <w:rPr>
          <w:rFonts w:hint="eastAsia" w:ascii="Times New Roman" w:hAnsi="Times New Roman" w:eastAsia="宋体" w:cs="Times New Roman"/>
          <w:color w:val="auto"/>
          <w:position w:val="-12"/>
          <w:sz w:val="24"/>
          <w:szCs w:val="24"/>
          <w:lang w:val="en-US" w:eastAsia="zh-CN"/>
        </w:rPr>
        <w:t xml:space="preserve">                                      </w:t>
      </w:r>
      <w:r>
        <w:rPr>
          <w:rFonts w:hint="default" w:ascii="Times New Roman" w:hAnsi="Times New Roman" w:eastAsia="宋体" w:cs="Times New Roman"/>
          <w:color w:val="auto"/>
          <w:position w:val="-14"/>
          <w:sz w:val="24"/>
          <w:szCs w:val="24"/>
          <w:lang w:val="en-US" w:eastAsia="zh-CN"/>
        </w:rPr>
        <w:t>（5.2.</w:t>
      </w:r>
      <w:r>
        <w:rPr>
          <w:rFonts w:hint="eastAsia" w:ascii="Times New Roman" w:hAnsi="Times New Roman" w:eastAsia="宋体" w:cs="Times New Roman"/>
          <w:color w:val="auto"/>
          <w:position w:val="-14"/>
          <w:sz w:val="24"/>
          <w:szCs w:val="24"/>
          <w:lang w:val="en-US" w:eastAsia="zh-CN"/>
        </w:rPr>
        <w:t>11</w:t>
      </w:r>
      <w:r>
        <w:rPr>
          <w:rFonts w:hint="default" w:ascii="Times New Roman" w:hAnsi="Times New Roman" w:eastAsia="宋体" w:cs="Times New Roman"/>
          <w:color w:val="auto"/>
          <w:position w:val="-14"/>
          <w:sz w:val="24"/>
          <w:szCs w:val="24"/>
          <w:lang w:val="en-US" w:eastAsia="zh-CN"/>
        </w:rPr>
        <w:t>）</w:t>
      </w:r>
    </w:p>
    <w:p w14:paraId="43EA035F">
      <w:pPr>
        <w:widowControl w:val="0"/>
        <w:numPr>
          <w:ilvl w:val="0"/>
          <w:numId w:val="0"/>
        </w:numPr>
        <w:spacing w:line="360" w:lineRule="auto"/>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式中  </w:t>
      </w:r>
      <w:r>
        <w:rPr>
          <w:rFonts w:hint="default" w:ascii="Times New Roman" w:hAnsi="Times New Roman" w:eastAsia="宋体" w:cs="Times New Roman"/>
          <w:color w:val="auto"/>
          <w:position w:val="-12"/>
          <w:sz w:val="24"/>
          <w:szCs w:val="24"/>
          <w:lang w:val="en-US" w:eastAsia="zh-CN"/>
        </w:rPr>
        <w:object>
          <v:shape id="_x0000_i1095" o:spt="75" type="#_x0000_t75" style="height:18pt;width:13.95pt;" o:ole="t" filled="f" o:preferrelative="t" stroked="f" coordsize="21600,21600">
            <v:path/>
            <v:fill on="f" focussize="0,0"/>
            <v:stroke on="f"/>
            <v:imagedata r:id="rId130" o:title=""/>
            <o:lock v:ext="edit" aspectratio="t"/>
            <w10:wrap type="none"/>
            <w10:anchorlock/>
          </v:shape>
          <o:OLEObject Type="Embed" ProgID="Equation.KSEE3" ShapeID="_x0000_i1095" DrawAspect="Content" ObjectID="_1468075795" r:id="rId129">
            <o:LockedField>false</o:LockedField>
          </o:OLEObject>
        </w:object>
      </w:r>
      <w:r>
        <w:rPr>
          <w:rFonts w:hint="default" w:ascii="Times New Roman" w:hAnsi="Times New Roman" w:eastAsia="宋体" w:cs="Times New Roman"/>
          <w:color w:val="auto"/>
          <w:sz w:val="24"/>
          <w:szCs w:val="24"/>
          <w:lang w:val="en-US" w:eastAsia="zh-CN"/>
        </w:rPr>
        <w:t>—基础迫降量施工值（mm）；</w:t>
      </w:r>
    </w:p>
    <w:p w14:paraId="3F91CAE5">
      <w:pPr>
        <w:widowControl w:val="0"/>
        <w:numPr>
          <w:ilvl w:val="0"/>
          <w:numId w:val="0"/>
        </w:numPr>
        <w:spacing w:line="360" w:lineRule="auto"/>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position w:val="-12"/>
          <w:sz w:val="24"/>
          <w:szCs w:val="24"/>
          <w:lang w:val="en-US" w:eastAsia="zh-CN"/>
        </w:rPr>
        <w:object>
          <v:shape id="_x0000_i1096" o:spt="75" type="#_x0000_t75" style="height:18pt;width:13.95pt;" o:ole="t" filled="f" o:preferrelative="t" stroked="f" coordsize="21600,21600">
            <v:path/>
            <v:fill on="f" focussize="0,0"/>
            <v:stroke on="f"/>
            <v:imagedata r:id="rId132" o:title=""/>
            <o:lock v:ext="edit" aspectratio="t"/>
            <w10:wrap type="none"/>
            <w10:anchorlock/>
          </v:shape>
          <o:OLEObject Type="Embed" ProgID="Equation.KSEE3" ShapeID="_x0000_i1096" DrawAspect="Content" ObjectID="_1468075796" r:id="rId131">
            <o:LockedField>false</o:LockedField>
          </o:OLEObject>
        </w:object>
      </w:r>
      <w:r>
        <w:rPr>
          <w:rFonts w:hint="default" w:ascii="Times New Roman" w:hAnsi="Times New Roman" w:eastAsia="宋体" w:cs="Times New Roman"/>
          <w:color w:val="auto"/>
          <w:sz w:val="24"/>
          <w:szCs w:val="24"/>
          <w:lang w:val="en-US" w:eastAsia="zh-CN"/>
        </w:rPr>
        <w:t>—基础迫降量目标值（mm）；</w:t>
      </w:r>
    </w:p>
    <w:p w14:paraId="43AF763C">
      <w:pPr>
        <w:widowControl w:val="0"/>
        <w:numPr>
          <w:ilvl w:val="0"/>
          <w:numId w:val="0"/>
        </w:numPr>
        <w:spacing w:line="360" w:lineRule="auto"/>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position w:val="-12"/>
          <w:sz w:val="24"/>
          <w:szCs w:val="24"/>
          <w:lang w:val="en-US" w:eastAsia="zh-CN"/>
        </w:rPr>
        <w:object>
          <v:shape id="_x0000_i1097" o:spt="75" type="#_x0000_t75" style="height:18pt;width:13.95pt;" o:ole="t" filled="f" o:preferrelative="t" stroked="f" coordsize="21600,21600">
            <v:path/>
            <v:fill on="f" focussize="0,0"/>
            <v:stroke on="f"/>
            <v:imagedata r:id="rId134" o:title=""/>
            <o:lock v:ext="edit" aspectratio="t"/>
            <w10:wrap type="none"/>
            <w10:anchorlock/>
          </v:shape>
          <o:OLEObject Type="Embed" ProgID="Equation.KSEE3" ShapeID="_x0000_i1097" DrawAspect="Content" ObjectID="_1468075797" r:id="rId133">
            <o:LockedField>false</o:LockedField>
          </o:OLEObject>
        </w:object>
      </w:r>
      <w:r>
        <w:rPr>
          <w:rFonts w:hint="default" w:ascii="Times New Roman" w:hAnsi="Times New Roman" w:eastAsia="宋体" w:cs="Times New Roman"/>
          <w:color w:val="auto"/>
          <w:sz w:val="24"/>
          <w:szCs w:val="24"/>
          <w:lang w:val="en-US" w:eastAsia="zh-CN"/>
        </w:rPr>
        <w:t>—预留滞后沉降值（mm）。宜根据基础类型、地基土工程性质等对后期回倾沉降进行预估并结合当地经验综合确定。无经验时，可取</w:t>
      </w:r>
      <w:r>
        <w:rPr>
          <w:rFonts w:hint="default" w:ascii="Times New Roman" w:hAnsi="Times New Roman" w:eastAsia="宋体" w:cs="Times New Roman"/>
          <w:color w:val="auto"/>
          <w:position w:val="-12"/>
          <w:sz w:val="24"/>
          <w:szCs w:val="24"/>
          <w:lang w:val="en-US" w:eastAsia="zh-CN"/>
        </w:rPr>
        <w:object>
          <v:shape id="_x0000_i1098" o:spt="75" type="#_x0000_t75" style="height:18pt;width:82pt;" o:ole="t" filled="f" o:preferrelative="t" stroked="f" coordsize="21600,21600">
            <v:path/>
            <v:fill on="f" focussize="0,0"/>
            <v:stroke on="f"/>
            <v:imagedata r:id="rId136" o:title=""/>
            <o:lock v:ext="edit" aspectratio="t"/>
            <w10:wrap type="none"/>
            <w10:anchorlock/>
          </v:shape>
          <o:OLEObject Type="Embed" ProgID="Equation.KSEE3" ShapeID="_x0000_i1098" DrawAspect="Content" ObjectID="_1468075798" r:id="rId135">
            <o:LockedField>false</o:LockedField>
          </o:OLEObject>
        </w:object>
      </w:r>
      <w:r>
        <w:rPr>
          <w:rFonts w:hint="default" w:ascii="Times New Roman" w:hAnsi="Times New Roman" w:eastAsia="宋体" w:cs="Times New Roman"/>
          <w:color w:val="auto"/>
          <w:sz w:val="24"/>
          <w:szCs w:val="24"/>
          <w:lang w:val="en-US" w:eastAsia="zh-CN"/>
        </w:rPr>
        <w:t>。</w:t>
      </w:r>
    </w:p>
    <w:p w14:paraId="353F22D7">
      <w:pPr>
        <w:spacing w:line="276" w:lineRule="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5.2.12</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b w:val="0"/>
          <w:bCs w:val="0"/>
          <w:color w:val="auto"/>
          <w:sz w:val="24"/>
          <w:szCs w:val="24"/>
          <w:lang w:val="en-US" w:eastAsia="zh-CN"/>
        </w:rPr>
        <w:t>浸水纠倾法</w:t>
      </w:r>
      <w:r>
        <w:rPr>
          <w:rFonts w:hint="default" w:ascii="Times New Roman" w:hAnsi="Times New Roman" w:eastAsia="宋体" w:cs="Times New Roman"/>
          <w:color w:val="auto"/>
          <w:sz w:val="24"/>
          <w:szCs w:val="24"/>
          <w:lang w:val="en-US" w:eastAsia="zh-CN"/>
        </w:rPr>
        <w:t>适用于湿陷性黄土地基上整体刚度较大的建筑物的纠倾。当地基土湿陷性较弱，湿陷性土层较薄时，不宜采用浸水纠倾法。</w:t>
      </w:r>
    </w:p>
    <w:p w14:paraId="2458C928">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湿陷性黄土浸水湿陷，是湿陷性黄土地区区别于其他地区的一个特点。浸水湿陷作为一种有害的特性，可以变有害为有利。我们对建筑物地基相对下沉较小的部位进行浸水，强迫其下沉，使建筑物的倾斜得到纠正。</w:t>
      </w:r>
    </w:p>
    <w:p w14:paraId="25C4D9CF">
      <w:pPr>
        <w:widowControl w:val="0"/>
        <w:numPr>
          <w:ilvl w:val="0"/>
          <w:numId w:val="0"/>
        </w:numPr>
        <w:spacing w:line="360" w:lineRule="auto"/>
        <w:ind w:leftChars="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5.2.13</w:t>
      </w:r>
      <w:r>
        <w:rPr>
          <w:rFonts w:hint="default" w:ascii="Times New Roman" w:hAnsi="Times New Roman" w:eastAsia="宋体" w:cs="Times New Roman"/>
          <w:color w:val="auto"/>
          <w:sz w:val="24"/>
          <w:szCs w:val="24"/>
          <w:lang w:val="en-US" w:eastAsia="zh-CN"/>
        </w:rPr>
        <w:t xml:space="preserve"> 浸水纠倾基础沉降量目标值计算应符合本规程</w:t>
      </w:r>
      <w:r>
        <w:rPr>
          <w:rFonts w:hint="default" w:ascii="Times New Roman" w:hAnsi="Times New Roman" w:eastAsia="宋体" w:cs="Times New Roman"/>
          <w:b w:val="0"/>
          <w:bCs w:val="0"/>
          <w:color w:val="auto"/>
          <w:sz w:val="24"/>
          <w:szCs w:val="24"/>
          <w:lang w:val="en-US" w:eastAsia="zh-CN"/>
        </w:rPr>
        <w:t>第5.2.10条的规定</w:t>
      </w:r>
      <w:r>
        <w:rPr>
          <w:rFonts w:hint="default" w:ascii="Times New Roman" w:hAnsi="Times New Roman" w:eastAsia="宋体" w:cs="Times New Roman"/>
          <w:color w:val="auto"/>
          <w:sz w:val="24"/>
          <w:szCs w:val="24"/>
          <w:lang w:val="en-US" w:eastAsia="zh-CN"/>
        </w:rPr>
        <w:t>，基础沉降量施工值应符合</w:t>
      </w:r>
      <w:r>
        <w:rPr>
          <w:rFonts w:hint="default" w:ascii="Times New Roman" w:hAnsi="Times New Roman" w:eastAsia="宋体" w:cs="Times New Roman"/>
          <w:b w:val="0"/>
          <w:bCs w:val="0"/>
          <w:color w:val="auto"/>
          <w:sz w:val="24"/>
          <w:szCs w:val="24"/>
          <w:lang w:val="en-US" w:eastAsia="zh-CN"/>
        </w:rPr>
        <w:t>第5.2.11条的规定</w:t>
      </w:r>
      <w:r>
        <w:rPr>
          <w:rFonts w:hint="default" w:ascii="Times New Roman" w:hAnsi="Times New Roman" w:eastAsia="宋体" w:cs="Times New Roman"/>
          <w:color w:val="auto"/>
          <w:sz w:val="24"/>
          <w:szCs w:val="24"/>
          <w:lang w:val="en-US" w:eastAsia="zh-CN"/>
        </w:rPr>
        <w:t>。初步设计时，注水孔、注水量、回倾速率等施工参数宜符合《既有建筑地基基础加固技术规程》JGJ 123和《黄土地基病害勘察与治理技术规程》DBJ61/T 131的有关规定。</w:t>
      </w:r>
    </w:p>
    <w:p w14:paraId="43972141">
      <w:pPr>
        <w:widowControl w:val="0"/>
        <w:numPr>
          <w:ilvl w:val="0"/>
          <w:numId w:val="0"/>
        </w:numPr>
        <w:spacing w:line="360" w:lineRule="auto"/>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5.2.14</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b w:val="0"/>
          <w:bCs w:val="0"/>
          <w:color w:val="auto"/>
          <w:sz w:val="24"/>
          <w:szCs w:val="24"/>
          <w:lang w:val="en-US" w:eastAsia="zh-CN"/>
        </w:rPr>
        <w:t>堆载纠倾法</w:t>
      </w:r>
      <w:r>
        <w:rPr>
          <w:rFonts w:hint="default" w:ascii="Times New Roman" w:hAnsi="Times New Roman" w:eastAsia="宋体" w:cs="Times New Roman"/>
          <w:color w:val="auto"/>
          <w:sz w:val="24"/>
          <w:szCs w:val="24"/>
          <w:lang w:val="en-US" w:eastAsia="zh-CN"/>
        </w:rPr>
        <w:t>适用于整体刚度大、不均匀沉降量小的浅埋基础建筑物的纠倾。设计时，纠倾力矩应大于倾斜力矩，倾斜力矩可按下式进行估算：</w:t>
      </w:r>
    </w:p>
    <w:p w14:paraId="175359A6">
      <w:pPr>
        <w:widowControl w:val="0"/>
        <w:numPr>
          <w:ilvl w:val="0"/>
          <w:numId w:val="0"/>
        </w:numPr>
        <w:spacing w:line="360" w:lineRule="auto"/>
        <w:ind w:firstLine="2640" w:firstLineChars="11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position w:val="-24"/>
          <w:sz w:val="24"/>
          <w:szCs w:val="24"/>
          <w:lang w:val="en-US" w:eastAsia="zh-CN"/>
        </w:rPr>
        <w:object>
          <v:shape id="_x0000_i1099" o:spt="75" type="#_x0000_t75" style="height:31pt;width:65pt;" o:ole="t" filled="f" o:preferrelative="t" stroked="f" coordsize="21600,21600">
            <v:path/>
            <v:fill on="f" focussize="0,0"/>
            <v:stroke on="f"/>
            <v:imagedata r:id="rId138" o:title=""/>
            <o:lock v:ext="edit" aspectratio="t"/>
            <w10:wrap type="none"/>
            <w10:anchorlock/>
          </v:shape>
          <o:OLEObject Type="Embed" ProgID="Equation.KSEE3" ShapeID="_x0000_i1099" DrawAspect="Content" ObjectID="_1468075799" r:id="rId137">
            <o:LockedField>false</o:LockedField>
          </o:OLEObject>
        </w:object>
      </w:r>
      <w:r>
        <w:rPr>
          <w:rFonts w:hint="eastAsia" w:ascii="Times New Roman" w:hAnsi="Times New Roman" w:eastAsia="宋体" w:cs="Times New Roman"/>
          <w:color w:val="auto"/>
          <w:position w:val="-24"/>
          <w:sz w:val="24"/>
          <w:szCs w:val="24"/>
          <w:lang w:val="en-US" w:eastAsia="zh-CN"/>
        </w:rPr>
        <w:t xml:space="preserve">                                </w:t>
      </w:r>
      <w:r>
        <w:rPr>
          <w:rFonts w:hint="default" w:ascii="Times New Roman" w:hAnsi="Times New Roman" w:eastAsia="宋体" w:cs="Times New Roman"/>
          <w:color w:val="auto"/>
          <w:position w:val="-14"/>
          <w:sz w:val="24"/>
          <w:szCs w:val="24"/>
          <w:lang w:val="en-US" w:eastAsia="zh-CN"/>
        </w:rPr>
        <w:t>（5.2.</w:t>
      </w:r>
      <w:r>
        <w:rPr>
          <w:rFonts w:hint="eastAsia" w:ascii="Times New Roman" w:hAnsi="Times New Roman" w:eastAsia="宋体" w:cs="Times New Roman"/>
          <w:color w:val="auto"/>
          <w:position w:val="-14"/>
          <w:sz w:val="24"/>
          <w:szCs w:val="24"/>
          <w:lang w:val="en-US" w:eastAsia="zh-CN"/>
        </w:rPr>
        <w:t>14</w:t>
      </w:r>
      <w:r>
        <w:rPr>
          <w:rFonts w:hint="default" w:ascii="Times New Roman" w:hAnsi="Times New Roman" w:eastAsia="宋体" w:cs="Times New Roman"/>
          <w:color w:val="auto"/>
          <w:position w:val="-14"/>
          <w:sz w:val="24"/>
          <w:szCs w:val="24"/>
          <w:lang w:val="en-US" w:eastAsia="zh-CN"/>
        </w:rPr>
        <w:t>）</w:t>
      </w:r>
    </w:p>
    <w:p w14:paraId="067C1A19">
      <w:pPr>
        <w:widowControl w:val="0"/>
        <w:numPr>
          <w:ilvl w:val="0"/>
          <w:numId w:val="0"/>
        </w:numPr>
        <w:spacing w:line="360" w:lineRule="auto"/>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式中  </w:t>
      </w:r>
      <w:r>
        <w:rPr>
          <w:rFonts w:hint="default" w:ascii="Times New Roman" w:hAnsi="Times New Roman" w:eastAsia="宋体" w:cs="Times New Roman"/>
          <w:color w:val="auto"/>
          <w:position w:val="-4"/>
          <w:sz w:val="24"/>
          <w:szCs w:val="24"/>
          <w:lang w:val="en-US" w:eastAsia="zh-CN"/>
        </w:rPr>
        <w:object>
          <v:shape id="_x0000_i1100" o:spt="75" type="#_x0000_t75" style="height:13pt;width:16pt;" o:ole="t" filled="f" o:preferrelative="t" stroked="f" coordsize="21600,21600">
            <v:path/>
            <v:fill on="f" focussize="0,0"/>
            <v:stroke on="f"/>
            <v:imagedata r:id="rId140" o:title=""/>
            <o:lock v:ext="edit" aspectratio="t"/>
            <w10:wrap type="none"/>
            <w10:anchorlock/>
          </v:shape>
          <o:OLEObject Type="Embed" ProgID="Equation.KSEE3" ShapeID="_x0000_i1100" DrawAspect="Content" ObjectID="_1468075800" r:id="rId139">
            <o:LockedField>false</o:LockedField>
          </o:OLEObject>
        </w:object>
      </w:r>
      <w:r>
        <w:rPr>
          <w:rFonts w:hint="default" w:ascii="Times New Roman" w:hAnsi="Times New Roman" w:eastAsia="宋体" w:cs="Times New Roman"/>
          <w:color w:val="auto"/>
          <w:sz w:val="24"/>
          <w:szCs w:val="24"/>
          <w:lang w:val="en-US" w:eastAsia="zh-CN"/>
        </w:rPr>
        <w:t>—倾斜力矩（kN.m）；</w:t>
      </w:r>
    </w:p>
    <w:p w14:paraId="0578ED00">
      <w:pPr>
        <w:widowControl w:val="0"/>
        <w:numPr>
          <w:ilvl w:val="0"/>
          <w:numId w:val="0"/>
        </w:numPr>
        <w:spacing w:line="360" w:lineRule="auto"/>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position w:val="-6"/>
          <w:sz w:val="24"/>
          <w:szCs w:val="24"/>
          <w:lang w:val="en-US" w:eastAsia="zh-CN"/>
        </w:rPr>
        <w:object>
          <v:shape id="_x0000_i1101" o:spt="75" type="#_x0000_t75" style="height:13.95pt;width:11pt;" o:ole="t" filled="f" o:preferrelative="t" stroked="f" coordsize="21600,21600">
            <v:path/>
            <v:fill on="f" focussize="0,0"/>
            <v:stroke on="f"/>
            <v:imagedata r:id="rId142" o:title=""/>
            <o:lock v:ext="edit" aspectratio="t"/>
            <w10:wrap type="none"/>
            <w10:anchorlock/>
          </v:shape>
          <o:OLEObject Type="Embed" ProgID="Equation.KSEE3" ShapeID="_x0000_i1101" DrawAspect="Content" ObjectID="_1468075801" r:id="rId141">
            <o:LockedField>false</o:LockedField>
          </o:OLEObject>
        </w:object>
      </w:r>
      <w:r>
        <w:rPr>
          <w:rFonts w:hint="default" w:ascii="Times New Roman" w:hAnsi="Times New Roman" w:eastAsia="宋体" w:cs="Times New Roman"/>
          <w:color w:val="auto"/>
          <w:sz w:val="24"/>
          <w:szCs w:val="24"/>
          <w:lang w:val="en-US" w:eastAsia="zh-CN"/>
        </w:rPr>
        <w:t>—基础沉降最大一侧边缘的平均沉降量（m）；</w:t>
      </w:r>
    </w:p>
    <w:p w14:paraId="263F24C6">
      <w:pPr>
        <w:widowControl w:val="0"/>
        <w:numPr>
          <w:ilvl w:val="0"/>
          <w:numId w:val="0"/>
        </w:numPr>
        <w:spacing w:line="360" w:lineRule="auto"/>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position w:val="-4"/>
          <w:sz w:val="24"/>
          <w:szCs w:val="24"/>
          <w:lang w:val="en-US" w:eastAsia="zh-CN"/>
        </w:rPr>
        <w:object>
          <v:shape id="_x0000_i1102" o:spt="75" type="#_x0000_t75" style="height:13pt;width:13pt;" o:ole="t" filled="f" o:preferrelative="t" stroked="f" coordsize="21600,21600">
            <v:path/>
            <v:fill on="f" focussize="0,0"/>
            <v:stroke on="f"/>
            <v:imagedata r:id="rId144" o:title=""/>
            <o:lock v:ext="edit" aspectratio="t"/>
            <w10:wrap type="none"/>
            <w10:anchorlock/>
          </v:shape>
          <o:OLEObject Type="Embed" ProgID="Equation.KSEE3" ShapeID="_x0000_i1102" DrawAspect="Content" ObjectID="_1468075802" r:id="rId143">
            <o:LockedField>false</o:LockedField>
          </o:OLEObject>
        </w:object>
      </w:r>
      <w:r>
        <w:rPr>
          <w:rFonts w:hint="default" w:ascii="Times New Roman" w:hAnsi="Times New Roman" w:eastAsia="宋体" w:cs="Times New Roman"/>
          <w:color w:val="auto"/>
          <w:sz w:val="24"/>
          <w:szCs w:val="24"/>
          <w:lang w:val="en-US" w:eastAsia="zh-CN"/>
        </w:rPr>
        <w:t>—地基土基床系数（kN/m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），宜根据当地试验或实际沉降资料反算求得；</w:t>
      </w:r>
    </w:p>
    <w:p w14:paraId="6F75F81D">
      <w:pPr>
        <w:widowControl w:val="0"/>
        <w:numPr>
          <w:ilvl w:val="0"/>
          <w:numId w:val="0"/>
        </w:numPr>
        <w:spacing w:line="360" w:lineRule="auto"/>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position w:val="-4"/>
          <w:sz w:val="24"/>
          <w:szCs w:val="24"/>
          <w:lang w:val="en-US" w:eastAsia="zh-CN"/>
        </w:rPr>
        <w:object>
          <v:shape id="_x0000_i1103" o:spt="75" type="#_x0000_t75" style="height:13pt;width:13pt;" o:ole="t" filled="f" o:preferrelative="t" stroked="f" coordsize="21600,21600">
            <v:path/>
            <v:fill on="f" focussize="0,0"/>
            <v:stroke on="f"/>
            <v:imagedata r:id="rId146" o:title=""/>
            <o:lock v:ext="edit" aspectratio="t"/>
            <w10:wrap type="none"/>
            <w10:anchorlock/>
          </v:shape>
          <o:OLEObject Type="Embed" ProgID="Equation.KSEE3" ShapeID="_x0000_i1103" DrawAspect="Content" ObjectID="_1468075803" r:id="rId145">
            <o:LockedField>false</o:LockedField>
          </o:OLEObject>
        </w:object>
      </w:r>
      <w:r>
        <w:rPr>
          <w:rFonts w:hint="default" w:ascii="Times New Roman" w:hAnsi="Times New Roman" w:eastAsia="宋体" w:cs="Times New Roman"/>
          <w:color w:val="auto"/>
          <w:sz w:val="24"/>
          <w:szCs w:val="24"/>
          <w:lang w:val="en-US" w:eastAsia="zh-CN"/>
        </w:rPr>
        <w:t>—基础底面积（m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w:t>
      </w:r>
    </w:p>
    <w:p w14:paraId="65EC0E5A">
      <w:pPr>
        <w:widowControl w:val="0"/>
        <w:numPr>
          <w:ilvl w:val="0"/>
          <w:numId w:val="0"/>
        </w:numPr>
        <w:spacing w:line="360" w:lineRule="auto"/>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position w:val="-6"/>
          <w:sz w:val="24"/>
          <w:szCs w:val="24"/>
          <w:lang w:val="en-US" w:eastAsia="zh-CN"/>
        </w:rPr>
        <w:object>
          <v:shape id="_x0000_i1104" o:spt="75" type="#_x0000_t75" style="height:13.95pt;width:10pt;" o:ole="t" filled="f" o:preferrelative="t" stroked="f" coordsize="21600,21600">
            <v:path/>
            <v:fill on="f" focussize="0,0"/>
            <v:stroke on="f"/>
            <v:imagedata r:id="rId148" o:title=""/>
            <o:lock v:ext="edit" aspectratio="t"/>
            <w10:wrap type="none"/>
            <w10:anchorlock/>
          </v:shape>
          <o:OLEObject Type="Embed" ProgID="Equation.KSEE3" ShapeID="_x0000_i1104" DrawAspect="Content" ObjectID="_1468075804" r:id="rId147">
            <o:LockedField>false</o:LockedField>
          </o:OLEObject>
        </w:object>
      </w:r>
      <w:r>
        <w:rPr>
          <w:rFonts w:hint="default" w:ascii="Times New Roman" w:hAnsi="Times New Roman" w:eastAsia="宋体" w:cs="Times New Roman"/>
          <w:color w:val="auto"/>
          <w:sz w:val="24"/>
          <w:szCs w:val="24"/>
          <w:lang w:val="en-US" w:eastAsia="zh-CN"/>
        </w:rPr>
        <w:t>—基础倾斜方向的基础底面宽度（m）。</w:t>
      </w:r>
    </w:p>
    <w:p w14:paraId="5A57AA97">
      <w:pPr>
        <w:widowControl w:val="0"/>
        <w:numPr>
          <w:ilvl w:val="0"/>
          <w:numId w:val="0"/>
        </w:numPr>
        <w:spacing w:line="360" w:lineRule="auto"/>
        <w:ind w:leftChars="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5.2.15</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b w:val="0"/>
          <w:bCs w:val="0"/>
          <w:color w:val="auto"/>
          <w:sz w:val="24"/>
          <w:szCs w:val="24"/>
          <w:lang w:val="en-US" w:eastAsia="zh-CN"/>
        </w:rPr>
        <w:t>顶升纠倾法</w:t>
      </w:r>
      <w:r>
        <w:rPr>
          <w:rFonts w:hint="default" w:ascii="Times New Roman" w:hAnsi="Times New Roman" w:eastAsia="宋体" w:cs="Times New Roman"/>
          <w:color w:val="auto"/>
          <w:sz w:val="24"/>
          <w:szCs w:val="24"/>
          <w:lang w:val="en-US" w:eastAsia="zh-CN"/>
        </w:rPr>
        <w:t>适用于建筑物重量不大、整体沉降及不均匀沉降较大以及倾斜建筑物基础采用桩基础等不适宜采用迫降法纠倾的建筑物纠倾。</w:t>
      </w:r>
    </w:p>
    <w:p w14:paraId="2E785E01">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顶升纠倾世通过钢筋混凝土或砌体的结构托换加固技术，将建筑物的基础和上部结构沿某一特定的位置进行分离，采用钢筋混凝土进行加固、分段托换、形成全封闭的顶升托换梁（柱）体系。设置能支承整个建筑物的若干个支承点，通过这些支承点的顶升设备的启动，使建筑物沿某一直线（点）做平面转动，即可使倾斜建筑物得到纠正。若大幅度调整各支承点的顶高量，即可提高建筑物的标高。顶升纠倾过程是一种基础沉降差异快速逆补偿过程，当地基土的固结度达80%以上，基础沉降接近稳定时，可通过顶升纠倾来调整剩余不均匀沉降。</w:t>
      </w:r>
    </w:p>
    <w:p w14:paraId="1CBE239B">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顶升纠倾法仅对沉降较大处顶升，而沉降较小处则仅作分离及同步转动，其目的是将已倾斜的建筑物纠正，该法适用于各类纠倾建筑物。</w:t>
      </w:r>
    </w:p>
    <w:p w14:paraId="2C832E56">
      <w:pPr>
        <w:widowControl w:val="0"/>
        <w:numPr>
          <w:ilvl w:val="0"/>
          <w:numId w:val="0"/>
        </w:numPr>
        <w:spacing w:line="360" w:lineRule="auto"/>
        <w:ind w:leftChars="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b/>
          <w:bCs/>
          <w:color w:val="auto"/>
          <w:sz w:val="24"/>
          <w:szCs w:val="24"/>
          <w:lang w:val="en-US" w:eastAsia="zh-CN"/>
        </w:rPr>
        <w:t>5.2.16</w:t>
      </w:r>
      <w:r>
        <w:rPr>
          <w:rFonts w:hint="default" w:ascii="Times New Roman" w:hAnsi="Times New Roman" w:eastAsia="宋体" w:cs="Times New Roman"/>
          <w:color w:val="auto"/>
          <w:sz w:val="24"/>
          <w:szCs w:val="24"/>
          <w:lang w:val="en-US" w:eastAsia="zh-CN"/>
        </w:rPr>
        <w:t xml:space="preserve"> 顶升纠倾的基础顶升量目标值计算可按符合本规程</w:t>
      </w:r>
      <w:r>
        <w:rPr>
          <w:rFonts w:hint="default" w:ascii="Times New Roman" w:hAnsi="Times New Roman" w:eastAsia="宋体" w:cs="Times New Roman"/>
          <w:b w:val="0"/>
          <w:bCs w:val="0"/>
          <w:color w:val="auto"/>
          <w:sz w:val="24"/>
          <w:szCs w:val="24"/>
          <w:lang w:val="en-US" w:eastAsia="zh-CN"/>
        </w:rPr>
        <w:t>第5.2.10条</w:t>
      </w:r>
      <w:r>
        <w:rPr>
          <w:rFonts w:hint="default" w:ascii="Times New Roman" w:hAnsi="Times New Roman" w:eastAsia="宋体" w:cs="Times New Roman"/>
          <w:color w:val="auto"/>
          <w:sz w:val="24"/>
          <w:szCs w:val="24"/>
          <w:lang w:val="en-US" w:eastAsia="zh-CN"/>
        </w:rPr>
        <w:t>的规定，基础顶升量施工值可按</w:t>
      </w:r>
      <w:r>
        <w:rPr>
          <w:rFonts w:hint="default" w:ascii="Times New Roman" w:hAnsi="Times New Roman" w:eastAsia="宋体" w:cs="Times New Roman"/>
          <w:b w:val="0"/>
          <w:bCs w:val="0"/>
          <w:color w:val="auto"/>
          <w:sz w:val="24"/>
          <w:szCs w:val="24"/>
          <w:lang w:val="en-US" w:eastAsia="zh-CN"/>
        </w:rPr>
        <w:t>第5.2.11条</w:t>
      </w:r>
      <w:r>
        <w:rPr>
          <w:rFonts w:hint="default" w:ascii="Times New Roman" w:hAnsi="Times New Roman" w:eastAsia="宋体" w:cs="Times New Roman"/>
          <w:color w:val="auto"/>
          <w:sz w:val="24"/>
          <w:szCs w:val="24"/>
          <w:lang w:val="en-US" w:eastAsia="zh-CN"/>
        </w:rPr>
        <w:t>的规定。设计时，顶升点的布置、数量、顶升量等施工参数宜符合《既有建筑地基基础加固技术规程》JGJ 123和《黄土地基病害勘察与治理技术规程》DBJ61/T 131的有关规定。</w:t>
      </w:r>
    </w:p>
    <w:p w14:paraId="39CE0E28">
      <w:pPr>
        <w:widowControl w:val="0"/>
        <w:numPr>
          <w:ilvl w:val="0"/>
          <w:numId w:val="0"/>
        </w:numPr>
        <w:spacing w:line="360" w:lineRule="auto"/>
        <w:ind w:leftChars="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5.2.17</w:t>
      </w:r>
      <w:r>
        <w:rPr>
          <w:rFonts w:hint="default" w:ascii="Times New Roman" w:hAnsi="Times New Roman" w:eastAsia="宋体" w:cs="Times New Roman"/>
          <w:color w:val="auto"/>
          <w:sz w:val="24"/>
          <w:szCs w:val="24"/>
          <w:lang w:val="en-US" w:eastAsia="zh-CN"/>
        </w:rPr>
        <w:t xml:space="preserve"> 当建筑物外地表水或地下管网、明排沟渠等渗漏引起建筑物地基病害时，可采用</w:t>
      </w:r>
      <w:r>
        <w:rPr>
          <w:rFonts w:hint="default" w:ascii="Times New Roman" w:hAnsi="Times New Roman" w:eastAsia="宋体" w:cs="Times New Roman"/>
          <w:b w:val="0"/>
          <w:bCs w:val="0"/>
          <w:color w:val="auto"/>
          <w:sz w:val="24"/>
          <w:szCs w:val="24"/>
          <w:lang w:val="en-US" w:eastAsia="zh-CN"/>
        </w:rPr>
        <w:t>防水墙法</w:t>
      </w:r>
      <w:r>
        <w:rPr>
          <w:rFonts w:hint="default" w:ascii="Times New Roman" w:hAnsi="Times New Roman" w:eastAsia="宋体" w:cs="Times New Roman"/>
          <w:color w:val="auto"/>
          <w:sz w:val="24"/>
          <w:szCs w:val="24"/>
          <w:lang w:val="en-US" w:eastAsia="zh-CN"/>
        </w:rPr>
        <w:t>与其他地基加固方法联合使用。防水墙的设计应满足防渗要求，当采用混凝土连续墙时，混凝土的抗渗等级不低于P8。</w:t>
      </w:r>
    </w:p>
    <w:p w14:paraId="34A1AE75">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条文说明：防水墙以隔水为主要目的，防止建筑物以外的水渗入建筑物地基内，导致建筑物地基不均匀沉降，防水墙只能隔断水的渗入，减轻因水引起的建筑物地基病害，不能对地基病害进行根治，因此该方法常与其他治理方法联合使用，与隔水帷幕的作用基本一致。</w:t>
      </w:r>
    </w:p>
    <w:p w14:paraId="29EB8876">
      <w:pPr>
        <w:widowControl w:val="0"/>
        <w:numPr>
          <w:ilvl w:val="0"/>
          <w:numId w:val="0"/>
        </w:numPr>
        <w:spacing w:line="360" w:lineRule="auto"/>
        <w:ind w:leftChars="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5.2.18</w:t>
      </w:r>
      <w:r>
        <w:rPr>
          <w:rFonts w:hint="default" w:ascii="Times New Roman" w:hAnsi="Times New Roman" w:eastAsia="宋体" w:cs="Times New Roman"/>
          <w:color w:val="auto"/>
          <w:sz w:val="24"/>
          <w:szCs w:val="24"/>
          <w:lang w:val="en-US" w:eastAsia="zh-CN"/>
        </w:rPr>
        <w:t xml:space="preserve"> 地下室抗浮加固时的稳定验算应分别采用施工期、使用期抗浮设防水位，并宜进行专项抗浮设防水位的论证，抗浮安全系数宜分别取1.05和1.1。</w:t>
      </w:r>
    </w:p>
    <w:p w14:paraId="3DC2479E">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条文说明：参照现行行业标准《建筑工程抗浮技术标准》JGJ 476，关于设防水位的确定，应区分施工期和使用期抗浮水位的不同，另外关于建筑抗浮工程设计等级划分，进行抗浮治理的既有工程按甲级考虑，抗浮稳定安全系数按施工期取1.05，使用期取1.1。</w:t>
      </w:r>
    </w:p>
    <w:p w14:paraId="4F642241">
      <w:pP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br w:type="page"/>
      </w:r>
    </w:p>
    <w:p w14:paraId="1382E231">
      <w:pPr>
        <w:pStyle w:val="2"/>
        <w:bidi w:val="0"/>
        <w:rPr>
          <w:rFonts w:hint="default"/>
          <w:lang w:eastAsia="zh-CN"/>
        </w:rPr>
      </w:pPr>
      <w:bookmarkStart w:id="35" w:name="_Toc7065"/>
      <w:bookmarkStart w:id="36" w:name="_Toc12940"/>
      <w:bookmarkStart w:id="37" w:name="_Toc22912"/>
      <w:r>
        <w:rPr>
          <w:rFonts w:hint="default"/>
          <w:lang w:val="en-US" w:eastAsia="zh-CN"/>
        </w:rPr>
        <w:t xml:space="preserve">6  </w:t>
      </w:r>
      <w:r>
        <w:rPr>
          <w:rFonts w:hint="default"/>
        </w:rPr>
        <w:t>多层砌体、内框架和底层框架</w:t>
      </w:r>
      <w:bookmarkEnd w:id="35"/>
      <w:bookmarkEnd w:id="36"/>
      <w:r>
        <w:rPr>
          <w:rFonts w:hint="default"/>
          <w:lang w:val="en-US" w:eastAsia="zh-CN"/>
        </w:rPr>
        <w:t>结构</w:t>
      </w:r>
      <w:bookmarkEnd w:id="37"/>
    </w:p>
    <w:p w14:paraId="2EB65827">
      <w:pPr>
        <w:pStyle w:val="3"/>
        <w:bidi w:val="0"/>
        <w:rPr>
          <w:rFonts w:hint="default"/>
        </w:rPr>
      </w:pPr>
      <w:bookmarkStart w:id="38" w:name="_Toc16459"/>
      <w:bookmarkStart w:id="39" w:name="_Toc7300"/>
      <w:bookmarkStart w:id="40" w:name="_Toc27560"/>
      <w:r>
        <w:rPr>
          <w:rFonts w:hint="default"/>
          <w:lang w:val="en-US" w:eastAsia="zh-CN"/>
        </w:rPr>
        <w:t>6</w:t>
      </w:r>
      <w:r>
        <w:rPr>
          <w:rFonts w:hint="default"/>
        </w:rPr>
        <w:t>.1 一般规定</w:t>
      </w:r>
      <w:bookmarkEnd w:id="38"/>
      <w:bookmarkEnd w:id="39"/>
      <w:bookmarkEnd w:id="40"/>
    </w:p>
    <w:p w14:paraId="1487C222">
      <w:pPr>
        <w:spacing w:before="120" w:after="12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rPr>
        <w:t>Ⅰ</w:t>
      </w:r>
      <w:r>
        <w:rPr>
          <w:rFonts w:hint="default" w:ascii="Times New Roman" w:hAnsi="Times New Roman" w:eastAsia="宋体" w:cs="Times New Roman"/>
          <w:color w:val="auto"/>
          <w:sz w:val="24"/>
          <w:szCs w:val="24"/>
          <w:highlight w:val="none"/>
          <w:lang w:eastAsia="zh-CN"/>
        </w:rPr>
        <w:t xml:space="preserve"> </w:t>
      </w:r>
      <w:r>
        <w:rPr>
          <w:rFonts w:hint="default" w:ascii="Times New Roman" w:hAnsi="Times New Roman" w:eastAsia="宋体" w:cs="Times New Roman"/>
          <w:color w:val="auto"/>
          <w:sz w:val="24"/>
          <w:szCs w:val="24"/>
          <w:highlight w:val="none"/>
        </w:rPr>
        <w:t>抗震鉴定</w:t>
      </w:r>
    </w:p>
    <w:p w14:paraId="1AF66231">
      <w:pPr>
        <w:spacing w:line="36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rPr>
        <w:t>.1.1</w:t>
      </w:r>
      <w:r>
        <w:rPr>
          <w:rFonts w:hint="default" w:ascii="Times New Roman" w:hAnsi="Times New Roman" w:eastAsia="宋体" w:cs="Times New Roman"/>
          <w:color w:val="auto"/>
          <w:sz w:val="24"/>
          <w:szCs w:val="24"/>
          <w:highlight w:val="none"/>
        </w:rPr>
        <w:t xml:space="preserve"> 本章适用于烧结普通黏土砖、烧结多孔黏土砖、混凝土中型空心砌块、混凝土小型空心砌块、粉煤灰中型实心砌块砌体承重的多层砌体结构房屋，以及内框架、底层框架砌体结构房屋，其适用的最大高度和层数应符合现行国家标准《建筑抗震鉴定标准》GB 50023及《既有建筑鉴定与加固通用规范》GB 55021的有关规定。</w:t>
      </w:r>
    </w:p>
    <w:p w14:paraId="2B384186">
      <w:pPr>
        <w:spacing w:line="36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rPr>
        <w:t>.1.2</w:t>
      </w:r>
      <w:r>
        <w:rPr>
          <w:rFonts w:hint="default" w:ascii="Times New Roman" w:hAnsi="Times New Roman" w:eastAsia="宋体" w:cs="Times New Roman"/>
          <w:color w:val="auto"/>
          <w:sz w:val="24"/>
          <w:szCs w:val="24"/>
          <w:highlight w:val="none"/>
        </w:rPr>
        <w:t xml:space="preserve"> 既有砌体结构房屋抗震鉴定时，应重点检查房屋的高度和层数、抗震墙的厚度和间距、墙体实际达到的砂浆强度等级和砌筑质量、墙体交接处的连接、以及女儿墙、楼梯间和出屋面烟囱等易引起倒塌伤人的部位；设防烈度为7~9度时，尚应检查墙体布置的规则性，以及楼、屋盖处的圈梁设置，构造柱的设置，楼、屋盖与墙体的连接构造等。</w:t>
      </w:r>
    </w:p>
    <w:p w14:paraId="65C07D94">
      <w:pPr>
        <w:spacing w:line="36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rPr>
        <w:t>.1.3</w:t>
      </w:r>
      <w:r>
        <w:rPr>
          <w:rFonts w:hint="default" w:ascii="Times New Roman" w:hAnsi="Times New Roman" w:eastAsia="宋体" w:cs="Times New Roman"/>
          <w:color w:val="auto"/>
          <w:sz w:val="24"/>
          <w:szCs w:val="24"/>
          <w:highlight w:val="none"/>
        </w:rPr>
        <w:t xml:space="preserve"> 多层砌体结构房屋的外观和内在质量应符合下列要求：</w:t>
      </w:r>
    </w:p>
    <w:p w14:paraId="120F0479">
      <w:pPr>
        <w:pStyle w:val="12"/>
        <w:ind w:firstLine="422"/>
        <w:rPr>
          <w:rFonts w:hint="default" w:ascii="Times New Roman" w:hAnsi="Times New Roman" w:eastAsia="宋体" w:cs="Times New Roman"/>
          <w:color w:val="auto"/>
          <w:sz w:val="24"/>
          <w:szCs w:val="24"/>
          <w:highlight w:val="none"/>
          <w:lang w:eastAsia="zh-CN"/>
        </w:rPr>
      </w:pPr>
      <w:bookmarkStart w:id="41" w:name="_Toc759"/>
      <w:r>
        <w:rPr>
          <w:rFonts w:hint="default" w:ascii="Times New Roman" w:hAnsi="Times New Roman" w:eastAsia="宋体" w:cs="Times New Roman"/>
          <w:b/>
          <w:bCs/>
          <w:color w:val="auto"/>
          <w:sz w:val="24"/>
          <w:szCs w:val="24"/>
          <w:highlight w:val="none"/>
          <w:lang w:eastAsia="zh-CN"/>
        </w:rPr>
        <w:t>1</w:t>
      </w:r>
      <w:r>
        <w:rPr>
          <w:rFonts w:hint="default" w:ascii="Times New Roman" w:hAnsi="Times New Roman" w:eastAsia="宋体" w:cs="Times New Roman"/>
          <w:color w:val="auto"/>
          <w:sz w:val="24"/>
          <w:szCs w:val="24"/>
          <w:highlight w:val="none"/>
          <w:lang w:eastAsia="zh-CN"/>
        </w:rPr>
        <w:t xml:space="preserve"> 墙体不空鼓、无严重酥碱和明显歪闪。</w:t>
      </w:r>
      <w:bookmarkEnd w:id="41"/>
    </w:p>
    <w:p w14:paraId="36FC57FB">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2</w:t>
      </w:r>
      <w:r>
        <w:rPr>
          <w:rFonts w:hint="default" w:ascii="Times New Roman" w:hAnsi="Times New Roman" w:eastAsia="宋体" w:cs="Times New Roman"/>
          <w:color w:val="auto"/>
          <w:sz w:val="24"/>
          <w:szCs w:val="24"/>
          <w:highlight w:val="none"/>
          <w:lang w:eastAsia="zh-CN"/>
        </w:rPr>
        <w:t xml:space="preserve"> 支承大梁、屋架的墙体无竖向裂缝，承重墙、自承重墙及其交接处无明显裂缝。</w:t>
      </w:r>
    </w:p>
    <w:p w14:paraId="7EA4494B">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3</w:t>
      </w:r>
      <w:r>
        <w:rPr>
          <w:rFonts w:hint="default" w:ascii="Times New Roman" w:hAnsi="Times New Roman" w:eastAsia="宋体" w:cs="Times New Roman"/>
          <w:color w:val="auto"/>
          <w:sz w:val="24"/>
          <w:szCs w:val="24"/>
          <w:highlight w:val="none"/>
          <w:lang w:eastAsia="zh-CN"/>
        </w:rPr>
        <w:t xml:space="preserve"> 木楼、屋盖构件无明显变形、腐朽、蚁蚀和严重开裂。</w:t>
      </w:r>
    </w:p>
    <w:p w14:paraId="17214126">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4</w:t>
      </w:r>
      <w:r>
        <w:rPr>
          <w:rFonts w:hint="default" w:ascii="Times New Roman" w:hAnsi="Times New Roman" w:eastAsia="宋体" w:cs="Times New Roman"/>
          <w:color w:val="auto"/>
          <w:sz w:val="24"/>
          <w:szCs w:val="24"/>
          <w:highlight w:val="none"/>
          <w:lang w:eastAsia="zh-CN"/>
        </w:rPr>
        <w:t xml:space="preserve"> 混凝土构件应符合本规程第</w:t>
      </w:r>
      <w:r>
        <w:rPr>
          <w:rFonts w:hint="default"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eastAsia="zh-CN"/>
        </w:rPr>
        <w:t>.1</w:t>
      </w:r>
      <w:r>
        <w:rPr>
          <w:rFonts w:hint="default" w:ascii="Times New Roman" w:hAnsi="Times New Roman" w:eastAsia="宋体" w:cs="Times New Roman"/>
          <w:color w:val="auto"/>
          <w:sz w:val="24"/>
          <w:szCs w:val="24"/>
          <w:highlight w:val="none"/>
          <w:lang w:val="en-US" w:eastAsia="zh-CN"/>
        </w:rPr>
        <w:t>节</w:t>
      </w:r>
      <w:r>
        <w:rPr>
          <w:rFonts w:hint="default" w:ascii="Times New Roman" w:hAnsi="Times New Roman" w:eastAsia="宋体" w:cs="Times New Roman"/>
          <w:color w:val="auto"/>
          <w:sz w:val="24"/>
          <w:szCs w:val="24"/>
          <w:highlight w:val="none"/>
          <w:lang w:eastAsia="zh-CN"/>
        </w:rPr>
        <w:t>的有关规定。</w:t>
      </w:r>
    </w:p>
    <w:p w14:paraId="39808692">
      <w:pPr>
        <w:spacing w:line="36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lang w:val="en-US" w:eastAsia="zh-CN"/>
        </w:rPr>
        <w:t>6</w:t>
      </w:r>
      <w:r>
        <w:rPr>
          <w:rFonts w:hint="default" w:ascii="Times New Roman" w:hAnsi="Times New Roman" w:eastAsia="宋体" w:cs="Times New Roman"/>
          <w:b/>
          <w:color w:val="auto"/>
          <w:sz w:val="24"/>
          <w:szCs w:val="24"/>
          <w:highlight w:val="none"/>
        </w:rPr>
        <w:t>.1.4</w:t>
      </w:r>
      <w:r>
        <w:rPr>
          <w:rFonts w:hint="default" w:ascii="Times New Roman" w:hAnsi="Times New Roman" w:eastAsia="宋体" w:cs="Times New Roman"/>
          <w:color w:val="auto"/>
          <w:sz w:val="24"/>
          <w:szCs w:val="24"/>
          <w:highlight w:val="none"/>
        </w:rPr>
        <w:t xml:space="preserve"> 现有砌体房屋的抗震鉴定，应按房屋高度和层数、结构体系的合理性、墙体材料的实际强度、房屋整体性连接构造的可靠性、局部易损易倒部位构件自身及其与主体结构连接构造的可靠性以及墙体抗震承载力的综合分析，对整幢房屋的抗震能力进行鉴定。</w:t>
      </w:r>
    </w:p>
    <w:p w14:paraId="533A9CF1">
      <w:pPr>
        <w:pStyle w:val="12"/>
        <w:ind w:firstLine="42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当砌体房屋层数超过规定时，应评为不满足抗震鉴定要求；当仅有出入口和人流通道处的女儿墙、出屋面烟囱等不符合规定时，应评为局部不满足抗震鉴定要求。</w:t>
      </w:r>
    </w:p>
    <w:p w14:paraId="7770EBBC">
      <w:pPr>
        <w:spacing w:line="36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lang w:val="en-US" w:eastAsia="zh-CN"/>
        </w:rPr>
        <w:t>6</w:t>
      </w:r>
      <w:r>
        <w:rPr>
          <w:rFonts w:hint="default" w:ascii="Times New Roman" w:hAnsi="Times New Roman" w:eastAsia="宋体" w:cs="Times New Roman"/>
          <w:b/>
          <w:color w:val="auto"/>
          <w:sz w:val="24"/>
          <w:szCs w:val="24"/>
          <w:highlight w:val="none"/>
        </w:rPr>
        <w:t xml:space="preserve">.1.5 </w:t>
      </w:r>
      <w:r>
        <w:rPr>
          <w:rFonts w:hint="default" w:ascii="Times New Roman" w:hAnsi="Times New Roman" w:eastAsia="宋体" w:cs="Times New Roman"/>
          <w:color w:val="auto"/>
          <w:sz w:val="24"/>
          <w:szCs w:val="24"/>
          <w:highlight w:val="none"/>
        </w:rPr>
        <w:t>A类砌体房屋应进行综合抗震能力的两级鉴定。在第一级鉴定中，墙体的抗震承载力应依据纵、横墙间距进行简化验算，当符合第一级鉴定的各项规定时，应评为满足抗震鉴定要求;不符合第一级鉴定要求时，除有明确规定的情况外，应在第二级鉴定中采用综合抗震能力指数的方法，计入构造影响作出判断。</w:t>
      </w:r>
    </w:p>
    <w:p w14:paraId="6989760E">
      <w:pPr>
        <w:pStyle w:val="12"/>
        <w:ind w:firstLine="42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B类砌体房屋，在整体性连接构造的检查中尚应包括构造柱的设置情况，墙体的抗震承载力应采用现行国家标准《建筑抗震设计标准》GB/T 50011的底部剪力法等方法进行验算或按照A类砌体房屋计入构造影响进行综合抗震能力的评定。</w:t>
      </w:r>
    </w:p>
    <w:p w14:paraId="50748023">
      <w:pPr>
        <w:spacing w:before="120" w:after="12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II</w:t>
      </w:r>
      <w:r>
        <w:rPr>
          <w:rFonts w:hint="default" w:ascii="Times New Roman" w:hAnsi="Times New Roman" w:eastAsia="宋体" w:cs="Times New Roman"/>
          <w:color w:val="auto"/>
          <w:sz w:val="24"/>
          <w:szCs w:val="24"/>
          <w:highlight w:val="none"/>
          <w:lang w:eastAsia="zh-CN"/>
        </w:rPr>
        <w:t xml:space="preserve"> </w:t>
      </w:r>
      <w:r>
        <w:rPr>
          <w:rFonts w:hint="default" w:ascii="Times New Roman" w:hAnsi="Times New Roman" w:eastAsia="宋体" w:cs="Times New Roman"/>
          <w:color w:val="auto"/>
          <w:sz w:val="24"/>
          <w:szCs w:val="24"/>
          <w:highlight w:val="none"/>
        </w:rPr>
        <w:t>抗震加固</w:t>
      </w:r>
    </w:p>
    <w:p w14:paraId="0E798DD0">
      <w:pPr>
        <w:rPr>
          <w:rFonts w:hint="default" w:ascii="Times New Roman" w:hAnsi="Times New Roman" w:eastAsia="宋体" w:cs="Times New Roman"/>
          <w:color w:val="auto"/>
          <w:sz w:val="24"/>
          <w:szCs w:val="24"/>
          <w:highlight w:val="none"/>
        </w:rPr>
      </w:pPr>
      <w:bookmarkStart w:id="42" w:name="_Toc27857"/>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rPr>
        <w:t>.1.6</w:t>
      </w:r>
      <w:r>
        <w:rPr>
          <w:rFonts w:hint="default" w:ascii="Times New Roman" w:hAnsi="Times New Roman" w:eastAsia="宋体" w:cs="Times New Roman"/>
          <w:color w:val="auto"/>
          <w:sz w:val="24"/>
          <w:szCs w:val="24"/>
          <w:highlight w:val="none"/>
        </w:rPr>
        <w:t xml:space="preserve"> 砌体房屋的抗震加固应符合下列要求：</w:t>
      </w:r>
      <w:bookmarkEnd w:id="42"/>
    </w:p>
    <w:p w14:paraId="0441FB4C">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 xml:space="preserve">1 </w:t>
      </w:r>
      <w:r>
        <w:rPr>
          <w:rFonts w:hint="default" w:ascii="Times New Roman" w:hAnsi="Times New Roman" w:eastAsia="宋体" w:cs="Times New Roman"/>
          <w:color w:val="auto"/>
          <w:sz w:val="24"/>
          <w:szCs w:val="24"/>
          <w:highlight w:val="none"/>
          <w:lang w:eastAsia="zh-CN"/>
        </w:rPr>
        <w:t>同一楼层中，自承重墙体加固后的抗震能力不应超过承重墙体加固后的抗震能力。</w:t>
      </w:r>
    </w:p>
    <w:p w14:paraId="665C6989">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2</w:t>
      </w:r>
      <w:r>
        <w:rPr>
          <w:rFonts w:hint="default" w:ascii="Times New Roman" w:hAnsi="Times New Roman" w:eastAsia="宋体" w:cs="Times New Roman"/>
          <w:color w:val="auto"/>
          <w:sz w:val="24"/>
          <w:szCs w:val="24"/>
          <w:highlight w:val="none"/>
          <w:lang w:eastAsia="zh-CN"/>
        </w:rPr>
        <w:t xml:space="preserve"> 对非刚性结构体系的砌体房屋，应选用有利于消除不利因素的抗震加固方案；当采用加固柱或墙垛、增设支撑或支架等保持非刚性结构体系的加固措施时，应控制层间位移和提高其变形能力。</w:t>
      </w:r>
    </w:p>
    <w:p w14:paraId="2AA85C8E">
      <w:pPr>
        <w:pStyle w:val="12"/>
        <w:ind w:firstLine="422"/>
        <w:rPr>
          <w:rFonts w:hint="default" w:ascii="Times New Roman" w:hAnsi="Times New Roman" w:eastAsia="宋体" w:cs="Times New Roman"/>
          <w:color w:val="auto"/>
          <w:sz w:val="24"/>
          <w:szCs w:val="24"/>
          <w:highlight w:val="none"/>
          <w:lang w:eastAsia="zh-CN"/>
        </w:rPr>
      </w:pPr>
      <w:bookmarkStart w:id="43" w:name="_Toc2975"/>
      <w:r>
        <w:rPr>
          <w:rFonts w:hint="default" w:ascii="Times New Roman" w:hAnsi="Times New Roman" w:eastAsia="宋体" w:cs="Times New Roman"/>
          <w:b/>
          <w:bCs/>
          <w:color w:val="auto"/>
          <w:sz w:val="24"/>
          <w:szCs w:val="24"/>
          <w:highlight w:val="none"/>
          <w:lang w:eastAsia="zh-CN"/>
        </w:rPr>
        <w:t xml:space="preserve">3 </w:t>
      </w:r>
      <w:r>
        <w:rPr>
          <w:rFonts w:hint="default" w:ascii="Times New Roman" w:hAnsi="Times New Roman" w:eastAsia="宋体" w:cs="Times New Roman"/>
          <w:color w:val="auto"/>
          <w:sz w:val="24"/>
          <w:szCs w:val="24"/>
          <w:highlight w:val="none"/>
          <w:lang w:eastAsia="zh-CN"/>
        </w:rPr>
        <w:t>当选用区段加固的方案时，应对楼梯间的墙体采取加强措施。</w:t>
      </w:r>
      <w:bookmarkEnd w:id="43"/>
    </w:p>
    <w:p w14:paraId="19F5B29E">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4</w:t>
      </w:r>
      <w:r>
        <w:rPr>
          <w:rFonts w:hint="default" w:ascii="Times New Roman" w:hAnsi="Times New Roman" w:eastAsia="宋体" w:cs="Times New Roman"/>
          <w:color w:val="auto"/>
          <w:sz w:val="24"/>
          <w:szCs w:val="24"/>
          <w:highlight w:val="none"/>
          <w:lang w:eastAsia="zh-CN"/>
        </w:rPr>
        <w:t xml:space="preserve"> 加固后砌体结构房屋的层间受剪承载力沿高度应比较均匀，防止相邻楼层的层间受剪承载力相差较大而导致出现薄弱层。</w:t>
      </w:r>
    </w:p>
    <w:p w14:paraId="380053B3">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 xml:space="preserve">5 </w:t>
      </w:r>
      <w:r>
        <w:rPr>
          <w:rFonts w:hint="default" w:ascii="Times New Roman" w:hAnsi="Times New Roman" w:eastAsia="宋体" w:cs="Times New Roman"/>
          <w:color w:val="auto"/>
          <w:sz w:val="24"/>
          <w:szCs w:val="24"/>
          <w:highlight w:val="none"/>
          <w:lang w:eastAsia="zh-CN"/>
        </w:rPr>
        <w:t>同一楼层中，各墙段受力宜均匀，防止个别墙段失效后导致结构发生严重破坏。</w:t>
      </w:r>
    </w:p>
    <w:p w14:paraId="065F6641">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6</w:t>
      </w:r>
      <w:r>
        <w:rPr>
          <w:rFonts w:hint="default" w:ascii="Times New Roman" w:hAnsi="Times New Roman" w:eastAsia="宋体" w:cs="Times New Roman"/>
          <w:color w:val="auto"/>
          <w:sz w:val="24"/>
          <w:szCs w:val="24"/>
          <w:highlight w:val="none"/>
          <w:lang w:eastAsia="zh-CN"/>
        </w:rPr>
        <w:t xml:space="preserve"> 对底层框架砌体结构房屋加固后，框架层与相邻上部砌体层的刚度比，应符合现行国家标准《建筑抗震设计标准》GB/T 50011的相应规定。</w:t>
      </w:r>
    </w:p>
    <w:p w14:paraId="242E5A86">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7</w:t>
      </w:r>
      <w:r>
        <w:rPr>
          <w:rFonts w:hint="default" w:ascii="Times New Roman" w:hAnsi="Times New Roman" w:eastAsia="宋体" w:cs="Times New Roman"/>
          <w:color w:val="auto"/>
          <w:sz w:val="24"/>
          <w:szCs w:val="24"/>
          <w:highlight w:val="none"/>
          <w:lang w:eastAsia="zh-CN"/>
        </w:rPr>
        <w:t xml:space="preserve"> 对内框架、底层框架砌体结构房屋中的框架加固时，应防止形成短柱或强梁弱柱。</w:t>
      </w:r>
    </w:p>
    <w:p w14:paraId="53718E44">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8</w:t>
      </w:r>
      <w:r>
        <w:rPr>
          <w:rFonts w:hint="default" w:ascii="Times New Roman" w:hAnsi="Times New Roman" w:eastAsia="宋体" w:cs="Times New Roman"/>
          <w:color w:val="auto"/>
          <w:sz w:val="24"/>
          <w:szCs w:val="24"/>
          <w:highlight w:val="none"/>
          <w:lang w:eastAsia="zh-CN"/>
        </w:rPr>
        <w:t xml:space="preserve"> 采用综合抗震能力指数验算时，楼层屈服强度系数、加固增强系数、加固后的体系影响系数和局部影响系数，应根据房屋加固后的状态计算和取值。</w:t>
      </w:r>
    </w:p>
    <w:p w14:paraId="5FFAB656">
      <w:pPr>
        <w:spacing w:line="360" w:lineRule="exact"/>
        <w:rPr>
          <w:rFonts w:hint="default" w:ascii="Times New Roman" w:hAnsi="Times New Roman" w:eastAsia="宋体" w:cs="Times New Roman"/>
          <w:color w:val="auto"/>
          <w:sz w:val="24"/>
          <w:szCs w:val="24"/>
          <w:highlight w:val="none"/>
        </w:rPr>
      </w:pPr>
      <w:bookmarkStart w:id="44" w:name="_Toc3154"/>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rPr>
        <w:t>.1.7</w:t>
      </w:r>
      <w:r>
        <w:rPr>
          <w:rFonts w:hint="default" w:ascii="Times New Roman" w:hAnsi="Times New Roman" w:eastAsia="宋体" w:cs="Times New Roman"/>
          <w:color w:val="auto"/>
          <w:sz w:val="24"/>
          <w:szCs w:val="24"/>
          <w:highlight w:val="none"/>
        </w:rPr>
        <w:t>对A类和B类建筑中规则的房屋，加固后的楼层综合抗震能力指数，应按下列公式验算：</w:t>
      </w:r>
      <w:bookmarkEnd w:id="44"/>
    </w:p>
    <w:p w14:paraId="0AA8B344">
      <w:pPr>
        <w:pStyle w:val="12"/>
        <w:ind w:firstLine="420"/>
        <w:jc w:val="right"/>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position w:val="-12"/>
          <w:sz w:val="24"/>
          <w:szCs w:val="24"/>
          <w:highlight w:val="none"/>
        </w:rPr>
        <w:object>
          <v:shape id="_x0000_i1105" o:spt="75" type="#_x0000_t75" style="height:18pt;width:75.5pt;" o:ole="t" filled="f" o:preferrelative="t" stroked="f" coordsize="21600,21600">
            <v:path/>
            <v:fill on="f" focussize="0,0"/>
            <v:stroke on="f" joinstyle="miter"/>
            <v:imagedata r:id="rId150" o:title=""/>
            <o:lock v:ext="edit" aspectratio="t"/>
            <w10:wrap type="none"/>
            <w10:anchorlock/>
          </v:shape>
          <o:OLEObject Type="Embed" ProgID="Equation.DSMT4" ShapeID="_x0000_i1105" DrawAspect="Content" ObjectID="_1468075805" r:id="rId149">
            <o:LockedField>false</o:LockedField>
          </o:OLEObject>
        </w:object>
      </w:r>
      <w:r>
        <w:rPr>
          <w:rFonts w:hint="default" w:ascii="Times New Roman" w:hAnsi="Times New Roman" w:eastAsia="宋体" w:cs="Times New Roman"/>
          <w:color w:val="auto"/>
          <w:sz w:val="24"/>
          <w:szCs w:val="24"/>
          <w:highlight w:val="none"/>
          <w:lang w:eastAsia="zh-CN"/>
        </w:rPr>
        <w:t xml:space="preserve">                             （</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eastAsia="zh-CN"/>
        </w:rPr>
        <w:t>.1.7）</w:t>
      </w:r>
    </w:p>
    <w:p w14:paraId="17455778">
      <w:pPr>
        <w:pStyle w:val="12"/>
        <w:ind w:firstLine="0" w:firstLineChars="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式中：</w:t>
      </w:r>
      <w:r>
        <w:rPr>
          <w:rFonts w:hint="default" w:ascii="Times New Roman" w:hAnsi="Times New Roman" w:eastAsia="宋体" w:cs="Times New Roman"/>
          <w:color w:val="auto"/>
          <w:sz w:val="24"/>
          <w:szCs w:val="24"/>
          <w:highlight w:val="none"/>
        </w:rPr>
        <w:object>
          <v:shape id="_x0000_i1106" o:spt="75" type="#_x0000_t75" style="height:18pt;width:14.5pt;" o:ole="t" filled="f" o:preferrelative="t" stroked="f" coordsize="21600,21600">
            <v:path/>
            <v:fill on="f" focussize="0,0"/>
            <v:stroke on="f" joinstyle="miter"/>
            <v:imagedata r:id="rId152" o:title=""/>
            <o:lock v:ext="edit" aspectratio="t"/>
            <w10:wrap type="none"/>
            <w10:anchorlock/>
          </v:shape>
          <o:OLEObject Type="Embed" ProgID="Equation.DSMT4" ShapeID="_x0000_i1106" DrawAspect="Content" ObjectID="_1468075806" r:id="rId151">
            <o:LockedField>false</o:LockedField>
          </o:OLEObject>
        </w:object>
      </w:r>
      <w:r>
        <w:rPr>
          <w:rFonts w:hint="default" w:ascii="Times New Roman" w:hAnsi="Times New Roman" w:eastAsia="宋体" w:cs="Times New Roman"/>
          <w:color w:val="auto"/>
          <w:sz w:val="24"/>
          <w:szCs w:val="24"/>
          <w:highlight w:val="none"/>
          <w:lang w:eastAsia="zh-CN"/>
        </w:rPr>
        <w:t>—加固后楼层的综合抗震能力指数；</w:t>
      </w:r>
    </w:p>
    <w:p w14:paraId="7629C006">
      <w:pPr>
        <w:pStyle w:val="12"/>
        <w:ind w:firstLine="808" w:firstLineChars="337"/>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object>
          <v:shape id="_x0000_i1107" o:spt="75" type="#_x0000_t75" style="height:14pt;width:11pt;" o:ole="t" filled="f" o:preferrelative="t" stroked="f" coordsize="21600,21600">
            <v:path/>
            <v:fill on="f" focussize="0,0"/>
            <v:stroke on="f" joinstyle="miter"/>
            <v:imagedata r:id="rId154" o:title=""/>
            <o:lock v:ext="edit" aspectratio="t"/>
            <w10:wrap type="none"/>
            <w10:anchorlock/>
          </v:shape>
          <o:OLEObject Type="Embed" ProgID="Equation.DSMT4" ShapeID="_x0000_i1107" DrawAspect="Content" ObjectID="_1468075807" r:id="rId153">
            <o:LockedField>false</o:LockedField>
          </o:OLEObject>
        </w:object>
      </w:r>
      <w:r>
        <w:rPr>
          <w:rFonts w:hint="default" w:ascii="Times New Roman" w:hAnsi="Times New Roman" w:eastAsia="宋体" w:cs="Times New Roman"/>
          <w:color w:val="auto"/>
          <w:sz w:val="24"/>
          <w:szCs w:val="24"/>
          <w:highlight w:val="none"/>
          <w:lang w:eastAsia="zh-CN"/>
        </w:rPr>
        <w:t>—加固增强系数，可按《建筑抗震加固技术规程》JGJ 116的相关规定计算确定；</w:t>
      </w:r>
    </w:p>
    <w:p w14:paraId="201AA493">
      <w:pPr>
        <w:pStyle w:val="12"/>
        <w:ind w:firstLine="808" w:firstLineChars="337"/>
        <w:rPr>
          <w:rFonts w:hint="default" w:ascii="Times New Roman" w:hAnsi="Times New Roman" w:eastAsia="宋体" w:cs="Times New Roman"/>
          <w:color w:val="auto"/>
          <w:sz w:val="24"/>
          <w:szCs w:val="24"/>
          <w:highlight w:val="none"/>
          <w:lang w:eastAsia="zh-CN"/>
        </w:rPr>
      </w:pPr>
      <m:oMath>
        <m:r>
          <m:rPr>
            <m:nor/>
            <m:sty m:val="p"/>
          </m:rPr>
          <w:rPr>
            <w:rFonts w:hint="default" w:ascii="Times New Roman" w:hAnsi="Times New Roman" w:eastAsia="宋体" w:cs="Times New Roman"/>
            <w:b w:val="0"/>
            <w:i w:val="0"/>
            <w:color w:val="auto"/>
            <w:sz w:val="24"/>
            <w:szCs w:val="24"/>
            <w:highlight w:val="none"/>
          </w:rPr>
          <w:object>
            <v:shape id="_x0000_i1108" o:spt="75" type="#_x0000_t75" style="height:18pt;width:16.5pt;" o:ole="t" filled="f" o:preferrelative="t" stroked="f" coordsize="21600,21600">
              <v:path/>
              <v:fill on="f" focussize="0,0"/>
              <v:stroke on="f"/>
              <v:imagedata r:id="rId156" o:title=""/>
              <o:lock v:ext="edit" aspectratio="t"/>
              <w10:wrap type="none"/>
              <w10:anchorlock/>
            </v:shape>
            <o:OLEObject Type="Embed" ProgID="Equation.DSMT4" ShapeID="_x0000_i1108" DrawAspect="Content" ObjectID="_1468075808" r:id="rId155">
              <o:LockedField>false</o:LockedField>
            </o:OLEObject>
          </w:object>
        </m:r>
      </m:oMath>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object>
          <v:shape id="_x0000_i1109" o:spt="75" type="#_x0000_t75" style="height:18pt;width:18pt;" o:ole="t" filled="f" o:preferrelative="t" stroked="f" coordsize="21600,21600">
            <v:path/>
            <v:fill on="f" focussize="0,0"/>
            <v:stroke on="f" joinstyle="miter"/>
            <v:imagedata r:id="rId158" o:title=""/>
            <o:lock v:ext="edit" aspectratio="t"/>
            <w10:wrap type="none"/>
            <w10:anchorlock/>
          </v:shape>
          <o:OLEObject Type="Embed" ProgID="Equation.DSMT4" ShapeID="_x0000_i1109" DrawAspect="Content" ObjectID="_1468075809" r:id="rId157">
            <o:LockedField>false</o:LockedField>
          </o:OLEObject>
        </w:object>
      </w:r>
      <w:r>
        <w:rPr>
          <w:rFonts w:hint="default" w:ascii="Times New Roman" w:hAnsi="Times New Roman" w:eastAsia="宋体" w:cs="Times New Roman"/>
          <w:color w:val="auto"/>
          <w:sz w:val="24"/>
          <w:szCs w:val="24"/>
          <w:highlight w:val="none"/>
          <w:lang w:eastAsia="zh-CN"/>
        </w:rPr>
        <w:t>—分别为加固后体系影响系数和局部影响系数，应根据房屋加固后的状况，按现行国家标准《建筑抗震鉴定标准》GB 50023的有关规定取值；</w:t>
      </w:r>
    </w:p>
    <w:p w14:paraId="6022C1C7">
      <w:pPr>
        <w:pStyle w:val="12"/>
        <w:ind w:firstLine="808" w:firstLineChars="337"/>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object>
          <v:shape id="_x0000_i1110" o:spt="75" type="#_x0000_t75" style="height:18pt;width:15pt;" o:ole="t" filled="f" o:preferrelative="t" stroked="f" coordsize="21600,21600">
            <v:path/>
            <v:fill on="f" focussize="0,0"/>
            <v:stroke on="f" joinstyle="miter"/>
            <v:imagedata r:id="rId160" o:title=""/>
            <o:lock v:ext="edit" aspectratio="t"/>
            <w10:wrap type="none"/>
            <w10:anchorlock/>
          </v:shape>
          <o:OLEObject Type="Embed" ProgID="Equation.DSMT4" ShapeID="_x0000_i1110" DrawAspect="Content" ObjectID="_1468075810" r:id="rId159">
            <o:LockedField>false</o:LockedField>
          </o:OLEObject>
        </w:object>
      </w:r>
      <w:r>
        <w:rPr>
          <w:rFonts w:hint="default" w:ascii="Times New Roman" w:hAnsi="Times New Roman" w:eastAsia="宋体" w:cs="Times New Roman"/>
          <w:color w:val="auto"/>
          <w:sz w:val="24"/>
          <w:szCs w:val="24"/>
          <w:highlight w:val="none"/>
          <w:lang w:eastAsia="zh-CN"/>
        </w:rPr>
        <w:t>—楼层或墙段原有的抗震能力指数，应按现行国家标准《建筑抗震鉴定标准》GB 50023规定的有关方法计算。</w:t>
      </w:r>
    </w:p>
    <w:p w14:paraId="45210D4F">
      <w:pPr>
        <w:pStyle w:val="12"/>
        <w:ind w:firstLine="0" w:firstLineChars="0"/>
        <w:rPr>
          <w:rFonts w:hint="default" w:ascii="Times New Roman" w:hAnsi="Times New Roman" w:eastAsia="宋体" w:cs="Times New Roman"/>
          <w:color w:val="auto"/>
          <w:sz w:val="24"/>
          <w:szCs w:val="24"/>
          <w:highlight w:val="none"/>
          <w:lang w:eastAsia="zh-CN"/>
        </w:rPr>
      </w:pPr>
      <w:bookmarkStart w:id="45" w:name="_Toc17300"/>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lang w:eastAsia="zh-CN"/>
        </w:rPr>
        <w:t xml:space="preserve">.1.8 </w:t>
      </w:r>
      <w:r>
        <w:rPr>
          <w:rFonts w:hint="default" w:ascii="Times New Roman" w:hAnsi="Times New Roman" w:eastAsia="宋体" w:cs="Times New Roman"/>
          <w:bCs/>
          <w:color w:val="auto"/>
          <w:sz w:val="24"/>
          <w:szCs w:val="24"/>
          <w:highlight w:val="none"/>
          <w:lang w:eastAsia="zh-CN"/>
        </w:rPr>
        <w:t>墙体加固后，按现行国家标准《建筑抗震设计标准》</w:t>
      </w:r>
      <w:r>
        <w:rPr>
          <w:rFonts w:hint="default" w:ascii="Times New Roman" w:hAnsi="Times New Roman" w:eastAsia="宋体" w:cs="Times New Roman"/>
          <w:color w:val="auto"/>
          <w:sz w:val="24"/>
          <w:szCs w:val="24"/>
          <w:highlight w:val="none"/>
          <w:lang w:eastAsia="zh-CN"/>
        </w:rPr>
        <w:t>GB/T</w:t>
      </w:r>
      <w:r>
        <w:rPr>
          <w:rFonts w:hint="default" w:ascii="Times New Roman" w:hAnsi="Times New Roman" w:eastAsia="宋体" w:cs="Times New Roman"/>
          <w:bCs/>
          <w:color w:val="auto"/>
          <w:sz w:val="24"/>
          <w:szCs w:val="24"/>
          <w:highlight w:val="none"/>
          <w:lang w:eastAsia="zh-CN"/>
        </w:rPr>
        <w:t xml:space="preserve"> 50011的规定只选择从属面积较大或竖</w:t>
      </w:r>
      <w:r>
        <w:rPr>
          <w:rFonts w:hint="default" w:ascii="Times New Roman" w:hAnsi="Times New Roman" w:eastAsia="宋体" w:cs="Times New Roman"/>
          <w:color w:val="auto"/>
          <w:sz w:val="24"/>
          <w:szCs w:val="24"/>
          <w:highlight w:val="none"/>
          <w:lang w:eastAsia="zh-CN"/>
        </w:rPr>
        <w:t>向应力较小的墙段进行抗震承载力验算时，截面抗震受剪承载力可按下列公式验算：</w:t>
      </w:r>
      <w:bookmarkEnd w:id="45"/>
    </w:p>
    <w:p w14:paraId="786F735F">
      <w:pPr>
        <w:pStyle w:val="12"/>
        <w:ind w:firstLine="0" w:firstLineChars="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不计构造影响时</w:t>
      </w:r>
    </w:p>
    <w:p w14:paraId="16FD2C75">
      <w:pPr>
        <w:pStyle w:val="12"/>
        <w:ind w:firstLine="420"/>
        <w:jc w:val="right"/>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position w:val="-12"/>
          <w:sz w:val="24"/>
          <w:szCs w:val="24"/>
          <w:highlight w:val="none"/>
        </w:rPr>
        <w:object>
          <v:shape id="_x0000_i1111" o:spt="75" type="#_x0000_t75" style="height:18pt;width:44.5pt;" o:ole="t" filled="f" o:preferrelative="t" stroked="f" coordsize="21600,21600">
            <v:path/>
            <v:fill on="f" focussize="0,0"/>
            <v:stroke on="f" joinstyle="miter"/>
            <v:imagedata r:id="rId162" o:title=""/>
            <o:lock v:ext="edit" aspectratio="t"/>
            <w10:wrap type="none"/>
            <w10:anchorlock/>
          </v:shape>
          <o:OLEObject Type="Embed" ProgID="Equation.DSMT4" ShapeID="_x0000_i1111" DrawAspect="Content" ObjectID="_1468075811" r:id="rId161">
            <o:LockedField>false</o:LockedField>
          </o:OLEObject>
        </w:object>
      </w:r>
      <w:r>
        <w:rPr>
          <w:rFonts w:hint="default" w:ascii="Times New Roman" w:hAnsi="Times New Roman" w:eastAsia="宋体" w:cs="Times New Roman"/>
          <w:color w:val="auto"/>
          <w:sz w:val="24"/>
          <w:szCs w:val="24"/>
          <w:highlight w:val="none"/>
          <w:lang w:eastAsia="zh-CN"/>
        </w:rPr>
        <w:t xml:space="preserve">                              （</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eastAsia="zh-CN"/>
        </w:rPr>
        <w:t>.1.8-1）</w:t>
      </w:r>
    </w:p>
    <w:p w14:paraId="54FD7DE4">
      <w:pPr>
        <w:pStyle w:val="12"/>
        <w:ind w:firstLine="0" w:firstLineChars="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计入构造影响时</w:t>
      </w:r>
    </w:p>
    <w:p w14:paraId="10F8FAB9">
      <w:pPr>
        <w:pStyle w:val="12"/>
        <w:ind w:firstLine="420"/>
        <w:jc w:val="right"/>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position w:val="-12"/>
          <w:sz w:val="24"/>
          <w:szCs w:val="24"/>
          <w:highlight w:val="none"/>
        </w:rPr>
        <w:object>
          <v:shape id="_x0000_i1112" o:spt="75" type="#_x0000_t75" style="height:18pt;width:73.5pt;" o:ole="t" filled="f" o:preferrelative="t" stroked="f" coordsize="21600,21600">
            <v:path/>
            <v:fill on="f" focussize="0,0"/>
            <v:stroke on="f" joinstyle="miter"/>
            <v:imagedata r:id="rId164" o:title=""/>
            <o:lock v:ext="edit" aspectratio="t"/>
            <w10:wrap type="none"/>
            <w10:anchorlock/>
          </v:shape>
          <o:OLEObject Type="Embed" ProgID="Equation.DSMT4" ShapeID="_x0000_i1112" DrawAspect="Content" ObjectID="_1468075812" r:id="rId163">
            <o:LockedField>false</o:LockedField>
          </o:OLEObject>
        </w:object>
      </w:r>
      <w:r>
        <w:rPr>
          <w:rFonts w:hint="default" w:ascii="Times New Roman" w:hAnsi="Times New Roman" w:eastAsia="宋体" w:cs="Times New Roman"/>
          <w:color w:val="auto"/>
          <w:sz w:val="24"/>
          <w:szCs w:val="24"/>
          <w:highlight w:val="none"/>
          <w:lang w:eastAsia="zh-CN"/>
        </w:rPr>
        <w:t xml:space="preserve">                           （</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eastAsia="zh-CN"/>
        </w:rPr>
        <w:t>.1.8-2）</w:t>
      </w:r>
    </w:p>
    <w:p w14:paraId="15A2FFBF">
      <w:pPr>
        <w:pStyle w:val="12"/>
        <w:ind w:firstLine="0" w:firstLineChars="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式中：</w:t>
      </w:r>
      <w:r>
        <w:rPr>
          <w:rFonts w:hint="default" w:ascii="Times New Roman" w:hAnsi="Times New Roman" w:eastAsia="宋体" w:cs="Times New Roman"/>
          <w:color w:val="auto"/>
          <w:position w:val="-6"/>
          <w:sz w:val="24"/>
          <w:szCs w:val="24"/>
          <w:highlight w:val="none"/>
        </w:rPr>
        <w:object>
          <v:shape id="_x0000_i1113" o:spt="75" type="#_x0000_t75" style="height:14.5pt;width:11.5pt;" o:ole="t" filled="f" o:preferrelative="t" stroked="f" coordsize="21600,21600">
            <v:path/>
            <v:fill on="f" focussize="0,0"/>
            <v:stroke on="f" joinstyle="miter"/>
            <v:imagedata r:id="rId166" o:title=""/>
            <o:lock v:ext="edit" aspectratio="t"/>
            <w10:wrap type="none"/>
            <w10:anchorlock/>
          </v:shape>
          <o:OLEObject Type="Embed" ProgID="Equation.DSMT4" ShapeID="_x0000_i1113" DrawAspect="Content" ObjectID="_1468075813" r:id="rId165">
            <o:LockedField>false</o:LockedField>
          </o:OLEObject>
        </w:object>
      </w:r>
      <w:r>
        <w:rPr>
          <w:rFonts w:hint="default" w:ascii="Times New Roman" w:hAnsi="Times New Roman" w:eastAsia="宋体" w:cs="Times New Roman"/>
          <w:color w:val="auto"/>
          <w:sz w:val="24"/>
          <w:szCs w:val="24"/>
          <w:highlight w:val="none"/>
          <w:lang w:eastAsia="zh-CN"/>
        </w:rPr>
        <w:t>—墙段的剪力设计值；</w:t>
      </w:r>
    </w:p>
    <w:p w14:paraId="322BA721">
      <w:pPr>
        <w:pStyle w:val="12"/>
        <w:ind w:firstLine="42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 xml:space="preserve">  </w:t>
      </w:r>
      <w:r>
        <w:rPr>
          <w:rFonts w:hint="default" w:ascii="Times New Roman" w:hAnsi="Times New Roman" w:eastAsia="宋体" w:cs="Times New Roman"/>
          <w:color w:val="auto"/>
          <w:position w:val="-12"/>
          <w:sz w:val="24"/>
          <w:szCs w:val="24"/>
          <w:highlight w:val="none"/>
        </w:rPr>
        <w:object>
          <v:shape id="_x0000_i1114" o:spt="75" type="#_x0000_t75" style="height:18pt;width:18pt;" o:ole="t" filled="f" o:preferrelative="t" stroked="f" coordsize="21600,21600">
            <v:path/>
            <v:fill on="f" focussize="0,0"/>
            <v:stroke on="f" joinstyle="miter"/>
            <v:imagedata r:id="rId168" o:title=""/>
            <o:lock v:ext="edit" aspectratio="t"/>
            <w10:wrap type="none"/>
            <w10:anchorlock/>
          </v:shape>
          <o:OLEObject Type="Embed" ProgID="Equation.DSMT4" ShapeID="_x0000_i1114" DrawAspect="Content" ObjectID="_1468075814" r:id="rId167">
            <o:LockedField>false</o:LockedField>
          </o:OLEObject>
        </w:object>
      </w:r>
      <w:r>
        <w:rPr>
          <w:rFonts w:hint="default" w:ascii="Times New Roman" w:hAnsi="Times New Roman" w:eastAsia="宋体" w:cs="Times New Roman"/>
          <w:color w:val="auto"/>
          <w:sz w:val="24"/>
          <w:szCs w:val="24"/>
          <w:highlight w:val="none"/>
          <w:lang w:eastAsia="zh-CN"/>
        </w:rPr>
        <w:t>—墙段原有的受剪承载力设计值，可按现行国家标准《建筑抗震设计标准》GB/T 50011的有关规定计算；但其中的材料性能设计指标、承载力抗震调整系数，应按本规程第</w:t>
      </w:r>
      <w:r>
        <w:rPr>
          <w:rFonts w:hint="default" w:ascii="Times New Roman" w:hAnsi="Times New Roman" w:eastAsia="宋体" w:cs="Times New Roman"/>
          <w:color w:val="auto"/>
          <w:sz w:val="24"/>
          <w:szCs w:val="24"/>
          <w:highlight w:val="none"/>
          <w:lang w:val="en-US" w:eastAsia="zh-CN"/>
        </w:rPr>
        <w:t>4.3.6</w:t>
      </w:r>
      <w:r>
        <w:rPr>
          <w:rFonts w:hint="default" w:ascii="Times New Roman" w:hAnsi="Times New Roman" w:eastAsia="宋体" w:cs="Times New Roman"/>
          <w:color w:val="auto"/>
          <w:sz w:val="24"/>
          <w:szCs w:val="24"/>
          <w:highlight w:val="none"/>
          <w:lang w:eastAsia="zh-CN"/>
        </w:rPr>
        <w:t>条的相关规定取值。</w:t>
      </w:r>
    </w:p>
    <w:p w14:paraId="152F6B66">
      <w:pPr>
        <w:pStyle w:val="12"/>
        <w:ind w:firstLine="720" w:firstLineChars="3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position w:val="-10"/>
          <w:sz w:val="24"/>
          <w:szCs w:val="24"/>
          <w:highlight w:val="none"/>
        </w:rPr>
        <w:object>
          <v:shape id="_x0000_i1115" o:spt="75" type="#_x0000_t75" style="height:14pt;width:11pt;" o:ole="t" filled="f" o:preferrelative="t" stroked="f" coordsize="21600,21600">
            <v:path/>
            <v:fill on="f" focussize="0,0"/>
            <v:stroke on="f" joinstyle="miter"/>
            <v:imagedata r:id="rId170" o:title=""/>
            <o:lock v:ext="edit" aspectratio="t"/>
            <w10:wrap type="none"/>
            <w10:anchorlock/>
          </v:shape>
          <o:OLEObject Type="Embed" ProgID="Equation.DSMT4" ShapeID="_x0000_i1115" DrawAspect="Content" ObjectID="_1468075815" r:id="rId169">
            <o:LockedField>false</o:LockedField>
          </o:OLEObject>
        </w:object>
      </w:r>
      <w:r>
        <w:rPr>
          <w:rFonts w:hint="default" w:ascii="Times New Roman" w:hAnsi="Times New Roman" w:eastAsia="宋体" w:cs="Times New Roman"/>
          <w:color w:val="auto"/>
          <w:sz w:val="24"/>
          <w:szCs w:val="24"/>
          <w:highlight w:val="none"/>
          <w:lang w:eastAsia="zh-CN"/>
        </w:rPr>
        <w:t>—墙段的加固增强系数，可按《建筑抗震加固技术规程》JGJ 116的相关规定计算确定。</w:t>
      </w:r>
    </w:p>
    <w:p w14:paraId="4E889352">
      <w:pPr>
        <w:spacing w:line="36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rPr>
        <w:t>.1.9</w:t>
      </w:r>
      <w:r>
        <w:rPr>
          <w:rFonts w:hint="default" w:ascii="Times New Roman" w:hAnsi="Times New Roman" w:eastAsia="宋体" w:cs="Times New Roman"/>
          <w:color w:val="auto"/>
          <w:sz w:val="24"/>
          <w:szCs w:val="24"/>
          <w:highlight w:val="none"/>
        </w:rPr>
        <w:t xml:space="preserve"> 对A类和B类建筑中不规则的砌体结构房屋，其抗震加固后的抗震承载力应符合下式规定，并应防止加固后出现新的层间受剪承载力突变的楼层。</w:t>
      </w:r>
    </w:p>
    <w:p w14:paraId="423CB785">
      <w:pPr>
        <w:spacing w:line="0" w:lineRule="atLeast"/>
        <w:ind w:firstLine="3600" w:firstLineChars="1500"/>
        <w:jc w:val="righ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position w:val="-12"/>
          <w:sz w:val="24"/>
          <w:szCs w:val="24"/>
          <w:highlight w:val="none"/>
        </w:rPr>
        <w:object>
          <v:shape id="_x0000_i1116" o:spt="75" type="#_x0000_t75" style="height:18pt;width:86pt;" o:ole="t" filled="f" o:preferrelative="t" stroked="f" coordsize="21600,21600">
            <v:path/>
            <v:fill on="f" focussize="0,0"/>
            <v:stroke on="f" joinstyle="miter"/>
            <v:imagedata r:id="rId172" o:title=""/>
            <o:lock v:ext="edit" aspectratio="t"/>
            <w10:wrap type="none"/>
            <w10:anchorlock/>
          </v:shape>
          <o:OLEObject Type="Embed" ProgID="Equation.DSMT4" ShapeID="_x0000_i1116" DrawAspect="Content" ObjectID="_1468075816" r:id="rId171">
            <o:LockedField>false</o:LockedField>
          </o:OLEObject>
        </w:objec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.1.</w:t>
      </w:r>
      <w:r>
        <w:rPr>
          <w:rFonts w:hint="default"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w:t>
      </w:r>
    </w:p>
    <w:p w14:paraId="7A14338F">
      <w:pPr>
        <w:pStyle w:val="12"/>
        <w:ind w:firstLine="0" w:firstLineChars="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式中：</w:t>
      </w:r>
      <w:r>
        <w:rPr>
          <w:rFonts w:hint="default" w:ascii="Times New Roman" w:hAnsi="Times New Roman" w:eastAsia="宋体" w:cs="Times New Roman"/>
          <w:color w:val="auto"/>
          <w:sz w:val="24"/>
          <w:szCs w:val="24"/>
          <w:highlight w:val="none"/>
        </w:rPr>
        <w:object>
          <v:shape id="_x0000_i1117" o:spt="75" type="#_x0000_t75" style="height:14.5pt;width:11.5pt;" o:ole="t" filled="f" o:preferrelative="t" stroked="f" coordsize="21600,21600">
            <v:path/>
            <v:fill on="f" focussize="0,0"/>
            <v:stroke on="f" joinstyle="miter"/>
            <v:imagedata r:id="rId174" o:title=""/>
            <o:lock v:ext="edit" aspectratio="t"/>
            <w10:wrap type="none"/>
            <w10:anchorlock/>
          </v:shape>
          <o:OLEObject Type="Embed" ProgID="Equation.DSMT4" ShapeID="_x0000_i1117" DrawAspect="Content" ObjectID="_1468075817" r:id="rId173">
            <o:LockedField>false</o:LockedField>
          </o:OLEObject>
        </w:object>
      </w:r>
      <w:r>
        <w:rPr>
          <w:rFonts w:hint="default" w:ascii="Times New Roman" w:hAnsi="Times New Roman" w:eastAsia="宋体" w:cs="Times New Roman"/>
          <w:color w:val="auto"/>
          <w:sz w:val="24"/>
          <w:szCs w:val="24"/>
          <w:highlight w:val="none"/>
          <w:lang w:eastAsia="zh-CN"/>
        </w:rPr>
        <w:t>——加固后结构构件地震组合的内力设计值；</w:t>
      </w:r>
    </w:p>
    <w:p w14:paraId="7018A7F2">
      <w:pPr>
        <w:pStyle w:val="12"/>
        <w:ind w:firstLine="648" w:firstLineChars="27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object>
          <v:shape id="_x0000_i1118" o:spt="75" type="#_x0000_t75" style="height:18pt;width:14.5pt;" o:ole="t" filled="f" o:preferrelative="t" stroked="f" coordsize="21600,21600">
            <v:path/>
            <v:fill on="f" focussize="0,0"/>
            <v:stroke on="f" joinstyle="miter"/>
            <v:imagedata r:id="rId176" o:title=""/>
            <o:lock v:ext="edit" aspectratio="t"/>
            <w10:wrap type="none"/>
            <w10:anchorlock/>
          </v:shape>
          <o:OLEObject Type="Embed" ProgID="Equation.DSMT4" ShapeID="_x0000_i1118" DrawAspect="Content" ObjectID="_1468075818" r:id="rId175">
            <o:LockedField>false</o:LockedField>
          </o:OLEObject>
        </w:object>
      </w:r>
      <w:r>
        <w:rPr>
          <w:rFonts w:hint="default" w:ascii="Times New Roman" w:hAnsi="Times New Roman" w:eastAsia="宋体" w:cs="Times New Roman"/>
          <w:color w:val="auto"/>
          <w:sz w:val="24"/>
          <w:szCs w:val="24"/>
          <w:highlight w:val="none"/>
          <w:lang w:eastAsia="zh-CN"/>
        </w:rPr>
        <w:t>——加固后计入应变滞后等的构件承载力设计值；</w:t>
      </w:r>
    </w:p>
    <w:p w14:paraId="608C5013">
      <w:pPr>
        <w:pStyle w:val="12"/>
        <w:ind w:firstLine="648" w:firstLineChars="27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object>
          <v:shape id="_x0000_i1119" o:spt="75" type="#_x0000_t75" style="height:18pt;width:16.5pt;" o:ole="t" filled="f" o:preferrelative="t" stroked="f" coordsize="21600,21600">
            <v:path/>
            <v:fill on="f" focussize="0,0"/>
            <v:stroke on="f" joinstyle="miter"/>
            <v:imagedata r:id="rId178" o:title=""/>
            <o:lock v:ext="edit" aspectratio="t"/>
            <w10:wrap type="none"/>
            <w10:anchorlock/>
          </v:shape>
          <o:OLEObject Type="Embed" ProgID="Equation.DSMT4" ShapeID="_x0000_i1119" DrawAspect="Content" ObjectID="_1468075819" r:id="rId177">
            <o:LockedField>false</o:LockedField>
          </o:OLEObject>
        </w:object>
      </w:r>
      <w:r>
        <w:rPr>
          <w:rFonts w:hint="default" w:ascii="Times New Roman" w:hAnsi="Times New Roman" w:eastAsia="宋体" w:cs="Times New Roman"/>
          <w:color w:val="auto"/>
          <w:sz w:val="24"/>
          <w:szCs w:val="24"/>
          <w:highlight w:val="none"/>
          <w:lang w:eastAsia="zh-CN"/>
        </w:rPr>
        <w:t>——抗震加固的承载力调整系数。</w:t>
      </w:r>
    </w:p>
    <w:p w14:paraId="51C95A3E">
      <w:pPr>
        <w:spacing w:line="36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rPr>
        <w:t>.1.10</w:t>
      </w:r>
      <w:r>
        <w:rPr>
          <w:rFonts w:hint="default" w:ascii="Times New Roman" w:hAnsi="Times New Roman" w:eastAsia="宋体" w:cs="Times New Roman"/>
          <w:color w:val="auto"/>
          <w:sz w:val="24"/>
          <w:szCs w:val="24"/>
          <w:highlight w:val="none"/>
        </w:rPr>
        <w:t xml:space="preserve"> 当既有的A类、B类底层框架砖房的层数和总高度超过现行国家标准《建筑抗震鉴定标准》GB 50023规定的层数和高度限值，但未超过现行国家标准《建筑抗震设计标准》GB/T 50011规定的层数和高度限值时，应提高其抗震承载力并采取增设外加构造柱等措施，使其达到现行国家标准《建筑抗震设计标准》GB/T 50011对其承载力与构造柱的相关要求。当其层数超过现行国家标准《建筑抗震设计标准》</w:t>
      </w:r>
      <w:bookmarkStart w:id="46" w:name="OLE_LINK57"/>
      <w:bookmarkStart w:id="47" w:name="OLE_LINK58"/>
      <w:r>
        <w:rPr>
          <w:rFonts w:hint="default" w:ascii="Times New Roman" w:hAnsi="Times New Roman" w:eastAsia="宋体" w:cs="Times New Roman"/>
          <w:color w:val="auto"/>
          <w:sz w:val="24"/>
          <w:szCs w:val="24"/>
          <w:highlight w:val="none"/>
        </w:rPr>
        <w:t>GB/T</w:t>
      </w:r>
      <w:bookmarkEnd w:id="46"/>
      <w:bookmarkEnd w:id="47"/>
      <w:r>
        <w:rPr>
          <w:rFonts w:hint="default" w:ascii="Times New Roman" w:hAnsi="Times New Roman" w:eastAsia="宋体" w:cs="Times New Roman"/>
          <w:color w:val="auto"/>
          <w:sz w:val="24"/>
          <w:szCs w:val="24"/>
          <w:highlight w:val="none"/>
        </w:rPr>
        <w:t xml:space="preserve"> 50011的层数时，应改变结构体系或减少层数。</w:t>
      </w:r>
    </w:p>
    <w:p w14:paraId="4B0CC550">
      <w:pPr>
        <w:spacing w:line="36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rPr>
        <w:t>.1.11</w:t>
      </w:r>
      <w:r>
        <w:rPr>
          <w:rFonts w:hint="default" w:ascii="Times New Roman" w:hAnsi="Times New Roman" w:eastAsia="宋体" w:cs="Times New Roman"/>
          <w:color w:val="auto"/>
          <w:sz w:val="24"/>
          <w:szCs w:val="24"/>
          <w:highlight w:val="none"/>
        </w:rPr>
        <w:t xml:space="preserve"> 底层框架砖房上部各层砌体部分的加固，应符合砌体结构房屋加固的有关要求，其上部各层按多层砌体结构房屋的有关规定进行加固的竖向构件需延续到底层。底层加固时，应计入上部各层加固对底部的影响；框架梁柱的加固，应符合本规程多层及高层钢筋混凝土房屋加固的有关规定。</w:t>
      </w:r>
    </w:p>
    <w:p w14:paraId="3DF55953">
      <w:pPr>
        <w:pStyle w:val="3"/>
        <w:bidi w:val="0"/>
        <w:rPr>
          <w:rFonts w:hint="default"/>
          <w:lang w:val="en-US" w:eastAsia="zh-CN"/>
        </w:rPr>
      </w:pPr>
      <w:bookmarkStart w:id="48" w:name="_Toc17579"/>
      <w:bookmarkStart w:id="49" w:name="_Toc16301"/>
      <w:bookmarkStart w:id="50" w:name="_Toc26300"/>
      <w:bookmarkStart w:id="51" w:name="OLE_LINK14"/>
      <w:bookmarkStart w:id="52" w:name="OLE_LINK2"/>
      <w:r>
        <w:rPr>
          <w:rFonts w:hint="default"/>
          <w:lang w:val="en-US" w:eastAsia="zh-CN"/>
        </w:rPr>
        <w:t>6</w:t>
      </w:r>
      <w:r>
        <w:rPr>
          <w:rFonts w:hint="default"/>
        </w:rPr>
        <w:t>.2 抗震加固</w:t>
      </w:r>
      <w:bookmarkEnd w:id="48"/>
      <w:bookmarkEnd w:id="49"/>
      <w:r>
        <w:rPr>
          <w:rFonts w:hint="default"/>
          <w:lang w:val="en-US" w:eastAsia="zh-CN"/>
        </w:rPr>
        <w:t>方法</w:t>
      </w:r>
      <w:bookmarkEnd w:id="50"/>
    </w:p>
    <w:p w14:paraId="0AA885AE">
      <w:pPr>
        <w:spacing w:line="36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rPr>
        <w:t>.2.1</w:t>
      </w:r>
      <w:r>
        <w:rPr>
          <w:rFonts w:hint="default" w:ascii="Times New Roman" w:hAnsi="Times New Roman" w:eastAsia="宋体" w:cs="Times New Roman"/>
          <w:color w:val="auto"/>
          <w:sz w:val="24"/>
          <w:szCs w:val="24"/>
          <w:highlight w:val="none"/>
        </w:rPr>
        <w:t xml:space="preserve"> 当既有多层砌体结构房屋的高度和层数超过规定限值时，可采取下列抗震加固方法：</w:t>
      </w:r>
    </w:p>
    <w:p w14:paraId="3FEFA385">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1</w:t>
      </w:r>
      <w:r>
        <w:rPr>
          <w:rFonts w:hint="default" w:ascii="Times New Roman" w:hAnsi="Times New Roman" w:eastAsia="宋体" w:cs="Times New Roman"/>
          <w:color w:val="auto"/>
          <w:sz w:val="24"/>
          <w:szCs w:val="24"/>
          <w:highlight w:val="none"/>
          <w:lang w:eastAsia="zh-CN"/>
        </w:rPr>
        <w:t xml:space="preserve"> 当既有多层砌体结构房屋总高度超过规定的高度而层数不超过规定的限值时，应采取高于一般房屋的承载力且加强墙体约束的有效措施。</w:t>
      </w:r>
    </w:p>
    <w:p w14:paraId="144C518C">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2</w:t>
      </w:r>
      <w:r>
        <w:rPr>
          <w:rFonts w:hint="default" w:ascii="Times New Roman" w:hAnsi="Times New Roman" w:eastAsia="宋体" w:cs="Times New Roman"/>
          <w:color w:val="auto"/>
          <w:sz w:val="24"/>
          <w:szCs w:val="24"/>
          <w:highlight w:val="none"/>
          <w:lang w:eastAsia="zh-CN"/>
        </w:rPr>
        <w:t xml:space="preserve"> 当既有多层砌体结构房屋的层数超过规定限值时，应改变结构体系或减少层数；乙类设防的房屋，也可改变用途按丙类设防房屋使用，并满足丙类设防房屋的层数限值要求；当采用改变结构体系的方案时，应在两个主轴方向均匀增设一定数量的钢筋混凝土抗震墙，新增的混凝土墙应计入竖向压应力滞后的影响并宜承担结构的全部地震作用。</w:t>
      </w:r>
    </w:p>
    <w:p w14:paraId="42108902">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3</w:t>
      </w:r>
      <w:r>
        <w:rPr>
          <w:rFonts w:hint="default" w:ascii="Times New Roman" w:hAnsi="Times New Roman" w:eastAsia="宋体" w:cs="Times New Roman"/>
          <w:color w:val="auto"/>
          <w:sz w:val="24"/>
          <w:szCs w:val="24"/>
          <w:highlight w:val="none"/>
          <w:lang w:eastAsia="zh-CN"/>
        </w:rPr>
        <w:t xml:space="preserve"> 当丙类设防且横墙较少的多层砌体结构房屋超出规定限值1层和3m以内时，应提高墙体承载力且新增构造柱、圈梁等应达到现行国家标准《建筑抗震设计标准》GB/T 50011对横墙较少房屋不减少层数和高度的相关要求。</w:t>
      </w:r>
    </w:p>
    <w:p w14:paraId="06F23849">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4</w:t>
      </w:r>
      <w:r>
        <w:rPr>
          <w:rFonts w:hint="default" w:ascii="Times New Roman" w:hAnsi="Times New Roman" w:eastAsia="宋体" w:cs="Times New Roman"/>
          <w:color w:val="auto"/>
          <w:sz w:val="24"/>
          <w:szCs w:val="24"/>
          <w:highlight w:val="none"/>
          <w:lang w:eastAsia="zh-CN"/>
        </w:rPr>
        <w:t xml:space="preserve"> 多层砌体结构房屋的总高度、层数或高宽比超过设防烈度的规定限值，但未超过比设防烈度低一度的规定限值时，可采取隔震加固措施。</w:t>
      </w:r>
    </w:p>
    <w:p w14:paraId="1605A01D">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5</w:t>
      </w:r>
      <w:r>
        <w:rPr>
          <w:rFonts w:hint="default" w:ascii="Times New Roman" w:hAnsi="Times New Roman" w:eastAsia="宋体" w:cs="Times New Roman"/>
          <w:color w:val="auto"/>
          <w:sz w:val="24"/>
          <w:szCs w:val="24"/>
          <w:highlight w:val="none"/>
          <w:lang w:eastAsia="zh-CN"/>
        </w:rPr>
        <w:t xml:space="preserve"> 多层砌体结构房屋的总高度或层数超过《建筑抗震鉴定标准》GB 50023规定的抗震横墙较少或很少的房屋的总高度或层数时，可增设抗震横墙减小横墙间距。</w:t>
      </w:r>
    </w:p>
    <w:p w14:paraId="544FD455">
      <w:pPr>
        <w:pStyle w:val="12"/>
        <w:ind w:firstLine="422"/>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 xml:space="preserve">6 </w:t>
      </w:r>
      <w:r>
        <w:rPr>
          <w:rFonts w:hint="default" w:ascii="Times New Roman" w:hAnsi="Times New Roman" w:eastAsia="宋体" w:cs="Times New Roman"/>
          <w:color w:val="auto"/>
          <w:sz w:val="24"/>
          <w:szCs w:val="24"/>
          <w:highlight w:val="none"/>
          <w:lang w:eastAsia="zh-CN"/>
        </w:rPr>
        <w:t>多层砌体结构房屋</w:t>
      </w:r>
      <w:r>
        <w:rPr>
          <w:rFonts w:hint="default" w:ascii="Times New Roman" w:hAnsi="Times New Roman" w:eastAsia="宋体" w:cs="Times New Roman"/>
          <w:color w:val="auto"/>
          <w:sz w:val="24"/>
          <w:szCs w:val="24"/>
          <w:highlight w:val="none"/>
          <w:lang w:val="en-US" w:eastAsia="zh-CN"/>
        </w:rPr>
        <w:t>层数和高度不超过《既有建筑外套钢筋混凝土结构抗震加固技术规程》T/CECS 1622的相关规定时，可采用外套钢筋混凝土结构加固。</w:t>
      </w:r>
    </w:p>
    <w:bookmarkEnd w:id="51"/>
    <w:bookmarkEnd w:id="52"/>
    <w:p w14:paraId="39F92496">
      <w:pPr>
        <w:spacing w:line="360" w:lineRule="exact"/>
        <w:rPr>
          <w:rFonts w:hint="default" w:ascii="Times New Roman" w:hAnsi="Times New Roman" w:eastAsia="宋体" w:cs="Times New Roman"/>
          <w:bCs/>
          <w:color w:val="auto"/>
          <w:sz w:val="24"/>
          <w:szCs w:val="24"/>
          <w:highlight w:val="none"/>
        </w:rPr>
      </w:pPr>
      <w:bookmarkStart w:id="53" w:name="_Toc15348"/>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rPr>
        <w:t xml:space="preserve">.2.2 </w:t>
      </w:r>
      <w:r>
        <w:rPr>
          <w:rFonts w:hint="default" w:ascii="Times New Roman" w:hAnsi="Times New Roman" w:eastAsia="宋体" w:cs="Times New Roman"/>
          <w:bCs/>
          <w:color w:val="auto"/>
          <w:sz w:val="24"/>
          <w:szCs w:val="24"/>
          <w:highlight w:val="none"/>
        </w:rPr>
        <w:t>砌体房屋抗震承载力不满足要求时，可采用下列加固方法：</w:t>
      </w:r>
      <w:bookmarkEnd w:id="53"/>
    </w:p>
    <w:p w14:paraId="416063E4">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1</w:t>
      </w:r>
      <w:r>
        <w:rPr>
          <w:rFonts w:hint="default" w:ascii="Times New Roman" w:hAnsi="Times New Roman" w:eastAsia="宋体" w:cs="Times New Roman"/>
          <w:color w:val="auto"/>
          <w:sz w:val="24"/>
          <w:szCs w:val="24"/>
          <w:highlight w:val="none"/>
          <w:lang w:eastAsia="zh-CN"/>
        </w:rPr>
        <w:t xml:space="preserve"> 拆砌或增设抗震墙：对局部的强度过低或严重破坏的原墙体可采取拆除重砌的办法，重砌和增设抗震墙的结构材料宜采用与原结构相同的砖或砌块，也可采用现浇钢筋混凝土。</w:t>
      </w:r>
    </w:p>
    <w:p w14:paraId="54CC02C2">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2</w:t>
      </w:r>
      <w:r>
        <w:rPr>
          <w:rFonts w:hint="default" w:ascii="Times New Roman" w:hAnsi="Times New Roman" w:eastAsia="宋体" w:cs="Times New Roman"/>
          <w:color w:val="auto"/>
          <w:sz w:val="24"/>
          <w:szCs w:val="24"/>
          <w:highlight w:val="none"/>
          <w:lang w:eastAsia="zh-CN"/>
        </w:rPr>
        <w:t xml:space="preserve"> 修补和灌浆：对已开裂的墙体，可采用压力灌浆修补，对砌筑砂浆饱满度差且砌筑砂浆强度等级偏低的墙体，可用满墙灌浆加固。修补后墙体的刚度和抗震能力，可按原砌筑砂浆强度等级计算；满墙灌浆加固后的墙体，可按原砌筑砂浆强度等级提高一级计算。</w:t>
      </w:r>
    </w:p>
    <w:p w14:paraId="5DB1D251">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3</w:t>
      </w:r>
      <w:r>
        <w:rPr>
          <w:rFonts w:hint="default" w:ascii="Times New Roman" w:hAnsi="Times New Roman" w:eastAsia="宋体" w:cs="Times New Roman"/>
          <w:color w:val="auto"/>
          <w:sz w:val="24"/>
          <w:szCs w:val="24"/>
          <w:highlight w:val="none"/>
          <w:lang w:eastAsia="zh-CN"/>
        </w:rPr>
        <w:t xml:space="preserve"> 面层或板墙加固：在墙体的一侧或两侧采用水泥砂浆面层、钢筋网砂浆面层、钢绞线网-聚合物砂浆面层</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复合增强砂浆系统、纤维增强水泥基系统</w:t>
      </w:r>
      <w:r>
        <w:rPr>
          <w:rFonts w:hint="default" w:ascii="Times New Roman" w:hAnsi="Times New Roman" w:eastAsia="宋体" w:cs="Times New Roman"/>
          <w:color w:val="auto"/>
          <w:sz w:val="24"/>
          <w:szCs w:val="24"/>
          <w:highlight w:val="none"/>
          <w:lang w:eastAsia="zh-CN"/>
        </w:rPr>
        <w:t>或现浇钢筋混凝土板墙加固。</w:t>
      </w:r>
    </w:p>
    <w:p w14:paraId="1E612C89">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4</w:t>
      </w:r>
      <w:r>
        <w:rPr>
          <w:rFonts w:hint="default" w:ascii="Times New Roman" w:hAnsi="Times New Roman" w:eastAsia="宋体" w:cs="Times New Roman"/>
          <w:color w:val="auto"/>
          <w:sz w:val="24"/>
          <w:szCs w:val="24"/>
          <w:highlight w:val="none"/>
          <w:lang w:eastAsia="zh-CN"/>
        </w:rPr>
        <w:t xml:space="preserve"> 外加柱加固：在墙体交接处增设现浇钢筋混凝土构造柱加固，外加柱应与圈梁、拉杆连成整体，或与现浇钢筋混凝土楼、屋盖可靠连接。</w:t>
      </w:r>
    </w:p>
    <w:p w14:paraId="31A75CAF">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5</w:t>
      </w:r>
      <w:r>
        <w:rPr>
          <w:rFonts w:hint="default" w:ascii="Times New Roman" w:hAnsi="Times New Roman" w:eastAsia="宋体" w:cs="Times New Roman"/>
          <w:color w:val="auto"/>
          <w:sz w:val="24"/>
          <w:szCs w:val="24"/>
          <w:highlight w:val="none"/>
          <w:lang w:eastAsia="zh-CN"/>
        </w:rPr>
        <w:t xml:space="preserve"> 包角或镶边加固：在柱、墙角或门窗洞口边用型钢或钢筋混凝土包角或镶边；柱、墙垛还可用现浇钢筋混凝土套加固。</w:t>
      </w:r>
    </w:p>
    <w:p w14:paraId="525B2DC7">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6</w:t>
      </w:r>
      <w:r>
        <w:rPr>
          <w:rFonts w:hint="default" w:ascii="Times New Roman" w:hAnsi="Times New Roman" w:eastAsia="宋体" w:cs="Times New Roman"/>
          <w:color w:val="auto"/>
          <w:sz w:val="24"/>
          <w:szCs w:val="24"/>
          <w:highlight w:val="none"/>
          <w:lang w:eastAsia="zh-CN"/>
        </w:rPr>
        <w:t xml:space="preserve"> 支撑或支架加固：对刚度差的房屋，可增设型钢或钢筋混凝土支撑或支架加固。</w:t>
      </w:r>
    </w:p>
    <w:p w14:paraId="6750D9DC">
      <w:pPr>
        <w:pStyle w:val="12"/>
        <w:ind w:firstLine="422"/>
        <w:rPr>
          <w:rFonts w:hint="default" w:ascii="Times New Roman" w:hAnsi="Times New Roman" w:eastAsia="宋体" w:cs="Times New Roman"/>
          <w:color w:val="auto"/>
          <w:sz w:val="24"/>
          <w:szCs w:val="24"/>
          <w:highlight w:val="none"/>
          <w:lang w:eastAsia="zh-CN"/>
        </w:rPr>
      </w:pPr>
      <w:bookmarkStart w:id="54" w:name="_Toc13020"/>
      <w:r>
        <w:rPr>
          <w:rFonts w:hint="default" w:ascii="Times New Roman" w:hAnsi="Times New Roman" w:eastAsia="宋体" w:cs="Times New Roman"/>
          <w:b/>
          <w:bCs/>
          <w:color w:val="auto"/>
          <w:sz w:val="24"/>
          <w:szCs w:val="24"/>
          <w:highlight w:val="none"/>
          <w:lang w:eastAsia="zh-CN"/>
        </w:rPr>
        <w:t>7</w:t>
      </w:r>
      <w:r>
        <w:rPr>
          <w:rFonts w:hint="default" w:ascii="Times New Roman" w:hAnsi="Times New Roman" w:eastAsia="宋体" w:cs="Times New Roman"/>
          <w:color w:val="auto"/>
          <w:sz w:val="24"/>
          <w:szCs w:val="24"/>
          <w:highlight w:val="none"/>
          <w:lang w:eastAsia="zh-CN"/>
        </w:rPr>
        <w:t xml:space="preserve"> 隔震加固：在房屋基础设置隔震层，减小房屋的地震反应。</w:t>
      </w:r>
      <w:bookmarkEnd w:id="54"/>
    </w:p>
    <w:p w14:paraId="561E93A1">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8</w:t>
      </w:r>
      <w:r>
        <w:rPr>
          <w:rFonts w:hint="default" w:ascii="Times New Roman" w:hAnsi="Times New Roman" w:eastAsia="宋体" w:cs="Times New Roman"/>
          <w:color w:val="auto"/>
          <w:sz w:val="24"/>
          <w:szCs w:val="24"/>
          <w:highlight w:val="none"/>
          <w:lang w:eastAsia="zh-CN"/>
        </w:rPr>
        <w:t xml:space="preserve"> 高延性混凝土加固：在墙体喷射高延性混凝土进行加固。</w:t>
      </w:r>
    </w:p>
    <w:p w14:paraId="26506114">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 xml:space="preserve">9 </w:t>
      </w:r>
      <w:r>
        <w:rPr>
          <w:rFonts w:hint="default" w:ascii="Times New Roman" w:hAnsi="Times New Roman" w:eastAsia="宋体" w:cs="Times New Roman"/>
          <w:color w:val="auto"/>
          <w:sz w:val="24"/>
          <w:szCs w:val="24"/>
          <w:highlight w:val="none"/>
          <w:lang w:eastAsia="zh-CN"/>
        </w:rPr>
        <w:t>粘贴纤维复合材加固：对平面内受剪承载能力不满足要求或需平面内抗震加固的烧结普通砖墙片，可采用粘贴纤维复合材加固。</w:t>
      </w:r>
    </w:p>
    <w:p w14:paraId="29FDE656">
      <w:pPr>
        <w:spacing w:line="360" w:lineRule="exact"/>
        <w:rPr>
          <w:rFonts w:hint="default" w:ascii="Times New Roman" w:hAnsi="Times New Roman" w:eastAsia="宋体" w:cs="Times New Roman"/>
          <w:color w:val="auto"/>
          <w:sz w:val="24"/>
          <w:szCs w:val="24"/>
          <w:highlight w:val="none"/>
        </w:rPr>
      </w:pPr>
      <w:bookmarkStart w:id="55" w:name="_Toc4763"/>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rPr>
        <w:t xml:space="preserve">.2.3 </w:t>
      </w:r>
      <w:r>
        <w:rPr>
          <w:rFonts w:hint="default" w:ascii="Times New Roman" w:hAnsi="Times New Roman" w:eastAsia="宋体" w:cs="Times New Roman"/>
          <w:color w:val="auto"/>
          <w:sz w:val="24"/>
          <w:szCs w:val="24"/>
          <w:highlight w:val="none"/>
        </w:rPr>
        <w:t>砌体房屋的整体性不满足要求时，可采</w:t>
      </w:r>
      <w:r>
        <w:rPr>
          <w:rFonts w:hint="default" w:ascii="Times New Roman" w:hAnsi="Times New Roman" w:eastAsia="宋体" w:cs="Times New Roman"/>
          <w:color w:val="auto"/>
          <w:spacing w:val="-1"/>
          <w:sz w:val="24"/>
          <w:szCs w:val="24"/>
          <w:highlight w:val="none"/>
        </w:rPr>
        <w:t>用下列加固方法：</w:t>
      </w:r>
      <w:bookmarkEnd w:id="55"/>
    </w:p>
    <w:p w14:paraId="48D69B44">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1</w:t>
      </w:r>
      <w:r>
        <w:rPr>
          <w:rFonts w:hint="default" w:ascii="Times New Roman" w:hAnsi="Times New Roman" w:eastAsia="宋体" w:cs="Times New Roman"/>
          <w:bCs/>
          <w:color w:val="auto"/>
          <w:sz w:val="24"/>
          <w:szCs w:val="24"/>
          <w:highlight w:val="none"/>
          <w:lang w:eastAsia="zh-CN"/>
        </w:rPr>
        <w:t xml:space="preserve"> </w:t>
      </w:r>
      <w:r>
        <w:rPr>
          <w:rFonts w:hint="default" w:ascii="Times New Roman" w:hAnsi="Times New Roman" w:eastAsia="宋体" w:cs="Times New Roman"/>
          <w:color w:val="auto"/>
          <w:sz w:val="24"/>
          <w:szCs w:val="24"/>
          <w:highlight w:val="none"/>
          <w:lang w:eastAsia="zh-CN"/>
        </w:rPr>
        <w:t>当墙体布置在平面内不闭合时，可增设墙段或在开口处增设</w:t>
      </w:r>
      <w:r>
        <w:rPr>
          <w:rFonts w:hint="default" w:ascii="Times New Roman" w:hAnsi="Times New Roman" w:eastAsia="宋体" w:cs="Times New Roman"/>
          <w:color w:val="auto"/>
          <w:spacing w:val="-4"/>
          <w:sz w:val="24"/>
          <w:szCs w:val="24"/>
          <w:highlight w:val="none"/>
          <w:lang w:eastAsia="zh-CN"/>
        </w:rPr>
        <w:t>现浇钢筋混凝</w:t>
      </w:r>
      <w:r>
        <w:rPr>
          <w:rFonts w:hint="default" w:ascii="Times New Roman" w:hAnsi="Times New Roman" w:eastAsia="宋体" w:cs="Times New Roman"/>
          <w:color w:val="auto"/>
          <w:spacing w:val="-2"/>
          <w:sz w:val="24"/>
          <w:szCs w:val="24"/>
          <w:highlight w:val="none"/>
          <w:lang w:eastAsia="zh-CN"/>
        </w:rPr>
        <w:t>土框形成闭合。</w:t>
      </w:r>
    </w:p>
    <w:p w14:paraId="2C98BF38">
      <w:pPr>
        <w:pStyle w:val="1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pacing w:val="-7"/>
          <w:sz w:val="24"/>
          <w:szCs w:val="24"/>
          <w:highlight w:val="none"/>
          <w:lang w:eastAsia="zh-CN"/>
        </w:rPr>
        <w:t>2</w:t>
      </w:r>
      <w:r>
        <w:rPr>
          <w:rFonts w:hint="default" w:ascii="Times New Roman" w:hAnsi="Times New Roman" w:eastAsia="宋体" w:cs="Times New Roman"/>
          <w:bCs/>
          <w:color w:val="auto"/>
          <w:spacing w:val="-7"/>
          <w:sz w:val="24"/>
          <w:szCs w:val="24"/>
          <w:highlight w:val="none"/>
          <w:lang w:eastAsia="zh-CN"/>
        </w:rPr>
        <w:t xml:space="preserve"> </w:t>
      </w:r>
      <w:r>
        <w:rPr>
          <w:rFonts w:hint="default" w:ascii="Times New Roman" w:hAnsi="Times New Roman" w:eastAsia="宋体" w:cs="Times New Roman"/>
          <w:color w:val="auto"/>
          <w:spacing w:val="-7"/>
          <w:sz w:val="24"/>
          <w:szCs w:val="24"/>
          <w:highlight w:val="none"/>
          <w:lang w:eastAsia="zh-CN"/>
        </w:rPr>
        <w:t>当纵横墙连接较差时，可采用钢拉杆、长锚杆、外加柱</w:t>
      </w:r>
      <w:r>
        <w:rPr>
          <w:rFonts w:hint="default" w:ascii="Times New Roman" w:hAnsi="Times New Roman" w:eastAsia="宋体" w:cs="Times New Roman"/>
          <w:color w:val="auto"/>
          <w:spacing w:val="-8"/>
          <w:sz w:val="24"/>
          <w:szCs w:val="24"/>
          <w:highlight w:val="none"/>
          <w:lang w:eastAsia="zh-CN"/>
        </w:rPr>
        <w:t>或外加圈梁等方法加固。</w:t>
      </w:r>
    </w:p>
    <w:p w14:paraId="59673289">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3</w:t>
      </w:r>
      <w:r>
        <w:rPr>
          <w:rFonts w:hint="default" w:ascii="Times New Roman" w:hAnsi="Times New Roman" w:eastAsia="宋体" w:cs="Times New Roman"/>
          <w:bCs/>
          <w:color w:val="auto"/>
          <w:sz w:val="24"/>
          <w:szCs w:val="24"/>
          <w:highlight w:val="none"/>
          <w:lang w:eastAsia="zh-CN"/>
        </w:rPr>
        <w:t xml:space="preserve"> </w:t>
      </w:r>
      <w:r>
        <w:rPr>
          <w:rFonts w:hint="default" w:ascii="Times New Roman" w:hAnsi="Times New Roman" w:eastAsia="宋体" w:cs="Times New Roman"/>
          <w:color w:val="auto"/>
          <w:sz w:val="24"/>
          <w:szCs w:val="24"/>
          <w:highlight w:val="none"/>
          <w:lang w:eastAsia="zh-CN"/>
        </w:rPr>
        <w:t>楼、屋盖构件支承长度不满足要求时，可增设托梁或采取增强楼、屋盖整</w:t>
      </w:r>
      <w:r>
        <w:rPr>
          <w:rFonts w:hint="default" w:ascii="Times New Roman" w:hAnsi="Times New Roman" w:eastAsia="宋体" w:cs="Times New Roman"/>
          <w:color w:val="auto"/>
          <w:spacing w:val="-1"/>
          <w:sz w:val="24"/>
          <w:szCs w:val="24"/>
          <w:highlight w:val="none"/>
          <w:lang w:eastAsia="zh-CN"/>
        </w:rPr>
        <w:t>体性等措施；对腐蚀变质的构件应更换；对</w:t>
      </w:r>
      <w:r>
        <w:rPr>
          <w:rFonts w:hint="default" w:ascii="Times New Roman" w:hAnsi="Times New Roman" w:eastAsia="宋体" w:cs="Times New Roman"/>
          <w:color w:val="auto"/>
          <w:spacing w:val="-2"/>
          <w:sz w:val="24"/>
          <w:szCs w:val="24"/>
          <w:highlight w:val="none"/>
          <w:lang w:eastAsia="zh-CN"/>
        </w:rPr>
        <w:t>无下弦的人字形屋架应增设下弦拉杆。</w:t>
      </w:r>
    </w:p>
    <w:p w14:paraId="0EBE07A5">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4</w:t>
      </w:r>
      <w:r>
        <w:rPr>
          <w:rFonts w:hint="default" w:ascii="Times New Roman" w:hAnsi="Times New Roman" w:eastAsia="宋体" w:cs="Times New Roman"/>
          <w:bCs/>
          <w:color w:val="auto"/>
          <w:sz w:val="24"/>
          <w:szCs w:val="24"/>
          <w:highlight w:val="none"/>
          <w:lang w:eastAsia="zh-CN"/>
        </w:rPr>
        <w:t xml:space="preserve"> </w:t>
      </w:r>
      <w:r>
        <w:rPr>
          <w:rFonts w:hint="default" w:ascii="Times New Roman" w:hAnsi="Times New Roman" w:eastAsia="宋体" w:cs="Times New Roman"/>
          <w:color w:val="auto"/>
          <w:sz w:val="24"/>
          <w:szCs w:val="24"/>
          <w:highlight w:val="none"/>
          <w:lang w:eastAsia="zh-CN"/>
        </w:rPr>
        <w:t>当构造柱或芯柱设置不符合抗震鉴定要求时，应增设外加柱；当墙体采用双面钢筋网砂浆面层或钢筋混凝土板墙加固，且在墙体交接处增设相互可靠拉结的配</w:t>
      </w:r>
      <w:r>
        <w:rPr>
          <w:rFonts w:hint="default" w:ascii="Times New Roman" w:hAnsi="Times New Roman" w:eastAsia="宋体" w:cs="Times New Roman"/>
          <w:color w:val="auto"/>
          <w:spacing w:val="-1"/>
          <w:sz w:val="24"/>
          <w:szCs w:val="24"/>
          <w:highlight w:val="none"/>
          <w:lang w:eastAsia="zh-CN"/>
        </w:rPr>
        <w:t>筋加强带时，可不另设构造柱。</w:t>
      </w:r>
    </w:p>
    <w:p w14:paraId="0DE4A925">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5</w:t>
      </w:r>
      <w:r>
        <w:rPr>
          <w:rFonts w:hint="default" w:ascii="Times New Roman" w:hAnsi="Times New Roman" w:eastAsia="宋体" w:cs="Times New Roman"/>
          <w:bCs/>
          <w:color w:val="auto"/>
          <w:sz w:val="24"/>
          <w:szCs w:val="24"/>
          <w:highlight w:val="none"/>
          <w:lang w:eastAsia="zh-CN"/>
        </w:rPr>
        <w:t xml:space="preserve"> </w:t>
      </w:r>
      <w:r>
        <w:rPr>
          <w:rFonts w:hint="default" w:ascii="Times New Roman" w:hAnsi="Times New Roman" w:eastAsia="宋体" w:cs="Times New Roman"/>
          <w:color w:val="auto"/>
          <w:sz w:val="24"/>
          <w:szCs w:val="24"/>
          <w:highlight w:val="none"/>
          <w:lang w:eastAsia="zh-CN"/>
        </w:rPr>
        <w:t>当圈梁设置不符合抗震鉴定要求时，应增设圈梁；外墙圈梁宜采用现浇钢筋混凝土，内墙圈梁可用钢拉杆或在进深梁端加锚杆代替；当采用双面钢筋网砂浆面层或钢筋混凝土板墙加固，且在上下两端增设配筋加强</w:t>
      </w:r>
      <w:r>
        <w:rPr>
          <w:rFonts w:hint="default" w:ascii="Times New Roman" w:hAnsi="Times New Roman" w:eastAsia="宋体" w:cs="Times New Roman"/>
          <w:color w:val="auto"/>
          <w:spacing w:val="-1"/>
          <w:sz w:val="24"/>
          <w:szCs w:val="24"/>
          <w:highlight w:val="none"/>
          <w:lang w:eastAsia="zh-CN"/>
        </w:rPr>
        <w:t>带时，可不另设圈梁。</w:t>
      </w:r>
    </w:p>
    <w:p w14:paraId="7AAAC47A">
      <w:pPr>
        <w:pStyle w:val="12"/>
        <w:ind w:firstLine="422"/>
        <w:rPr>
          <w:rFonts w:hint="default" w:ascii="Times New Roman" w:hAnsi="Times New Roman" w:eastAsia="宋体" w:cs="Times New Roman"/>
          <w:color w:val="auto"/>
          <w:spacing w:val="-2"/>
          <w:sz w:val="24"/>
          <w:szCs w:val="24"/>
          <w:highlight w:val="none"/>
          <w:lang w:eastAsia="zh-CN"/>
        </w:rPr>
      </w:pPr>
      <w:r>
        <w:rPr>
          <w:rFonts w:hint="default" w:ascii="Times New Roman" w:hAnsi="Times New Roman" w:eastAsia="宋体" w:cs="Times New Roman"/>
          <w:b/>
          <w:bCs/>
          <w:color w:val="auto"/>
          <w:sz w:val="24"/>
          <w:szCs w:val="24"/>
          <w:highlight w:val="none"/>
          <w:lang w:eastAsia="zh-CN"/>
        </w:rPr>
        <w:t>6</w:t>
      </w:r>
      <w:r>
        <w:rPr>
          <w:rFonts w:hint="default" w:ascii="Times New Roman" w:hAnsi="Times New Roman" w:eastAsia="宋体" w:cs="Times New Roman"/>
          <w:bCs/>
          <w:color w:val="auto"/>
          <w:sz w:val="24"/>
          <w:szCs w:val="24"/>
          <w:highlight w:val="none"/>
          <w:lang w:eastAsia="zh-CN"/>
        </w:rPr>
        <w:t xml:space="preserve"> </w:t>
      </w:r>
      <w:r>
        <w:rPr>
          <w:rFonts w:hint="default" w:ascii="Times New Roman" w:hAnsi="Times New Roman" w:eastAsia="宋体" w:cs="Times New Roman"/>
          <w:color w:val="auto"/>
          <w:sz w:val="24"/>
          <w:szCs w:val="24"/>
          <w:highlight w:val="none"/>
          <w:lang w:eastAsia="zh-CN"/>
        </w:rPr>
        <w:t>当预制楼、屋盖不满足抗震鉴定要求时，可增设钢筋混凝土现浇层或增设</w:t>
      </w:r>
      <w:r>
        <w:rPr>
          <w:rFonts w:hint="default" w:ascii="Times New Roman" w:hAnsi="Times New Roman" w:eastAsia="宋体" w:cs="Times New Roman"/>
          <w:color w:val="auto"/>
          <w:spacing w:val="-2"/>
          <w:sz w:val="24"/>
          <w:szCs w:val="24"/>
          <w:highlight w:val="none"/>
          <w:lang w:eastAsia="zh-CN"/>
        </w:rPr>
        <w:t>托梁加固楼、屋盖，钢筋混凝土现浇层的厚度不应小于40mm，钢筋的直径不应小于6mm，其间距不应大于300mm；尚应采取措施加强现浇层与原有楼板、墙体的连接。</w:t>
      </w:r>
    </w:p>
    <w:p w14:paraId="7C6FBEC4">
      <w:pPr>
        <w:spacing w:line="36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rPr>
        <w:t>.2.4</w:t>
      </w:r>
      <w:r>
        <w:rPr>
          <w:rFonts w:hint="default" w:ascii="Times New Roman" w:hAnsi="Times New Roman" w:eastAsia="宋体" w:cs="Times New Roman"/>
          <w:color w:val="auto"/>
          <w:sz w:val="24"/>
          <w:szCs w:val="24"/>
          <w:highlight w:val="none"/>
        </w:rPr>
        <w:t xml:space="preserve"> 当具有明显扭转效应的多层砌体结构房屋抗震能力不满足要求时，可优先在薄弱部位增砌砖墙、现浇钢筋混凝土墙，或采取在原墙加面层的措施；也可采取分割平面单元，减少扭转效应的措施。</w:t>
      </w:r>
    </w:p>
    <w:p w14:paraId="49510430">
      <w:pPr>
        <w:spacing w:line="36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rPr>
        <w:t xml:space="preserve">.2.5 </w:t>
      </w:r>
      <w:r>
        <w:rPr>
          <w:rFonts w:hint="default" w:ascii="Times New Roman" w:hAnsi="Times New Roman" w:eastAsia="宋体" w:cs="Times New Roman"/>
          <w:color w:val="auto"/>
          <w:sz w:val="24"/>
          <w:szCs w:val="24"/>
          <w:highlight w:val="none"/>
        </w:rPr>
        <w:t>底层框架砖房的底层结构体系、抗震承载力和抗震措施</w:t>
      </w:r>
      <w:r>
        <w:rPr>
          <w:rFonts w:hint="default" w:ascii="Times New Roman" w:hAnsi="Times New Roman" w:eastAsia="宋体" w:cs="Times New Roman"/>
          <w:color w:val="auto"/>
          <w:spacing w:val="-1"/>
          <w:sz w:val="24"/>
          <w:szCs w:val="24"/>
          <w:highlight w:val="none"/>
        </w:rPr>
        <w:t>不满足要求时，可选择下列加固方法：</w:t>
      </w:r>
    </w:p>
    <w:p w14:paraId="59480846">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 xml:space="preserve">1 </w:t>
      </w:r>
      <w:r>
        <w:rPr>
          <w:rFonts w:hint="default" w:ascii="Times New Roman" w:hAnsi="Times New Roman" w:eastAsia="宋体" w:cs="Times New Roman"/>
          <w:color w:val="auto"/>
          <w:sz w:val="24"/>
          <w:szCs w:val="24"/>
          <w:highlight w:val="none"/>
          <w:lang w:eastAsia="zh-CN"/>
        </w:rPr>
        <w:t>横墙间距满足鉴定要求而抗震承载力不满足要求时，宜对原有墙体采用钢筋网砂浆面层、钢绞线网-聚合物砂浆面层、喷射高延性混凝土或板墙等加固，也可增设抗震墙加固。</w:t>
      </w:r>
    </w:p>
    <w:p w14:paraId="234B953A">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color w:val="auto"/>
          <w:sz w:val="24"/>
          <w:szCs w:val="24"/>
          <w:highlight w:val="none"/>
          <w:lang w:eastAsia="zh-CN"/>
        </w:rPr>
        <w:t>2</w:t>
      </w:r>
      <w:r>
        <w:rPr>
          <w:rFonts w:hint="default" w:ascii="Times New Roman" w:hAnsi="Times New Roman" w:eastAsia="宋体" w:cs="Times New Roman"/>
          <w:color w:val="auto"/>
          <w:sz w:val="24"/>
          <w:szCs w:val="24"/>
          <w:highlight w:val="none"/>
          <w:lang w:eastAsia="zh-CN"/>
        </w:rPr>
        <w:t xml:space="preserve"> 横墙间距超过规定值时，宜在横墙间距内增设抗震墙加固；或对原有墙体采用板墙加固且同时增强楼盖的整体性和加固钢筋混凝土框架、砖柱混合框架；也可在砌体房屋外增设抗侧力结构减小横墙间距。</w:t>
      </w:r>
    </w:p>
    <w:p w14:paraId="070BD518">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color w:val="auto"/>
          <w:sz w:val="24"/>
          <w:szCs w:val="24"/>
          <w:highlight w:val="none"/>
          <w:lang w:eastAsia="zh-CN"/>
        </w:rPr>
        <w:t>3</w:t>
      </w:r>
      <w:r>
        <w:rPr>
          <w:rFonts w:hint="default" w:ascii="Times New Roman" w:hAnsi="Times New Roman" w:eastAsia="宋体" w:cs="Times New Roman"/>
          <w:color w:val="auto"/>
          <w:sz w:val="24"/>
          <w:szCs w:val="24"/>
          <w:highlight w:val="none"/>
          <w:lang w:eastAsia="zh-CN"/>
        </w:rPr>
        <w:t xml:space="preserve"> 钢筋混凝土柱配筋不满足要求时，可采用增设钢构套、现浇钢筋混凝土套、粘贴纤维布、钢绞线网片-聚合物砂浆面层等方法加固；也可增设抗震墙或钢支撑减少柱承担的地震作用。</w:t>
      </w:r>
    </w:p>
    <w:p w14:paraId="7722CAB1">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color w:val="auto"/>
          <w:sz w:val="24"/>
          <w:szCs w:val="24"/>
          <w:highlight w:val="none"/>
          <w:lang w:eastAsia="zh-CN"/>
        </w:rPr>
        <w:t>4</w:t>
      </w:r>
      <w:r>
        <w:rPr>
          <w:rFonts w:hint="default" w:ascii="Times New Roman" w:hAnsi="Times New Roman" w:eastAsia="宋体" w:cs="Times New Roman"/>
          <w:color w:val="auto"/>
          <w:sz w:val="24"/>
          <w:szCs w:val="24"/>
          <w:highlight w:val="none"/>
          <w:lang w:eastAsia="zh-CN"/>
        </w:rPr>
        <w:t xml:space="preserve"> 房屋的框架柱轴压比不满足要求时，可增设钢筋混凝土套加固或按国家标准《建筑抗震设计标准》GB/T 50011的相关规定增设约束箍筋提高体积配箍率。</w:t>
      </w:r>
    </w:p>
    <w:p w14:paraId="4C7582CB">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color w:val="auto"/>
          <w:sz w:val="24"/>
          <w:szCs w:val="24"/>
          <w:highlight w:val="none"/>
          <w:lang w:eastAsia="zh-CN"/>
        </w:rPr>
        <w:t>5</w:t>
      </w:r>
      <w:r>
        <w:rPr>
          <w:rFonts w:hint="default" w:ascii="Times New Roman" w:hAnsi="Times New Roman" w:eastAsia="宋体" w:cs="Times New Roman"/>
          <w:color w:val="auto"/>
          <w:sz w:val="24"/>
          <w:szCs w:val="24"/>
          <w:highlight w:val="none"/>
          <w:lang w:eastAsia="zh-CN"/>
        </w:rPr>
        <w:t xml:space="preserve"> 外墙的砖柱（墙垛）承载力不满足要求时，可采用钢筋混凝土外壁柱或内、外壁柱加固；也可增设抗震墙以减少砖柱（墙垛）承担的地震作用。</w:t>
      </w:r>
    </w:p>
    <w:p w14:paraId="1C55F142">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color w:val="auto"/>
          <w:sz w:val="24"/>
          <w:szCs w:val="24"/>
          <w:highlight w:val="none"/>
          <w:lang w:eastAsia="zh-CN"/>
        </w:rPr>
        <w:t>6</w:t>
      </w:r>
      <w:r>
        <w:rPr>
          <w:rFonts w:hint="default" w:ascii="Times New Roman" w:hAnsi="Times New Roman" w:eastAsia="宋体" w:cs="Times New Roman"/>
          <w:color w:val="auto"/>
          <w:sz w:val="24"/>
          <w:szCs w:val="24"/>
          <w:highlight w:val="none"/>
          <w:lang w:eastAsia="zh-CN"/>
        </w:rPr>
        <w:t xml:space="preserve"> 内框架房屋进行抗震加固时，应采用改变结构体系的加固方案，加固后的房屋应根据其新结构体系类别满足本规程的相应要求。</w:t>
      </w:r>
    </w:p>
    <w:p w14:paraId="3DAF693F">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color w:val="auto"/>
          <w:sz w:val="24"/>
          <w:szCs w:val="24"/>
          <w:highlight w:val="none"/>
          <w:lang w:eastAsia="zh-CN"/>
        </w:rPr>
        <w:t>7</w:t>
      </w:r>
      <w:r>
        <w:rPr>
          <w:rFonts w:hint="default" w:ascii="Times New Roman" w:hAnsi="Times New Roman" w:eastAsia="宋体" w:cs="Times New Roman"/>
          <w:color w:val="auto"/>
          <w:sz w:val="24"/>
          <w:szCs w:val="24"/>
          <w:highlight w:val="none"/>
          <w:lang w:eastAsia="zh-CN"/>
        </w:rPr>
        <w:t xml:space="preserve"> 房屋底层为单跨框架时，应增设框架柱形成双跨；当底层刚度较弱或有明显扭转效应时，可在底层增设钢筋混凝土抗震墙或翼墙加固；当过渡层刚度、承载力不满足鉴定要求时，可对过渡层的原有墙体采用钢筋网砂浆面层、钢绞线网-聚合物砂浆面层加固或采用钢筋混凝土墙替换底部为钢筋混凝土墙的部分砌体墙等方法加固。</w:t>
      </w:r>
    </w:p>
    <w:p w14:paraId="47B93837">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color w:val="auto"/>
          <w:sz w:val="24"/>
          <w:szCs w:val="24"/>
          <w:highlight w:val="none"/>
          <w:lang w:eastAsia="zh-CN"/>
        </w:rPr>
        <w:t>8</w:t>
      </w:r>
      <w:r>
        <w:rPr>
          <w:rFonts w:hint="default" w:ascii="Times New Roman" w:hAnsi="Times New Roman" w:eastAsia="宋体" w:cs="Times New Roman"/>
          <w:color w:val="auto"/>
          <w:sz w:val="24"/>
          <w:szCs w:val="24"/>
          <w:highlight w:val="none"/>
          <w:lang w:eastAsia="zh-CN"/>
        </w:rPr>
        <w:t xml:space="preserve"> 房屋底层与相邻上层刚度比不满足要求时，宜在底层增设钢筋混凝土抗震墙或钢支撑加固，也可采用消能减震方法进行加固。</w:t>
      </w:r>
    </w:p>
    <w:p w14:paraId="61F594FC">
      <w:pPr>
        <w:spacing w:line="360" w:lineRule="exact"/>
        <w:rPr>
          <w:rFonts w:hint="default" w:ascii="Times New Roman" w:hAnsi="Times New Roman" w:eastAsia="宋体" w:cs="Times New Roman"/>
          <w:color w:val="auto"/>
          <w:sz w:val="24"/>
          <w:szCs w:val="24"/>
          <w:highlight w:val="none"/>
        </w:rPr>
      </w:pPr>
      <w:bookmarkStart w:id="56" w:name="_Toc20204"/>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rPr>
        <w:t xml:space="preserve">.2.6 </w:t>
      </w:r>
      <w:r>
        <w:rPr>
          <w:rFonts w:hint="default" w:ascii="Times New Roman" w:hAnsi="Times New Roman" w:eastAsia="宋体" w:cs="Times New Roman"/>
          <w:color w:val="auto"/>
          <w:sz w:val="24"/>
          <w:szCs w:val="24"/>
          <w:highlight w:val="none"/>
        </w:rPr>
        <w:t>底层框架砌体房屋整体性不满足要求时，应选</w:t>
      </w:r>
      <w:r>
        <w:rPr>
          <w:rFonts w:hint="default" w:ascii="Times New Roman" w:hAnsi="Times New Roman" w:eastAsia="宋体" w:cs="Times New Roman"/>
          <w:color w:val="auto"/>
          <w:spacing w:val="-1"/>
          <w:sz w:val="24"/>
          <w:szCs w:val="24"/>
          <w:highlight w:val="none"/>
        </w:rPr>
        <w:t>择下列加固方法：</w:t>
      </w:r>
      <w:bookmarkEnd w:id="56"/>
    </w:p>
    <w:p w14:paraId="3E541D8C">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color w:val="auto"/>
          <w:sz w:val="24"/>
          <w:szCs w:val="24"/>
          <w:highlight w:val="none"/>
          <w:lang w:eastAsia="zh-CN"/>
        </w:rPr>
        <w:t>1</w:t>
      </w:r>
      <w:r>
        <w:rPr>
          <w:rFonts w:hint="default" w:ascii="Times New Roman" w:hAnsi="Times New Roman" w:eastAsia="宋体" w:cs="Times New Roman"/>
          <w:color w:val="auto"/>
          <w:sz w:val="24"/>
          <w:szCs w:val="24"/>
          <w:highlight w:val="none"/>
          <w:lang w:eastAsia="zh-CN"/>
        </w:rPr>
        <w:t xml:space="preserve"> 房屋的底层楼盖为装配式混凝土楼板时，可增设钢筋混凝土现浇层加固。</w:t>
      </w:r>
    </w:p>
    <w:p w14:paraId="186040E7">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color w:val="auto"/>
          <w:sz w:val="24"/>
          <w:szCs w:val="24"/>
          <w:highlight w:val="none"/>
          <w:lang w:eastAsia="zh-CN"/>
        </w:rPr>
        <w:t>2</w:t>
      </w:r>
      <w:r>
        <w:rPr>
          <w:rFonts w:hint="default" w:ascii="Times New Roman" w:hAnsi="Times New Roman" w:eastAsia="宋体" w:cs="Times New Roman"/>
          <w:color w:val="auto"/>
          <w:sz w:val="24"/>
          <w:szCs w:val="24"/>
          <w:highlight w:val="none"/>
          <w:lang w:eastAsia="zh-CN"/>
        </w:rPr>
        <w:t xml:space="preserve"> 圈梁布置不符合鉴定要求时，应增设圈梁；外墙圈梁宜采用现浇钢筋混凝土，内墙圈梁可用钢拉杆或在进深梁端加锚杆代替；当墙体采用双面钢筋网砂浆面层或板墙进行加固且在上下两端增设配筋加强带时，可不另设圈梁。</w:t>
      </w:r>
    </w:p>
    <w:p w14:paraId="616B4201">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color w:val="auto"/>
          <w:sz w:val="24"/>
          <w:szCs w:val="24"/>
          <w:highlight w:val="none"/>
          <w:lang w:eastAsia="zh-CN"/>
        </w:rPr>
        <w:t>3</w:t>
      </w:r>
      <w:r>
        <w:rPr>
          <w:rFonts w:hint="default" w:ascii="Times New Roman" w:hAnsi="Times New Roman" w:eastAsia="宋体" w:cs="Times New Roman"/>
          <w:color w:val="auto"/>
          <w:sz w:val="24"/>
          <w:szCs w:val="24"/>
          <w:highlight w:val="none"/>
          <w:lang w:eastAsia="zh-CN"/>
        </w:rPr>
        <w:t xml:space="preserve"> 当构造柱设置不符合鉴定要求时，应增设外加柱；当墙体采用双面钢筋网砂浆面层或板墙进行加固且在对应位置增设相互可靠拉结的配筋加强带时，可不另设外加柱。</w:t>
      </w:r>
    </w:p>
    <w:p w14:paraId="28045C8F">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color w:val="auto"/>
          <w:sz w:val="24"/>
          <w:szCs w:val="24"/>
          <w:highlight w:val="none"/>
          <w:lang w:eastAsia="zh-CN"/>
        </w:rPr>
        <w:t>4</w:t>
      </w:r>
      <w:r>
        <w:rPr>
          <w:rFonts w:hint="default" w:ascii="Times New Roman" w:hAnsi="Times New Roman" w:eastAsia="宋体" w:cs="Times New Roman"/>
          <w:color w:val="auto"/>
          <w:sz w:val="24"/>
          <w:szCs w:val="24"/>
          <w:highlight w:val="none"/>
          <w:lang w:eastAsia="zh-CN"/>
        </w:rPr>
        <w:t xml:space="preserve"> 外墙四角或内、外墙交接处的连接不符合鉴定要求时，可增设钢筋混凝土外加柱加固。</w:t>
      </w:r>
    </w:p>
    <w:p w14:paraId="4D6CC132">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color w:val="auto"/>
          <w:sz w:val="24"/>
          <w:szCs w:val="24"/>
          <w:highlight w:val="none"/>
          <w:lang w:eastAsia="zh-CN"/>
        </w:rPr>
        <w:t>5</w:t>
      </w:r>
      <w:r>
        <w:rPr>
          <w:rFonts w:hint="default" w:ascii="Times New Roman" w:hAnsi="Times New Roman" w:eastAsia="宋体" w:cs="Times New Roman"/>
          <w:color w:val="auto"/>
          <w:sz w:val="24"/>
          <w:szCs w:val="24"/>
          <w:highlight w:val="none"/>
          <w:lang w:eastAsia="zh-CN"/>
        </w:rPr>
        <w:t xml:space="preserve"> 楼、屋盖构件的支承长度不满足要求时，可增设托梁或采取增强楼、屋盖整体性的措施。</w:t>
      </w:r>
    </w:p>
    <w:p w14:paraId="04E00459">
      <w:pPr>
        <w:spacing w:line="360" w:lineRule="exact"/>
        <w:rPr>
          <w:rFonts w:hint="default" w:ascii="Times New Roman" w:hAnsi="Times New Roman" w:eastAsia="宋体" w:cs="Times New Roman"/>
          <w:b/>
          <w:bCs/>
          <w:color w:val="auto"/>
          <w:sz w:val="24"/>
          <w:szCs w:val="24"/>
          <w:highlight w:val="none"/>
        </w:rPr>
      </w:pPr>
      <w:bookmarkStart w:id="57" w:name="_Toc19579"/>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rPr>
        <w:t>.2.7</w:t>
      </w:r>
      <w:r>
        <w:rPr>
          <w:rFonts w:hint="default" w:ascii="Times New Roman" w:hAnsi="Times New Roman" w:eastAsia="宋体" w:cs="Times New Roman"/>
          <w:bCs/>
          <w:color w:val="auto"/>
          <w:sz w:val="24"/>
          <w:szCs w:val="24"/>
          <w:highlight w:val="none"/>
        </w:rPr>
        <w:t xml:space="preserve"> 对房屋中易倒塌的部位，可采用下列加固方法：</w:t>
      </w:r>
      <w:bookmarkEnd w:id="57"/>
    </w:p>
    <w:p w14:paraId="31AEAB93">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1</w:t>
      </w:r>
      <w:r>
        <w:rPr>
          <w:rFonts w:hint="default" w:ascii="Times New Roman" w:hAnsi="Times New Roman" w:eastAsia="宋体" w:cs="Times New Roman"/>
          <w:color w:val="auto"/>
          <w:sz w:val="24"/>
          <w:szCs w:val="24"/>
          <w:highlight w:val="none"/>
          <w:lang w:eastAsia="zh-CN"/>
        </w:rPr>
        <w:t xml:space="preserve"> 窗间墙宽度过小或抗震能力不满足要求时，可增设钢筋混凝土窗框或采用钢筋网砂浆面层、板墙等方法加固。</w:t>
      </w:r>
    </w:p>
    <w:p w14:paraId="41288FE6">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2</w:t>
      </w:r>
      <w:r>
        <w:rPr>
          <w:rFonts w:hint="default" w:ascii="Times New Roman" w:hAnsi="Times New Roman" w:eastAsia="宋体" w:cs="Times New Roman"/>
          <w:color w:val="auto"/>
          <w:sz w:val="24"/>
          <w:szCs w:val="24"/>
          <w:highlight w:val="none"/>
          <w:lang w:eastAsia="zh-CN"/>
        </w:rPr>
        <w:t xml:space="preserve"> 支承大梁等的墙段抗震能力不满足要求时，可增设组合柱、钢筋混凝土柱或采用钢筋网砂浆面层、板墙加固。</w:t>
      </w:r>
    </w:p>
    <w:p w14:paraId="11F268E7">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3</w:t>
      </w:r>
      <w:r>
        <w:rPr>
          <w:rFonts w:hint="default" w:ascii="Times New Roman" w:hAnsi="Times New Roman" w:eastAsia="宋体" w:cs="Times New Roman"/>
          <w:color w:val="auto"/>
          <w:sz w:val="24"/>
          <w:szCs w:val="24"/>
          <w:highlight w:val="none"/>
          <w:lang w:eastAsia="zh-CN"/>
        </w:rPr>
        <w:t xml:space="preserve"> 支承悬挑构件的墙体不符合抗震鉴定要求时，宜在悬挑构件根部增设钢筋混凝土柱或组合柱加固，并对悬挑构件进行复核。</w:t>
      </w:r>
    </w:p>
    <w:p w14:paraId="6C392604">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4</w:t>
      </w:r>
      <w:r>
        <w:rPr>
          <w:rFonts w:hint="default" w:ascii="Times New Roman" w:hAnsi="Times New Roman" w:eastAsia="宋体" w:cs="Times New Roman"/>
          <w:color w:val="auto"/>
          <w:sz w:val="24"/>
          <w:szCs w:val="24"/>
          <w:highlight w:val="none"/>
          <w:lang w:eastAsia="zh-CN"/>
        </w:rPr>
        <w:t xml:space="preserve"> 隔墙无拉结或拉结不牢，可采用镶边、埋设钢夹套、锚筋或钢拉杆加固；当隔墙过长、过高时，可采用钢筋网砂浆面层进行加固。</w:t>
      </w:r>
    </w:p>
    <w:p w14:paraId="5C375319">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5</w:t>
      </w:r>
      <w:r>
        <w:rPr>
          <w:rFonts w:hint="default" w:ascii="Times New Roman" w:hAnsi="Times New Roman" w:eastAsia="宋体" w:cs="Times New Roman"/>
          <w:color w:val="auto"/>
          <w:sz w:val="24"/>
          <w:szCs w:val="24"/>
          <w:highlight w:val="none"/>
          <w:lang w:eastAsia="zh-CN"/>
        </w:rPr>
        <w:t xml:space="preserve"> 出屋面的楼梯间、电梯间和水箱间不符合抗震鉴定要求时，可采用面层或外加柱加固，其上部应与屋盖构件有可靠连接，下部应与主体结构的加固措施相连。</w:t>
      </w:r>
    </w:p>
    <w:p w14:paraId="79083523">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6</w:t>
      </w:r>
      <w:r>
        <w:rPr>
          <w:rFonts w:hint="default" w:ascii="Times New Roman" w:hAnsi="Times New Roman" w:eastAsia="宋体" w:cs="Times New Roman"/>
          <w:color w:val="auto"/>
          <w:sz w:val="24"/>
          <w:szCs w:val="24"/>
          <w:highlight w:val="none"/>
          <w:lang w:eastAsia="zh-CN"/>
        </w:rPr>
        <w:t xml:space="preserve"> 出屋面的烟囱、无拉结女儿墙、门脸等超过规定的高度时，宜拆除、降低高度或采用型钢、钢拉杆加固。</w:t>
      </w:r>
    </w:p>
    <w:p w14:paraId="7067CA5A">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7</w:t>
      </w:r>
      <w:r>
        <w:rPr>
          <w:rFonts w:hint="default" w:ascii="Times New Roman" w:hAnsi="Times New Roman" w:eastAsia="宋体" w:cs="Times New Roman"/>
          <w:color w:val="auto"/>
          <w:sz w:val="24"/>
          <w:szCs w:val="24"/>
          <w:highlight w:val="none"/>
          <w:lang w:eastAsia="zh-CN"/>
        </w:rPr>
        <w:t xml:space="preserve"> 悬挑构件的锚固长度不满足要求时，可加拉杆、斜撑或采取减少悬挑长度的措施。</w:t>
      </w:r>
    </w:p>
    <w:p w14:paraId="51336A10">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8</w:t>
      </w:r>
      <w:r>
        <w:rPr>
          <w:rFonts w:hint="default" w:ascii="Times New Roman" w:hAnsi="Times New Roman" w:eastAsia="宋体" w:cs="Times New Roman"/>
          <w:color w:val="auto"/>
          <w:sz w:val="24"/>
          <w:szCs w:val="24"/>
          <w:highlight w:val="none"/>
          <w:lang w:eastAsia="zh-CN"/>
        </w:rPr>
        <w:t xml:space="preserve"> 楼梯间四周墙体抗震措施或承载力不满足时，宜采用双面夹板墙方法进行加固。</w:t>
      </w:r>
    </w:p>
    <w:p w14:paraId="15E51BA2">
      <w:pPr>
        <w:pStyle w:val="3"/>
        <w:bidi w:val="0"/>
        <w:rPr>
          <w:rFonts w:hint="default"/>
        </w:rPr>
      </w:pPr>
      <w:bookmarkStart w:id="58" w:name="_Toc9656"/>
      <w:bookmarkStart w:id="59" w:name="_Toc11449"/>
      <w:bookmarkStart w:id="60" w:name="_Toc32395"/>
      <w:r>
        <w:rPr>
          <w:rFonts w:hint="default"/>
          <w:lang w:val="en-US" w:eastAsia="zh-CN"/>
        </w:rPr>
        <w:t>6</w:t>
      </w:r>
      <w:r>
        <w:rPr>
          <w:rFonts w:hint="default"/>
        </w:rPr>
        <w:t>.3 抗震加固设计及施工</w:t>
      </w:r>
      <w:bookmarkEnd w:id="58"/>
      <w:bookmarkEnd w:id="59"/>
      <w:bookmarkEnd w:id="60"/>
    </w:p>
    <w:p w14:paraId="615C7A77">
      <w:pPr>
        <w:spacing w:before="120" w:after="120"/>
        <w:jc w:val="center"/>
        <w:rPr>
          <w:rFonts w:hint="default" w:ascii="Times New Roman" w:hAnsi="Times New Roman" w:eastAsia="宋体" w:cs="Times New Roman"/>
          <w:color w:val="auto"/>
          <w:sz w:val="24"/>
          <w:szCs w:val="24"/>
          <w:highlight w:val="none"/>
        </w:rPr>
      </w:pPr>
      <w:bookmarkStart w:id="61" w:name="_Toc28653"/>
      <w:r>
        <w:rPr>
          <w:rFonts w:hint="default" w:ascii="Times New Roman" w:hAnsi="Times New Roman" w:eastAsia="宋体" w:cs="Times New Roman"/>
          <w:b/>
          <w:bCs/>
          <w:color w:val="auto"/>
          <w:sz w:val="24"/>
          <w:szCs w:val="24"/>
          <w:highlight w:val="none"/>
        </w:rPr>
        <w:t>I</w:t>
      </w:r>
      <w:r>
        <w:rPr>
          <w:rFonts w:hint="default" w:ascii="Times New Roman" w:hAnsi="Times New Roman" w:eastAsia="宋体" w:cs="Times New Roman"/>
          <w:color w:val="auto"/>
          <w:spacing w:val="4"/>
          <w:sz w:val="24"/>
          <w:szCs w:val="24"/>
          <w:highlight w:val="none"/>
        </w:rPr>
        <w:t xml:space="preserve"> </w:t>
      </w:r>
      <w:r>
        <w:rPr>
          <w:rFonts w:hint="default" w:ascii="Times New Roman" w:hAnsi="Times New Roman" w:eastAsia="宋体" w:cs="Times New Roman"/>
          <w:color w:val="auto"/>
          <w:sz w:val="24"/>
          <w:szCs w:val="24"/>
          <w:highlight w:val="none"/>
        </w:rPr>
        <w:t>钢筋混凝土面层法</w:t>
      </w:r>
      <w:bookmarkEnd w:id="61"/>
    </w:p>
    <w:p w14:paraId="0565EB0C">
      <w:pPr>
        <w:spacing w:line="360" w:lineRule="exact"/>
        <w:rPr>
          <w:rFonts w:hint="default" w:ascii="Times New Roman" w:hAnsi="Times New Roman" w:eastAsia="宋体" w:cs="Times New Roman"/>
          <w:snapToGrid w:val="0"/>
          <w:color w:val="auto"/>
          <w:sz w:val="24"/>
          <w:szCs w:val="24"/>
          <w:highlight w:val="none"/>
        </w:rPr>
      </w:pPr>
      <w:r>
        <w:rPr>
          <w:rFonts w:hint="default" w:ascii="Times New Roman" w:hAnsi="Times New Roman" w:eastAsia="宋体" w:cs="Times New Roman"/>
          <w:b/>
          <w:bCs/>
          <w:snapToGrid w:val="0"/>
          <w:color w:val="auto"/>
          <w:sz w:val="24"/>
          <w:szCs w:val="24"/>
          <w:highlight w:val="none"/>
          <w:lang w:val="en-US" w:eastAsia="zh-CN"/>
        </w:rPr>
        <w:t>6</w:t>
      </w:r>
      <w:r>
        <w:rPr>
          <w:rFonts w:hint="default" w:ascii="Times New Roman" w:hAnsi="Times New Roman" w:eastAsia="宋体" w:cs="Times New Roman"/>
          <w:b/>
          <w:bCs/>
          <w:snapToGrid w:val="0"/>
          <w:color w:val="auto"/>
          <w:sz w:val="24"/>
          <w:szCs w:val="24"/>
          <w:highlight w:val="none"/>
        </w:rPr>
        <w:t>.3.1</w:t>
      </w:r>
      <w:r>
        <w:rPr>
          <w:rFonts w:hint="default" w:ascii="Times New Roman" w:hAnsi="Times New Roman" w:eastAsia="宋体" w:cs="Times New Roman"/>
          <w:snapToGrid w:val="0"/>
          <w:color w:val="auto"/>
          <w:sz w:val="24"/>
          <w:szCs w:val="24"/>
          <w:highlight w:val="none"/>
        </w:rPr>
        <w:t xml:space="preserve"> 当采用钢筋混凝土面层加固砌体构件时，原砌体与后浇</w:t>
      </w:r>
      <w:r>
        <w:rPr>
          <w:rFonts w:hint="default" w:ascii="Times New Roman" w:hAnsi="Times New Roman" w:eastAsia="宋体" w:cs="Times New Roman"/>
          <w:snapToGrid w:val="0"/>
          <w:color w:val="auto"/>
          <w:spacing w:val="-5"/>
          <w:sz w:val="24"/>
          <w:szCs w:val="24"/>
          <w:highlight w:val="none"/>
        </w:rPr>
        <w:t>混凝土面层之间应做界面处理。</w:t>
      </w:r>
    </w:p>
    <w:p w14:paraId="20701E8C">
      <w:pPr>
        <w:spacing w:line="360" w:lineRule="exact"/>
        <w:rPr>
          <w:rFonts w:hint="default" w:ascii="Times New Roman" w:hAnsi="Times New Roman" w:eastAsia="宋体" w:cs="Times New Roman"/>
          <w:snapToGrid w:val="0"/>
          <w:color w:val="auto"/>
          <w:sz w:val="24"/>
          <w:szCs w:val="24"/>
          <w:highlight w:val="none"/>
        </w:rPr>
      </w:pPr>
      <w:bookmarkStart w:id="62" w:name="_Toc28283"/>
      <w:r>
        <w:rPr>
          <w:rFonts w:hint="default" w:ascii="Times New Roman" w:hAnsi="Times New Roman" w:eastAsia="宋体" w:cs="Times New Roman"/>
          <w:b/>
          <w:bCs/>
          <w:snapToGrid w:val="0"/>
          <w:color w:val="auto"/>
          <w:spacing w:val="-1"/>
          <w:sz w:val="24"/>
          <w:szCs w:val="24"/>
          <w:highlight w:val="none"/>
          <w:lang w:val="en-US" w:eastAsia="zh-CN"/>
        </w:rPr>
        <w:t>6</w:t>
      </w:r>
      <w:r>
        <w:rPr>
          <w:rFonts w:hint="default" w:ascii="Times New Roman" w:hAnsi="Times New Roman" w:eastAsia="宋体" w:cs="Times New Roman"/>
          <w:b/>
          <w:bCs/>
          <w:snapToGrid w:val="0"/>
          <w:color w:val="auto"/>
          <w:spacing w:val="-1"/>
          <w:sz w:val="24"/>
          <w:szCs w:val="24"/>
          <w:highlight w:val="none"/>
        </w:rPr>
        <w:t xml:space="preserve">.3.2 </w:t>
      </w:r>
      <w:r>
        <w:rPr>
          <w:rFonts w:hint="default" w:ascii="Times New Roman" w:hAnsi="Times New Roman" w:eastAsia="宋体" w:cs="Times New Roman"/>
          <w:snapToGrid w:val="0"/>
          <w:color w:val="auto"/>
          <w:spacing w:val="-1"/>
          <w:sz w:val="24"/>
          <w:szCs w:val="24"/>
          <w:highlight w:val="none"/>
        </w:rPr>
        <w:t>砌体构件外加混凝</w:t>
      </w:r>
      <w:r>
        <w:rPr>
          <w:rFonts w:hint="default" w:ascii="Times New Roman" w:hAnsi="Times New Roman" w:eastAsia="宋体" w:cs="Times New Roman"/>
          <w:snapToGrid w:val="0"/>
          <w:color w:val="auto"/>
          <w:spacing w:val="-2"/>
          <w:sz w:val="24"/>
          <w:szCs w:val="24"/>
          <w:highlight w:val="none"/>
        </w:rPr>
        <w:t>土面层加固的构造，应符合下列规定：</w:t>
      </w:r>
      <w:bookmarkEnd w:id="62"/>
    </w:p>
    <w:p w14:paraId="0A52FA9D">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 xml:space="preserve">1 </w:t>
      </w:r>
      <w:r>
        <w:rPr>
          <w:rFonts w:hint="default" w:ascii="Times New Roman" w:hAnsi="Times New Roman" w:eastAsia="宋体" w:cs="Times New Roman"/>
          <w:color w:val="auto"/>
          <w:sz w:val="24"/>
          <w:szCs w:val="24"/>
          <w:highlight w:val="none"/>
          <w:lang w:eastAsia="zh-CN"/>
        </w:rPr>
        <w:t>钢筋混凝土面层的截面厚度不应小于60mm；当</w:t>
      </w:r>
      <w:r>
        <w:rPr>
          <w:rFonts w:hint="default" w:ascii="Times New Roman" w:hAnsi="Times New Roman" w:eastAsia="宋体" w:cs="Times New Roman"/>
          <w:color w:val="auto"/>
          <w:spacing w:val="7"/>
          <w:sz w:val="24"/>
          <w:szCs w:val="24"/>
          <w:highlight w:val="none"/>
          <w:lang w:eastAsia="zh-CN"/>
        </w:rPr>
        <w:t>采用喷</w:t>
      </w:r>
      <w:r>
        <w:rPr>
          <w:rFonts w:hint="default" w:ascii="Times New Roman" w:hAnsi="Times New Roman" w:eastAsia="宋体" w:cs="Times New Roman"/>
          <w:color w:val="auto"/>
          <w:spacing w:val="3"/>
          <w:sz w:val="24"/>
          <w:szCs w:val="24"/>
          <w:highlight w:val="none"/>
          <w:lang w:eastAsia="zh-CN"/>
        </w:rPr>
        <w:t>射混凝土施工时，不应小于50</w:t>
      </w:r>
      <w:r>
        <w:rPr>
          <w:rFonts w:hint="default" w:ascii="Times New Roman" w:hAnsi="Times New Roman" w:eastAsia="宋体" w:cs="Times New Roman"/>
          <w:color w:val="auto"/>
          <w:sz w:val="24"/>
          <w:szCs w:val="24"/>
          <w:highlight w:val="none"/>
          <w:lang w:eastAsia="zh-CN"/>
        </w:rPr>
        <w:t>mm</w:t>
      </w:r>
      <w:r>
        <w:rPr>
          <w:rFonts w:hint="default" w:ascii="Times New Roman" w:hAnsi="Times New Roman" w:eastAsia="宋体" w:cs="Times New Roman"/>
          <w:color w:val="auto"/>
          <w:spacing w:val="3"/>
          <w:sz w:val="24"/>
          <w:szCs w:val="24"/>
          <w:highlight w:val="none"/>
          <w:lang w:eastAsia="zh-CN"/>
        </w:rPr>
        <w:t>。</w:t>
      </w:r>
    </w:p>
    <w:p w14:paraId="73C8F90F">
      <w:pPr>
        <w:pStyle w:val="12"/>
        <w:ind w:firstLine="422"/>
        <w:rPr>
          <w:rFonts w:hint="default" w:ascii="Times New Roman" w:hAnsi="Times New Roman" w:eastAsia="宋体" w:cs="Times New Roman"/>
          <w:color w:val="auto"/>
          <w:sz w:val="24"/>
          <w:szCs w:val="24"/>
          <w:highlight w:val="none"/>
          <w:lang w:eastAsia="zh-CN"/>
        </w:rPr>
      </w:pPr>
      <w:bookmarkStart w:id="63" w:name="_Toc32384"/>
      <w:r>
        <w:rPr>
          <w:rFonts w:hint="default" w:ascii="Times New Roman" w:hAnsi="Times New Roman" w:eastAsia="宋体" w:cs="Times New Roman"/>
          <w:b/>
          <w:bCs/>
          <w:color w:val="auto"/>
          <w:sz w:val="24"/>
          <w:szCs w:val="24"/>
          <w:highlight w:val="none"/>
          <w:lang w:eastAsia="zh-CN"/>
        </w:rPr>
        <w:t xml:space="preserve">2 </w:t>
      </w:r>
      <w:r>
        <w:rPr>
          <w:rFonts w:hint="default" w:ascii="Times New Roman" w:hAnsi="Times New Roman" w:eastAsia="宋体" w:cs="Times New Roman"/>
          <w:color w:val="auto"/>
          <w:sz w:val="24"/>
          <w:szCs w:val="24"/>
          <w:highlight w:val="none"/>
          <w:lang w:eastAsia="zh-CN"/>
        </w:rPr>
        <w:t>混凝土强度等级不应低于C25。</w:t>
      </w:r>
      <w:bookmarkEnd w:id="63"/>
    </w:p>
    <w:p w14:paraId="1022A571">
      <w:pPr>
        <w:pStyle w:val="12"/>
        <w:ind w:firstLine="45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pacing w:val="7"/>
          <w:sz w:val="24"/>
          <w:szCs w:val="24"/>
          <w:highlight w:val="none"/>
          <w:lang w:eastAsia="zh-CN"/>
        </w:rPr>
        <w:t xml:space="preserve">3 </w:t>
      </w:r>
      <w:r>
        <w:rPr>
          <w:rFonts w:hint="default" w:ascii="Times New Roman" w:hAnsi="Times New Roman" w:eastAsia="宋体" w:cs="Times New Roman"/>
          <w:color w:val="auto"/>
          <w:spacing w:val="7"/>
          <w:sz w:val="24"/>
          <w:szCs w:val="24"/>
          <w:highlight w:val="none"/>
          <w:lang w:eastAsia="zh-CN"/>
        </w:rPr>
        <w:t>竖向受力钢筋直径不应</w:t>
      </w:r>
      <w:r>
        <w:rPr>
          <w:rFonts w:hint="default" w:ascii="Times New Roman" w:hAnsi="Times New Roman" w:eastAsia="宋体" w:cs="Times New Roman"/>
          <w:color w:val="auto"/>
          <w:sz w:val="24"/>
          <w:szCs w:val="24"/>
          <w:highlight w:val="none"/>
          <w:lang w:eastAsia="zh-CN"/>
        </w:rPr>
        <w:t>小于12mm，纵向钢筋的上下端均应锚固。</w:t>
      </w:r>
    </w:p>
    <w:p w14:paraId="0CD66601">
      <w:pPr>
        <w:pStyle w:val="12"/>
        <w:ind w:firstLine="434"/>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pacing w:val="3"/>
          <w:sz w:val="24"/>
          <w:szCs w:val="24"/>
          <w:highlight w:val="none"/>
          <w:lang w:eastAsia="zh-CN"/>
        </w:rPr>
        <w:t xml:space="preserve">4 </w:t>
      </w:r>
      <w:r>
        <w:rPr>
          <w:rFonts w:hint="default" w:ascii="Times New Roman" w:hAnsi="Times New Roman" w:eastAsia="宋体" w:cs="Times New Roman"/>
          <w:color w:val="auto"/>
          <w:spacing w:val="3"/>
          <w:sz w:val="24"/>
          <w:szCs w:val="24"/>
          <w:highlight w:val="none"/>
          <w:lang w:eastAsia="zh-CN"/>
        </w:rPr>
        <w:t>当采用围套式的钢筋混凝土面层加固砌体柱时，应采用</w:t>
      </w:r>
      <w:r>
        <w:rPr>
          <w:rFonts w:hint="default" w:ascii="Times New Roman" w:hAnsi="Times New Roman" w:eastAsia="宋体" w:cs="Times New Roman"/>
          <w:color w:val="auto"/>
          <w:spacing w:val="5"/>
          <w:sz w:val="24"/>
          <w:szCs w:val="24"/>
          <w:highlight w:val="none"/>
          <w:lang w:eastAsia="zh-CN"/>
        </w:rPr>
        <w:t>封闭式箍筋。柱的两端各500</w:t>
      </w:r>
      <w:r>
        <w:rPr>
          <w:rFonts w:hint="default" w:ascii="Times New Roman" w:hAnsi="Times New Roman" w:eastAsia="宋体" w:cs="Times New Roman"/>
          <w:color w:val="auto"/>
          <w:sz w:val="24"/>
          <w:szCs w:val="24"/>
          <w:highlight w:val="none"/>
          <w:lang w:eastAsia="zh-CN"/>
        </w:rPr>
        <w:t>mm</w:t>
      </w:r>
      <w:r>
        <w:rPr>
          <w:rFonts w:hint="default" w:ascii="Times New Roman" w:hAnsi="Times New Roman" w:eastAsia="宋体" w:cs="Times New Roman"/>
          <w:color w:val="auto"/>
          <w:spacing w:val="5"/>
          <w:sz w:val="24"/>
          <w:szCs w:val="24"/>
          <w:highlight w:val="none"/>
          <w:lang w:eastAsia="zh-CN"/>
        </w:rPr>
        <w:t>范围内，箍筋应加密，其间距</w:t>
      </w:r>
      <w:r>
        <w:rPr>
          <w:rFonts w:hint="default" w:ascii="Times New Roman" w:hAnsi="Times New Roman" w:eastAsia="宋体" w:cs="Times New Roman"/>
          <w:color w:val="auto"/>
          <w:spacing w:val="6"/>
          <w:sz w:val="24"/>
          <w:szCs w:val="24"/>
          <w:highlight w:val="none"/>
          <w:lang w:eastAsia="zh-CN"/>
        </w:rPr>
        <w:t>应取为100</w:t>
      </w:r>
      <w:r>
        <w:rPr>
          <w:rFonts w:hint="default" w:ascii="Times New Roman" w:hAnsi="Times New Roman" w:eastAsia="宋体" w:cs="Times New Roman"/>
          <w:color w:val="auto"/>
          <w:sz w:val="24"/>
          <w:szCs w:val="24"/>
          <w:highlight w:val="none"/>
          <w:lang w:eastAsia="zh-CN"/>
        </w:rPr>
        <w:t>mm</w:t>
      </w:r>
      <w:r>
        <w:rPr>
          <w:rFonts w:hint="default" w:ascii="Times New Roman" w:hAnsi="Times New Roman" w:eastAsia="宋体" w:cs="Times New Roman"/>
          <w:color w:val="auto"/>
          <w:spacing w:val="6"/>
          <w:sz w:val="24"/>
          <w:szCs w:val="24"/>
          <w:highlight w:val="none"/>
          <w:lang w:eastAsia="zh-CN"/>
        </w:rPr>
        <w:t>。若加固后的构件截面高度</w:t>
      </w:r>
      <w:r>
        <w:rPr>
          <w:rFonts w:hint="default" w:ascii="Times New Roman" w:hAnsi="Times New Roman" w:eastAsia="宋体" w:cs="Times New Roman"/>
          <w:i/>
          <w:iCs/>
          <w:color w:val="auto"/>
          <w:spacing w:val="6"/>
          <w:sz w:val="24"/>
          <w:szCs w:val="24"/>
          <w:highlight w:val="none"/>
          <w:lang w:eastAsia="zh-CN"/>
        </w:rPr>
        <w:t>h</w:t>
      </w:r>
      <w:r>
        <w:rPr>
          <w:rFonts w:hint="default" w:ascii="Times New Roman" w:hAnsi="Times New Roman" w:eastAsia="宋体" w:cs="Times New Roman"/>
          <w:color w:val="auto"/>
          <w:spacing w:val="6"/>
          <w:sz w:val="24"/>
          <w:szCs w:val="24"/>
          <w:highlight w:val="none"/>
          <w:lang w:eastAsia="zh-CN"/>
        </w:rPr>
        <w:t>≥500</w:t>
      </w:r>
      <w:r>
        <w:rPr>
          <w:rFonts w:hint="default" w:ascii="Times New Roman" w:hAnsi="Times New Roman" w:eastAsia="宋体" w:cs="Times New Roman"/>
          <w:color w:val="auto"/>
          <w:sz w:val="24"/>
          <w:szCs w:val="24"/>
          <w:highlight w:val="none"/>
          <w:lang w:eastAsia="zh-CN"/>
        </w:rPr>
        <w:t>mm</w:t>
      </w:r>
      <w:r>
        <w:rPr>
          <w:rFonts w:hint="default" w:ascii="Times New Roman" w:hAnsi="Times New Roman" w:eastAsia="宋体" w:cs="Times New Roman"/>
          <w:color w:val="auto"/>
          <w:spacing w:val="6"/>
          <w:sz w:val="24"/>
          <w:szCs w:val="24"/>
          <w:highlight w:val="none"/>
          <w:lang w:eastAsia="zh-CN"/>
        </w:rPr>
        <w:t>，尚应在</w:t>
      </w:r>
      <w:r>
        <w:rPr>
          <w:rFonts w:hint="default" w:ascii="Times New Roman" w:hAnsi="Times New Roman" w:eastAsia="宋体" w:cs="Times New Roman"/>
          <w:color w:val="auto"/>
          <w:spacing w:val="-3"/>
          <w:sz w:val="24"/>
          <w:szCs w:val="24"/>
          <w:highlight w:val="none"/>
          <w:lang w:eastAsia="zh-CN"/>
        </w:rPr>
        <w:t>截面两侧加设竖向构造钢筋，并应设置拉结钢筋。</w:t>
      </w:r>
    </w:p>
    <w:p w14:paraId="13131C8E">
      <w:pPr>
        <w:pStyle w:val="12"/>
        <w:ind w:firstLine="430"/>
        <w:rPr>
          <w:rFonts w:hint="default" w:ascii="Times New Roman" w:hAnsi="Times New Roman" w:eastAsia="宋体" w:cs="Times New Roman"/>
          <w:color w:val="auto"/>
          <w:spacing w:val="-3"/>
          <w:sz w:val="24"/>
          <w:szCs w:val="24"/>
          <w:highlight w:val="none"/>
          <w:lang w:eastAsia="zh-CN"/>
        </w:rPr>
      </w:pPr>
      <w:r>
        <w:rPr>
          <w:rFonts w:hint="default" w:ascii="Times New Roman" w:hAnsi="Times New Roman" w:eastAsia="宋体" w:cs="Times New Roman"/>
          <w:b/>
          <w:bCs/>
          <w:color w:val="auto"/>
          <w:spacing w:val="2"/>
          <w:sz w:val="24"/>
          <w:szCs w:val="24"/>
          <w:highlight w:val="none"/>
          <w:lang w:eastAsia="zh-CN"/>
        </w:rPr>
        <w:t xml:space="preserve">5 </w:t>
      </w:r>
      <w:r>
        <w:rPr>
          <w:rFonts w:hint="default" w:ascii="Times New Roman" w:hAnsi="Times New Roman" w:eastAsia="宋体" w:cs="Times New Roman"/>
          <w:color w:val="auto"/>
          <w:spacing w:val="2"/>
          <w:sz w:val="24"/>
          <w:szCs w:val="24"/>
          <w:highlight w:val="none"/>
          <w:lang w:eastAsia="zh-CN"/>
        </w:rPr>
        <w:t>当采用两对面增设钢筋混凝土面层加固带壁柱墙或窗间</w:t>
      </w:r>
      <w:r>
        <w:rPr>
          <w:rFonts w:hint="default" w:ascii="Times New Roman" w:hAnsi="Times New Roman" w:eastAsia="宋体" w:cs="Times New Roman"/>
          <w:color w:val="auto"/>
          <w:spacing w:val="5"/>
          <w:sz w:val="24"/>
          <w:szCs w:val="24"/>
          <w:highlight w:val="none"/>
          <w:lang w:eastAsia="zh-CN"/>
        </w:rPr>
        <w:t>墙时，应沿砌体高度每隔250</w:t>
      </w:r>
      <w:r>
        <w:rPr>
          <w:rFonts w:hint="default" w:ascii="Times New Roman" w:hAnsi="Times New Roman" w:eastAsia="宋体" w:cs="Times New Roman"/>
          <w:color w:val="auto"/>
          <w:sz w:val="24"/>
          <w:szCs w:val="24"/>
          <w:highlight w:val="none"/>
          <w:lang w:eastAsia="zh-CN"/>
        </w:rPr>
        <w:t>mm</w:t>
      </w:r>
      <w:r>
        <w:rPr>
          <w:rFonts w:hint="default" w:ascii="Times New Roman" w:hAnsi="Times New Roman" w:eastAsia="宋体" w:cs="Times New Roman"/>
          <w:color w:val="auto"/>
          <w:spacing w:val="5"/>
          <w:sz w:val="24"/>
          <w:szCs w:val="24"/>
          <w:highlight w:val="none"/>
          <w:lang w:eastAsia="zh-CN"/>
        </w:rPr>
        <w:t>交替设置不</w:t>
      </w:r>
      <w:r>
        <w:rPr>
          <w:rFonts w:hint="default" w:ascii="Times New Roman" w:hAnsi="Times New Roman" w:eastAsia="宋体" w:cs="Times New Roman"/>
          <w:color w:val="auto"/>
          <w:spacing w:val="4"/>
          <w:sz w:val="24"/>
          <w:szCs w:val="24"/>
          <w:highlight w:val="none"/>
          <w:lang w:eastAsia="zh-CN"/>
        </w:rPr>
        <w:t>等肢U形箍和等肢</w:t>
      </w:r>
      <w:r>
        <w:rPr>
          <w:rFonts w:hint="default" w:ascii="Times New Roman" w:hAnsi="Times New Roman" w:eastAsia="宋体" w:cs="Times New Roman"/>
          <w:color w:val="auto"/>
          <w:spacing w:val="7"/>
          <w:sz w:val="24"/>
          <w:szCs w:val="24"/>
          <w:highlight w:val="none"/>
          <w:lang w:eastAsia="zh-CN"/>
        </w:rPr>
        <w:t>U形箍。不等肢U形箍在穿过墙上预钻孔后，应弯折焊成封闭</w:t>
      </w:r>
      <w:r>
        <w:rPr>
          <w:rFonts w:hint="default" w:ascii="Times New Roman" w:hAnsi="Times New Roman" w:eastAsia="宋体" w:cs="Times New Roman"/>
          <w:color w:val="auto"/>
          <w:spacing w:val="-1"/>
          <w:sz w:val="24"/>
          <w:szCs w:val="24"/>
          <w:highlight w:val="none"/>
          <w:lang w:eastAsia="zh-CN"/>
        </w:rPr>
        <w:t>箍。预钻孔内用结构胶填实。对带壁柱墙，尚应在其拐角部位增</w:t>
      </w:r>
      <w:r>
        <w:rPr>
          <w:rFonts w:hint="default" w:ascii="Times New Roman" w:hAnsi="Times New Roman" w:eastAsia="宋体" w:cs="Times New Roman"/>
          <w:color w:val="auto"/>
          <w:spacing w:val="-3"/>
          <w:sz w:val="24"/>
          <w:szCs w:val="24"/>
          <w:highlight w:val="none"/>
          <w:lang w:eastAsia="zh-CN"/>
        </w:rPr>
        <w:t>设竖向构造钢筋与U形箍筋焊牢。</w:t>
      </w:r>
    </w:p>
    <w:p w14:paraId="3B1FB5B1">
      <w:pPr>
        <w:spacing w:before="120" w:after="120"/>
        <w:jc w:val="center"/>
        <w:rPr>
          <w:rFonts w:hint="default" w:ascii="Times New Roman" w:hAnsi="Times New Roman" w:eastAsia="宋体" w:cs="Times New Roman"/>
          <w:strike w:val="0"/>
          <w:dstrike w:val="0"/>
          <w:color w:val="auto"/>
          <w:sz w:val="24"/>
          <w:szCs w:val="24"/>
          <w:highlight w:val="none"/>
        </w:rPr>
      </w:pPr>
      <w:bookmarkStart w:id="64" w:name="_Toc16085"/>
      <w:r>
        <w:rPr>
          <w:rFonts w:hint="default" w:ascii="Times New Roman" w:hAnsi="Times New Roman" w:eastAsia="宋体" w:cs="Times New Roman"/>
          <w:b/>
          <w:strike w:val="0"/>
          <w:dstrike w:val="0"/>
          <w:color w:val="auto"/>
          <w:sz w:val="24"/>
          <w:szCs w:val="24"/>
          <w:highlight w:val="none"/>
        </w:rPr>
        <w:t>Ⅱ</w:t>
      </w:r>
      <w:r>
        <w:rPr>
          <w:rFonts w:hint="default" w:ascii="Times New Roman" w:hAnsi="Times New Roman" w:eastAsia="宋体" w:cs="Times New Roman"/>
          <w:strike w:val="0"/>
          <w:dstrike w:val="0"/>
          <w:color w:val="auto"/>
          <w:sz w:val="24"/>
          <w:szCs w:val="24"/>
          <w:highlight w:val="none"/>
        </w:rPr>
        <w:t xml:space="preserve"> 板墙加固法</w:t>
      </w:r>
      <w:bookmarkEnd w:id="64"/>
    </w:p>
    <w:p w14:paraId="205CE2FC">
      <w:pPr>
        <w:rPr>
          <w:rFonts w:hint="default" w:ascii="Times New Roman" w:hAnsi="Times New Roman" w:eastAsia="宋体" w:cs="Times New Roman"/>
          <w:strike w:val="0"/>
          <w:dstrike w:val="0"/>
          <w:snapToGrid w:val="0"/>
          <w:color w:val="auto"/>
          <w:sz w:val="24"/>
          <w:szCs w:val="24"/>
          <w:highlight w:val="none"/>
        </w:rPr>
      </w:pPr>
      <w:bookmarkStart w:id="65" w:name="_Toc12886"/>
      <w:r>
        <w:rPr>
          <w:rFonts w:hint="default" w:ascii="Times New Roman" w:hAnsi="Times New Roman" w:eastAsia="宋体" w:cs="Times New Roman"/>
          <w:b/>
          <w:strike w:val="0"/>
          <w:dstrike w:val="0"/>
          <w:snapToGrid w:val="0"/>
          <w:color w:val="auto"/>
          <w:sz w:val="24"/>
          <w:szCs w:val="24"/>
          <w:highlight w:val="none"/>
          <w:lang w:val="en-US" w:eastAsia="zh-CN"/>
        </w:rPr>
        <w:t>6</w:t>
      </w:r>
      <w:r>
        <w:rPr>
          <w:rFonts w:hint="default" w:ascii="Times New Roman" w:hAnsi="Times New Roman" w:eastAsia="宋体" w:cs="Times New Roman"/>
          <w:b/>
          <w:strike w:val="0"/>
          <w:dstrike w:val="0"/>
          <w:snapToGrid w:val="0"/>
          <w:color w:val="auto"/>
          <w:sz w:val="24"/>
          <w:szCs w:val="24"/>
          <w:highlight w:val="none"/>
        </w:rPr>
        <w:t>.3.3</w:t>
      </w:r>
      <w:r>
        <w:rPr>
          <w:rFonts w:hint="default" w:ascii="Times New Roman" w:hAnsi="Times New Roman" w:eastAsia="宋体" w:cs="Times New Roman"/>
          <w:strike w:val="0"/>
          <w:dstrike w:val="0"/>
          <w:snapToGrid w:val="0"/>
          <w:color w:val="auto"/>
          <w:sz w:val="24"/>
          <w:szCs w:val="24"/>
          <w:highlight w:val="none"/>
        </w:rPr>
        <w:t xml:space="preserve"> 采用现浇钢筋混凝土面层加固砌体墙（板墙）时，应符合下列要求：</w:t>
      </w:r>
      <w:bookmarkEnd w:id="65"/>
    </w:p>
    <w:p w14:paraId="07DFDC97">
      <w:pPr>
        <w:pStyle w:val="12"/>
        <w:ind w:firstLine="422"/>
        <w:rPr>
          <w:rFonts w:hint="default" w:ascii="Times New Roman" w:hAnsi="Times New Roman" w:eastAsia="宋体" w:cs="Times New Roman"/>
          <w:strike w:val="0"/>
          <w:dstrike w:val="0"/>
          <w:color w:val="auto"/>
          <w:sz w:val="24"/>
          <w:szCs w:val="24"/>
          <w:highlight w:val="none"/>
          <w:lang w:eastAsia="zh-CN"/>
        </w:rPr>
      </w:pPr>
      <w:r>
        <w:rPr>
          <w:rFonts w:hint="default" w:ascii="Times New Roman" w:hAnsi="Times New Roman" w:eastAsia="宋体" w:cs="Times New Roman"/>
          <w:b/>
          <w:strike w:val="0"/>
          <w:dstrike w:val="0"/>
          <w:color w:val="auto"/>
          <w:sz w:val="24"/>
          <w:szCs w:val="24"/>
          <w:highlight w:val="none"/>
          <w:lang w:eastAsia="zh-CN"/>
        </w:rPr>
        <w:t>1</w:t>
      </w:r>
      <w:r>
        <w:rPr>
          <w:rFonts w:hint="default" w:ascii="Times New Roman" w:hAnsi="Times New Roman" w:eastAsia="宋体" w:cs="Times New Roman"/>
          <w:strike w:val="0"/>
          <w:dstrike w:val="0"/>
          <w:color w:val="auto"/>
          <w:sz w:val="24"/>
          <w:szCs w:val="24"/>
          <w:highlight w:val="none"/>
          <w:lang w:eastAsia="zh-CN"/>
        </w:rPr>
        <w:t xml:space="preserve"> 板墙应采用呈梅花状布置的锚筋、穿墙筋与原有砌体墙连接；其左右应采用拉结筋等与两端的原有墙体可靠连接；底部应有基础；板墙上下应与楼、屋盖可靠连接，至少应每隔1m设置穿过楼板且与竖向钢筋等面积的短筋，短筋两端应分别锚入上下层的板墙内，其锚固长度不应小于短筋直径的40倍。</w:t>
      </w:r>
    </w:p>
    <w:p w14:paraId="6F2335F2">
      <w:pPr>
        <w:pStyle w:val="12"/>
        <w:ind w:firstLine="420"/>
        <w:rPr>
          <w:rFonts w:hint="default" w:ascii="Times New Roman" w:hAnsi="Times New Roman" w:eastAsia="宋体" w:cs="Times New Roman"/>
          <w:strike w:val="0"/>
          <w:dstrike w:val="0"/>
          <w:color w:val="auto"/>
          <w:sz w:val="24"/>
          <w:szCs w:val="24"/>
          <w:highlight w:val="none"/>
          <w:lang w:eastAsia="zh-CN"/>
        </w:rPr>
      </w:pPr>
      <w:r>
        <w:rPr>
          <w:rFonts w:hint="default" w:ascii="Times New Roman" w:hAnsi="Times New Roman" w:eastAsia="宋体" w:cs="Times New Roman"/>
          <w:b/>
          <w:strike w:val="0"/>
          <w:dstrike w:val="0"/>
          <w:color w:val="auto"/>
          <w:sz w:val="24"/>
          <w:szCs w:val="24"/>
          <w:highlight w:val="none"/>
          <w:lang w:eastAsia="zh-CN"/>
        </w:rPr>
        <w:t>2</w:t>
      </w:r>
      <w:r>
        <w:rPr>
          <w:rFonts w:hint="default" w:ascii="Times New Roman" w:hAnsi="Times New Roman" w:eastAsia="宋体" w:cs="Times New Roman"/>
          <w:strike w:val="0"/>
          <w:dstrike w:val="0"/>
          <w:color w:val="auto"/>
          <w:sz w:val="24"/>
          <w:szCs w:val="24"/>
          <w:highlight w:val="none"/>
          <w:lang w:eastAsia="zh-CN"/>
        </w:rPr>
        <w:t xml:space="preserve"> 板墙加固验算时，有关构件支承长度的影响系数应作相应改变，有关墙体局部尺寸的影响系数应取1.0。</w:t>
      </w:r>
    </w:p>
    <w:p w14:paraId="544317B8">
      <w:pPr>
        <w:rPr>
          <w:rFonts w:hint="default" w:ascii="Times New Roman" w:hAnsi="Times New Roman" w:eastAsia="宋体" w:cs="Times New Roman"/>
          <w:strike w:val="0"/>
          <w:dstrike w:val="0"/>
          <w:snapToGrid w:val="0"/>
          <w:color w:val="auto"/>
          <w:sz w:val="24"/>
          <w:szCs w:val="24"/>
          <w:highlight w:val="none"/>
        </w:rPr>
      </w:pPr>
      <w:bookmarkStart w:id="66" w:name="_Toc26951"/>
      <w:r>
        <w:rPr>
          <w:rFonts w:hint="default" w:ascii="Times New Roman" w:hAnsi="Times New Roman" w:eastAsia="宋体" w:cs="Times New Roman"/>
          <w:b/>
          <w:bCs/>
          <w:strike w:val="0"/>
          <w:dstrike w:val="0"/>
          <w:snapToGrid w:val="0"/>
          <w:color w:val="auto"/>
          <w:sz w:val="24"/>
          <w:szCs w:val="24"/>
          <w:highlight w:val="none"/>
          <w:lang w:val="en-US" w:eastAsia="zh-CN"/>
        </w:rPr>
        <w:t>6</w:t>
      </w:r>
      <w:r>
        <w:rPr>
          <w:rFonts w:hint="default" w:ascii="Times New Roman" w:hAnsi="Times New Roman" w:eastAsia="宋体" w:cs="Times New Roman"/>
          <w:b/>
          <w:bCs/>
          <w:strike w:val="0"/>
          <w:dstrike w:val="0"/>
          <w:snapToGrid w:val="0"/>
          <w:color w:val="auto"/>
          <w:sz w:val="24"/>
          <w:szCs w:val="24"/>
          <w:highlight w:val="none"/>
        </w:rPr>
        <w:t>.3.4</w:t>
      </w:r>
      <w:r>
        <w:rPr>
          <w:rFonts w:hint="default" w:ascii="Times New Roman" w:hAnsi="Times New Roman" w:eastAsia="宋体" w:cs="Times New Roman"/>
          <w:strike w:val="0"/>
          <w:dstrike w:val="0"/>
          <w:snapToGrid w:val="0"/>
          <w:color w:val="auto"/>
          <w:sz w:val="24"/>
          <w:szCs w:val="24"/>
          <w:highlight w:val="none"/>
        </w:rPr>
        <w:t xml:space="preserve"> 现浇钢筋混凝土板墙加固墙体的设计，应符合下列要求：</w:t>
      </w:r>
      <w:bookmarkEnd w:id="66"/>
    </w:p>
    <w:p w14:paraId="59156B6A">
      <w:pPr>
        <w:pStyle w:val="12"/>
        <w:ind w:firstLine="422"/>
        <w:rPr>
          <w:rFonts w:hint="default" w:ascii="Times New Roman" w:hAnsi="Times New Roman" w:eastAsia="宋体" w:cs="Times New Roman"/>
          <w:strike w:val="0"/>
          <w:dstrike w:val="0"/>
          <w:color w:val="auto"/>
          <w:spacing w:val="-3"/>
          <w:sz w:val="24"/>
          <w:szCs w:val="24"/>
          <w:highlight w:val="none"/>
          <w:lang w:eastAsia="zh-CN"/>
        </w:rPr>
      </w:pPr>
      <w:bookmarkStart w:id="67" w:name="_Toc17227"/>
      <w:r>
        <w:rPr>
          <w:rFonts w:hint="default" w:ascii="Times New Roman" w:hAnsi="Times New Roman" w:eastAsia="宋体" w:cs="Times New Roman"/>
          <w:b/>
          <w:bCs/>
          <w:strike w:val="0"/>
          <w:dstrike w:val="0"/>
          <w:color w:val="auto"/>
          <w:sz w:val="24"/>
          <w:szCs w:val="24"/>
          <w:highlight w:val="none"/>
          <w:lang w:eastAsia="zh-CN"/>
        </w:rPr>
        <w:t>1</w:t>
      </w:r>
      <w:r>
        <w:rPr>
          <w:rFonts w:hint="default" w:ascii="Times New Roman" w:hAnsi="Times New Roman" w:eastAsia="宋体" w:cs="Times New Roman"/>
          <w:strike w:val="0"/>
          <w:dstrike w:val="0"/>
          <w:color w:val="auto"/>
          <w:sz w:val="24"/>
          <w:szCs w:val="24"/>
          <w:highlight w:val="none"/>
          <w:lang w:eastAsia="zh-CN"/>
        </w:rPr>
        <w:t xml:space="preserve"> 板墙的材料和构造尚应符合下列要求：</w:t>
      </w:r>
      <w:bookmarkEnd w:id="67"/>
    </w:p>
    <w:p w14:paraId="3A563410">
      <w:pPr>
        <w:pStyle w:val="12"/>
        <w:ind w:firstLine="720" w:firstLineChars="300"/>
        <w:rPr>
          <w:rFonts w:hint="default" w:ascii="Times New Roman" w:hAnsi="Times New Roman" w:eastAsia="宋体" w:cs="Times New Roman"/>
          <w:strike w:val="0"/>
          <w:dstrike w:val="0"/>
          <w:color w:val="auto"/>
          <w:sz w:val="24"/>
          <w:szCs w:val="24"/>
          <w:highlight w:val="none"/>
          <w:lang w:eastAsia="zh-CN"/>
        </w:rPr>
      </w:pPr>
      <w:r>
        <w:rPr>
          <w:rFonts w:hint="default" w:ascii="Times New Roman" w:hAnsi="Times New Roman" w:eastAsia="宋体" w:cs="Times New Roman"/>
          <w:strike w:val="0"/>
          <w:dstrike w:val="0"/>
          <w:color w:val="auto"/>
          <w:sz w:val="24"/>
          <w:szCs w:val="24"/>
          <w:highlight w:val="none"/>
          <w:lang w:eastAsia="zh-CN"/>
        </w:rPr>
        <w:t>1）混凝土的强度等级宜采用C25，钢筋宜采用HPB300级或HRB400级热轧钢筋;</w:t>
      </w:r>
    </w:p>
    <w:p w14:paraId="45481476">
      <w:pPr>
        <w:pStyle w:val="12"/>
        <w:ind w:firstLine="720" w:firstLineChars="300"/>
        <w:rPr>
          <w:rFonts w:hint="default" w:ascii="Times New Roman" w:hAnsi="Times New Roman" w:eastAsia="宋体" w:cs="Times New Roman"/>
          <w:strike w:val="0"/>
          <w:dstrike w:val="0"/>
          <w:color w:val="auto"/>
          <w:sz w:val="24"/>
          <w:szCs w:val="24"/>
          <w:highlight w:val="none"/>
          <w:lang w:eastAsia="zh-CN"/>
        </w:rPr>
      </w:pPr>
      <w:bookmarkStart w:id="68" w:name="_Toc24360"/>
      <w:r>
        <w:rPr>
          <w:rFonts w:hint="default" w:ascii="Times New Roman" w:hAnsi="Times New Roman" w:eastAsia="宋体" w:cs="Times New Roman"/>
          <w:strike w:val="0"/>
          <w:dstrike w:val="0"/>
          <w:color w:val="auto"/>
          <w:sz w:val="24"/>
          <w:szCs w:val="24"/>
          <w:highlight w:val="none"/>
          <w:lang w:eastAsia="zh-CN"/>
        </w:rPr>
        <w:t>2）板墙厚度宜采用60~100mm</w:t>
      </w:r>
      <w:bookmarkEnd w:id="68"/>
      <w:r>
        <w:rPr>
          <w:rFonts w:hint="default" w:ascii="Times New Roman" w:hAnsi="Times New Roman" w:eastAsia="宋体" w:cs="Times New Roman"/>
          <w:strike w:val="0"/>
          <w:dstrike w:val="0"/>
          <w:color w:val="auto"/>
          <w:sz w:val="24"/>
          <w:szCs w:val="24"/>
          <w:highlight w:val="none"/>
          <w:lang w:eastAsia="zh-CN"/>
        </w:rPr>
        <w:t>；</w:t>
      </w:r>
    </w:p>
    <w:p w14:paraId="72B3157B">
      <w:pPr>
        <w:pStyle w:val="12"/>
        <w:ind w:firstLine="720" w:firstLineChars="300"/>
        <w:rPr>
          <w:rFonts w:hint="default" w:ascii="Times New Roman" w:hAnsi="Times New Roman" w:eastAsia="宋体" w:cs="Times New Roman"/>
          <w:strike w:val="0"/>
          <w:dstrike w:val="0"/>
          <w:color w:val="auto"/>
          <w:sz w:val="24"/>
          <w:szCs w:val="24"/>
          <w:highlight w:val="none"/>
          <w:lang w:eastAsia="zh-CN"/>
        </w:rPr>
      </w:pPr>
      <w:r>
        <w:rPr>
          <w:rFonts w:hint="default" w:ascii="Times New Roman" w:hAnsi="Times New Roman" w:eastAsia="宋体" w:cs="Times New Roman"/>
          <w:strike w:val="0"/>
          <w:dstrike w:val="0"/>
          <w:color w:val="auto"/>
          <w:sz w:val="24"/>
          <w:szCs w:val="24"/>
          <w:highlight w:val="none"/>
          <w:lang w:eastAsia="zh-CN"/>
        </w:rPr>
        <w:t>3）板墙可配置单排钢筋网片，竖向钢筋可采用</w:t>
      </w:r>
      <w:r>
        <w:rPr>
          <w:rFonts w:hint="default" w:ascii="Times New Roman" w:hAnsi="Times New Roman" w:eastAsia="宋体" w:cs="Times New Roman"/>
          <w:strike w:val="0"/>
          <w:dstrike w:val="0"/>
          <w:color w:val="auto"/>
          <w:sz w:val="24"/>
          <w:szCs w:val="24"/>
          <w:highlight w:val="none"/>
        </w:rPr>
        <w:t>φ</w:t>
      </w:r>
      <w:r>
        <w:rPr>
          <w:rFonts w:hint="default" w:ascii="Times New Roman" w:hAnsi="Times New Roman" w:eastAsia="宋体" w:cs="Times New Roman"/>
          <w:strike w:val="0"/>
          <w:dstrike w:val="0"/>
          <w:color w:val="auto"/>
          <w:sz w:val="24"/>
          <w:szCs w:val="24"/>
          <w:highlight w:val="none"/>
          <w:lang w:eastAsia="zh-CN"/>
        </w:rPr>
        <w:t>12(对于HRB400级钢筋，可采用</w:t>
      </w:r>
      <w:r>
        <w:rPr>
          <w:rFonts w:hint="default" w:ascii="Times New Roman" w:hAnsi="Times New Roman" w:eastAsia="宋体" w:cs="Times New Roman"/>
          <w:strike w:val="0"/>
          <w:dstrike w:val="0"/>
          <w:color w:val="auto"/>
          <w:sz w:val="24"/>
          <w:szCs w:val="24"/>
          <w:highlight w:val="none"/>
        </w:rPr>
        <w:t>φ</w:t>
      </w:r>
      <w:r>
        <w:rPr>
          <w:rFonts w:hint="default" w:ascii="Times New Roman" w:hAnsi="Times New Roman" w:eastAsia="宋体" w:cs="Times New Roman"/>
          <w:strike w:val="0"/>
          <w:dstrike w:val="0"/>
          <w:color w:val="auto"/>
          <w:sz w:val="24"/>
          <w:szCs w:val="24"/>
          <w:highlight w:val="none"/>
          <w:lang w:eastAsia="zh-CN"/>
        </w:rPr>
        <w:t>10)，横向钢筋可采用</w:t>
      </w:r>
      <w:r>
        <w:rPr>
          <w:rFonts w:hint="default" w:ascii="Times New Roman" w:hAnsi="Times New Roman" w:eastAsia="宋体" w:cs="Times New Roman"/>
          <w:strike w:val="0"/>
          <w:dstrike w:val="0"/>
          <w:color w:val="auto"/>
          <w:sz w:val="24"/>
          <w:szCs w:val="24"/>
          <w:highlight w:val="none"/>
        </w:rPr>
        <w:t>φ</w:t>
      </w:r>
      <w:r>
        <w:rPr>
          <w:rFonts w:hint="default" w:ascii="Times New Roman" w:hAnsi="Times New Roman" w:eastAsia="宋体" w:cs="Times New Roman"/>
          <w:strike w:val="0"/>
          <w:dstrike w:val="0"/>
          <w:color w:val="auto"/>
          <w:sz w:val="24"/>
          <w:szCs w:val="24"/>
          <w:highlight w:val="none"/>
          <w:lang w:eastAsia="zh-CN"/>
        </w:rPr>
        <w:t>6，间距宜为150~200mm;</w:t>
      </w:r>
    </w:p>
    <w:p w14:paraId="1E5033EA">
      <w:pPr>
        <w:pStyle w:val="12"/>
        <w:ind w:firstLine="720" w:firstLineChars="300"/>
        <w:rPr>
          <w:rFonts w:hint="default" w:ascii="Times New Roman" w:hAnsi="Times New Roman" w:eastAsia="宋体" w:cs="Times New Roman"/>
          <w:strike w:val="0"/>
          <w:dstrike w:val="0"/>
          <w:color w:val="auto"/>
          <w:sz w:val="24"/>
          <w:szCs w:val="24"/>
          <w:highlight w:val="none"/>
          <w:lang w:eastAsia="zh-CN"/>
        </w:rPr>
      </w:pPr>
      <w:r>
        <w:rPr>
          <w:rFonts w:hint="default" w:ascii="Times New Roman" w:hAnsi="Times New Roman" w:eastAsia="宋体" w:cs="Times New Roman"/>
          <w:strike w:val="0"/>
          <w:dstrike w:val="0"/>
          <w:color w:val="auto"/>
          <w:sz w:val="24"/>
          <w:szCs w:val="24"/>
          <w:highlight w:val="none"/>
          <w:lang w:eastAsia="zh-CN"/>
        </w:rPr>
        <w:t>4）板墙与原有墙体的连接，可沿墙高每隔0.7~1.0m在两端各设1</w:t>
      </w:r>
      <w:bookmarkStart w:id="69" w:name="OLE_LINK28"/>
      <w:r>
        <w:rPr>
          <w:rFonts w:hint="default" w:ascii="Times New Roman" w:hAnsi="Times New Roman" w:eastAsia="宋体" w:cs="Times New Roman"/>
          <w:strike w:val="0"/>
          <w:dstrike w:val="0"/>
          <w:color w:val="auto"/>
          <w:sz w:val="24"/>
          <w:szCs w:val="24"/>
          <w:highlight w:val="none"/>
        </w:rPr>
        <w:t>φ</w:t>
      </w:r>
      <w:bookmarkEnd w:id="69"/>
      <w:r>
        <w:rPr>
          <w:rFonts w:hint="default" w:ascii="Times New Roman" w:hAnsi="Times New Roman" w:eastAsia="宋体" w:cs="Times New Roman"/>
          <w:strike w:val="0"/>
          <w:dstrike w:val="0"/>
          <w:color w:val="auto"/>
          <w:sz w:val="24"/>
          <w:szCs w:val="24"/>
          <w:highlight w:val="none"/>
          <w:lang w:eastAsia="zh-CN"/>
        </w:rPr>
        <w:t>12的拉结钢筋，其一端锚入板墙内的长度不宜小于500mm，另一端应锚固在端部的原有墙体内；</w:t>
      </w:r>
    </w:p>
    <w:p w14:paraId="48AE07D5">
      <w:pPr>
        <w:pStyle w:val="12"/>
        <w:ind w:firstLine="720" w:firstLineChars="300"/>
        <w:rPr>
          <w:rFonts w:hint="default" w:ascii="Times New Roman" w:hAnsi="Times New Roman" w:eastAsia="宋体" w:cs="Times New Roman"/>
          <w:strike w:val="0"/>
          <w:dstrike w:val="0"/>
          <w:color w:val="auto"/>
          <w:sz w:val="24"/>
          <w:szCs w:val="24"/>
          <w:highlight w:val="none"/>
          <w:lang w:eastAsia="zh-CN"/>
        </w:rPr>
      </w:pPr>
      <w:r>
        <w:rPr>
          <w:rFonts w:hint="default" w:ascii="Times New Roman" w:hAnsi="Times New Roman" w:eastAsia="宋体" w:cs="Times New Roman"/>
          <w:strike w:val="0"/>
          <w:dstrike w:val="0"/>
          <w:color w:val="auto"/>
          <w:sz w:val="24"/>
          <w:szCs w:val="24"/>
          <w:highlight w:val="none"/>
          <w:lang w:eastAsia="zh-CN"/>
        </w:rPr>
        <w:t>5）单面板墙宜采用</w:t>
      </w:r>
      <w:r>
        <w:rPr>
          <w:rFonts w:hint="default" w:ascii="Times New Roman" w:hAnsi="Times New Roman" w:eastAsia="宋体" w:cs="Times New Roman"/>
          <w:strike w:val="0"/>
          <w:dstrike w:val="0"/>
          <w:color w:val="auto"/>
          <w:sz w:val="24"/>
          <w:szCs w:val="24"/>
          <w:highlight w:val="none"/>
        </w:rPr>
        <w:t>φ</w:t>
      </w:r>
      <w:r>
        <w:rPr>
          <w:rFonts w:hint="default" w:ascii="Times New Roman" w:hAnsi="Times New Roman" w:eastAsia="宋体" w:cs="Times New Roman"/>
          <w:strike w:val="0"/>
          <w:dstrike w:val="0"/>
          <w:color w:val="auto"/>
          <w:sz w:val="24"/>
          <w:szCs w:val="24"/>
          <w:highlight w:val="none"/>
          <w:lang w:eastAsia="zh-CN"/>
        </w:rPr>
        <w:t>8的L形锚筋与原砌体墙连接，双面板墙宜采用</w:t>
      </w:r>
      <w:r>
        <w:rPr>
          <w:rFonts w:hint="default" w:ascii="Times New Roman" w:hAnsi="Times New Roman" w:eastAsia="宋体" w:cs="Times New Roman"/>
          <w:strike w:val="0"/>
          <w:dstrike w:val="0"/>
          <w:color w:val="auto"/>
          <w:sz w:val="24"/>
          <w:szCs w:val="24"/>
          <w:highlight w:val="none"/>
        </w:rPr>
        <w:t>φ</w:t>
      </w:r>
      <w:r>
        <w:rPr>
          <w:rFonts w:hint="default" w:ascii="Times New Roman" w:hAnsi="Times New Roman" w:eastAsia="宋体" w:cs="Times New Roman"/>
          <w:strike w:val="0"/>
          <w:dstrike w:val="0"/>
          <w:color w:val="auto"/>
          <w:sz w:val="24"/>
          <w:szCs w:val="24"/>
          <w:highlight w:val="none"/>
          <w:lang w:eastAsia="zh-CN"/>
        </w:rPr>
        <w:t>8的S形穿墙筋与原墙体连接;锚筋在砌体内的锚固深度不应小于120mm；锚筋的间距宜为600mm，穿墙筋的间距宜为900mm；</w:t>
      </w:r>
    </w:p>
    <w:p w14:paraId="77B11686">
      <w:pPr>
        <w:pStyle w:val="12"/>
        <w:ind w:firstLine="720" w:firstLineChars="300"/>
        <w:rPr>
          <w:rFonts w:hint="default" w:ascii="Times New Roman" w:hAnsi="Times New Roman" w:eastAsia="宋体" w:cs="Times New Roman"/>
          <w:strike w:val="0"/>
          <w:dstrike w:val="0"/>
          <w:color w:val="auto"/>
          <w:sz w:val="24"/>
          <w:szCs w:val="24"/>
          <w:highlight w:val="cyan"/>
          <w:lang w:eastAsia="zh-CN"/>
        </w:rPr>
      </w:pPr>
      <w:bookmarkStart w:id="70" w:name="_Toc23167"/>
      <w:r>
        <w:rPr>
          <w:rFonts w:hint="default" w:ascii="Times New Roman" w:hAnsi="Times New Roman" w:eastAsia="宋体" w:cs="Times New Roman"/>
          <w:strike w:val="0"/>
          <w:dstrike w:val="0"/>
          <w:color w:val="auto"/>
          <w:sz w:val="24"/>
          <w:szCs w:val="24"/>
          <w:highlight w:val="none"/>
          <w:lang w:val="en-US" w:eastAsia="zh-CN"/>
        </w:rPr>
        <w:t>6</w:t>
      </w:r>
      <w:r>
        <w:rPr>
          <w:rFonts w:hint="default" w:ascii="Times New Roman" w:hAnsi="Times New Roman" w:eastAsia="宋体" w:cs="Times New Roman"/>
          <w:strike w:val="0"/>
          <w:dstrike w:val="0"/>
          <w:color w:val="auto"/>
          <w:sz w:val="24"/>
          <w:szCs w:val="24"/>
          <w:highlight w:val="none"/>
          <w:lang w:eastAsia="zh-CN"/>
        </w:rPr>
        <w:t>）板墙基础埋深宜与原有基础相同。</w:t>
      </w:r>
      <w:bookmarkEnd w:id="70"/>
    </w:p>
    <w:p w14:paraId="250CF509">
      <w:pPr>
        <w:pStyle w:val="12"/>
        <w:ind w:firstLine="420"/>
        <w:rPr>
          <w:rFonts w:hint="default" w:ascii="Times New Roman" w:hAnsi="Times New Roman" w:eastAsia="宋体" w:cs="Times New Roman"/>
          <w:strike w:val="0"/>
          <w:dstrike w:val="0"/>
          <w:color w:val="auto"/>
          <w:sz w:val="24"/>
          <w:szCs w:val="24"/>
          <w:highlight w:val="none"/>
          <w:lang w:eastAsia="zh-CN"/>
        </w:rPr>
      </w:pPr>
      <w:r>
        <w:rPr>
          <w:rFonts w:hint="default" w:ascii="Times New Roman" w:hAnsi="Times New Roman" w:eastAsia="宋体" w:cs="Times New Roman"/>
          <w:b/>
          <w:bCs/>
          <w:strike w:val="0"/>
          <w:dstrike w:val="0"/>
          <w:color w:val="auto"/>
          <w:sz w:val="24"/>
          <w:szCs w:val="24"/>
          <w:highlight w:val="none"/>
          <w:lang w:eastAsia="zh-CN"/>
        </w:rPr>
        <w:t>2</w:t>
      </w:r>
      <w:r>
        <w:rPr>
          <w:rFonts w:hint="default" w:ascii="Times New Roman" w:hAnsi="Times New Roman" w:eastAsia="宋体" w:cs="Times New Roman"/>
          <w:strike w:val="0"/>
          <w:dstrike w:val="0"/>
          <w:color w:val="auto"/>
          <w:sz w:val="24"/>
          <w:szCs w:val="24"/>
          <w:highlight w:val="none"/>
          <w:lang w:eastAsia="zh-CN"/>
        </w:rPr>
        <w:t xml:space="preserve"> 板墙加固后，墙段抗震能力的增强系数可按本规程公式(</w:t>
      </w:r>
      <w:r>
        <w:rPr>
          <w:rFonts w:hint="default" w:ascii="Times New Roman" w:hAnsi="Times New Roman" w:eastAsia="宋体" w:cs="Times New Roman"/>
          <w:strike w:val="0"/>
          <w:dstrike w:val="0"/>
          <w:color w:val="auto"/>
          <w:sz w:val="24"/>
          <w:szCs w:val="24"/>
          <w:highlight w:val="none"/>
          <w:lang w:val="en-US" w:eastAsia="zh-CN"/>
        </w:rPr>
        <w:t>6</w:t>
      </w:r>
      <w:r>
        <w:rPr>
          <w:rFonts w:hint="default" w:ascii="Times New Roman" w:hAnsi="Times New Roman" w:eastAsia="宋体" w:cs="Times New Roman"/>
          <w:strike w:val="0"/>
          <w:dstrike w:val="0"/>
          <w:color w:val="auto"/>
          <w:sz w:val="24"/>
          <w:szCs w:val="24"/>
          <w:highlight w:val="none"/>
          <w:lang w:eastAsia="zh-CN"/>
        </w:rPr>
        <w:t>.</w:t>
      </w:r>
      <w:r>
        <w:rPr>
          <w:rFonts w:hint="default" w:ascii="Times New Roman" w:hAnsi="Times New Roman" w:eastAsia="宋体" w:cs="Times New Roman"/>
          <w:strike w:val="0"/>
          <w:dstrike w:val="0"/>
          <w:color w:val="auto"/>
          <w:sz w:val="24"/>
          <w:szCs w:val="24"/>
          <w:highlight w:val="none"/>
          <w:lang w:val="en-US" w:eastAsia="zh-CN"/>
        </w:rPr>
        <w:t>3</w:t>
      </w:r>
      <w:r>
        <w:rPr>
          <w:rFonts w:hint="default" w:ascii="Times New Roman" w:hAnsi="Times New Roman" w:eastAsia="宋体" w:cs="Times New Roman"/>
          <w:strike w:val="0"/>
          <w:dstrike w:val="0"/>
          <w:color w:val="auto"/>
          <w:sz w:val="24"/>
          <w:szCs w:val="24"/>
          <w:highlight w:val="none"/>
          <w:lang w:eastAsia="zh-CN"/>
        </w:rPr>
        <w:t>.8-1)计算；其中，板墙加固墙段的增强系数，原有墙体的砌筑砂浆强度等级为M2.5和M5时可取2.5，砌筑砂浆强度等级为M7.5时可取2.0，砌筑砂浆强度等级为M10时可取1.8。</w:t>
      </w:r>
    </w:p>
    <w:p w14:paraId="11BFBB22">
      <w:pPr>
        <w:pStyle w:val="12"/>
        <w:ind w:firstLine="422"/>
        <w:rPr>
          <w:rFonts w:hint="default" w:ascii="Times New Roman" w:hAnsi="Times New Roman" w:eastAsia="宋体" w:cs="Times New Roman"/>
          <w:strike w:val="0"/>
          <w:dstrike w:val="0"/>
          <w:color w:val="auto"/>
          <w:sz w:val="24"/>
          <w:szCs w:val="24"/>
          <w:highlight w:val="none"/>
          <w:lang w:eastAsia="zh-CN"/>
        </w:rPr>
      </w:pPr>
      <w:r>
        <w:rPr>
          <w:rFonts w:hint="default" w:ascii="Times New Roman" w:hAnsi="Times New Roman" w:eastAsia="宋体" w:cs="Times New Roman"/>
          <w:b/>
          <w:bCs/>
          <w:strike w:val="0"/>
          <w:dstrike w:val="0"/>
          <w:color w:val="auto"/>
          <w:sz w:val="24"/>
          <w:szCs w:val="24"/>
          <w:highlight w:val="none"/>
          <w:lang w:eastAsia="zh-CN"/>
        </w:rPr>
        <w:t>3</w:t>
      </w:r>
      <w:r>
        <w:rPr>
          <w:rFonts w:hint="default" w:ascii="Times New Roman" w:hAnsi="Times New Roman" w:eastAsia="宋体" w:cs="Times New Roman"/>
          <w:strike w:val="0"/>
          <w:dstrike w:val="0"/>
          <w:color w:val="auto"/>
          <w:sz w:val="24"/>
          <w:szCs w:val="24"/>
          <w:highlight w:val="none"/>
          <w:lang w:eastAsia="zh-CN"/>
        </w:rPr>
        <w:t xml:space="preserve"> 双面板墙加固且总厚度不小于140mm时，其增强系数可按增设混凝土抗震墙加固法取值。</w:t>
      </w:r>
    </w:p>
    <w:p w14:paraId="3DD192EF">
      <w:pPr>
        <w:rPr>
          <w:rFonts w:hint="default" w:ascii="Times New Roman" w:hAnsi="Times New Roman" w:eastAsia="宋体" w:cs="Times New Roman"/>
          <w:strike w:val="0"/>
          <w:dstrike w:val="0"/>
          <w:snapToGrid w:val="0"/>
          <w:color w:val="auto"/>
          <w:sz w:val="24"/>
          <w:szCs w:val="24"/>
          <w:highlight w:val="none"/>
        </w:rPr>
      </w:pPr>
      <w:r>
        <w:rPr>
          <w:rFonts w:hint="default" w:ascii="Times New Roman" w:hAnsi="Times New Roman" w:eastAsia="宋体" w:cs="Times New Roman"/>
          <w:b/>
          <w:bCs/>
          <w:strike w:val="0"/>
          <w:dstrike w:val="0"/>
          <w:snapToGrid w:val="0"/>
          <w:color w:val="auto"/>
          <w:sz w:val="24"/>
          <w:szCs w:val="24"/>
          <w:highlight w:val="none"/>
          <w:lang w:val="en-US" w:eastAsia="zh-CN"/>
        </w:rPr>
        <w:t>6</w:t>
      </w:r>
      <w:r>
        <w:rPr>
          <w:rFonts w:hint="default" w:ascii="Times New Roman" w:hAnsi="Times New Roman" w:eastAsia="宋体" w:cs="Times New Roman"/>
          <w:b/>
          <w:bCs/>
          <w:strike w:val="0"/>
          <w:dstrike w:val="0"/>
          <w:snapToGrid w:val="0"/>
          <w:color w:val="auto"/>
          <w:sz w:val="24"/>
          <w:szCs w:val="24"/>
          <w:highlight w:val="none"/>
        </w:rPr>
        <w:t>.3.5</w:t>
      </w:r>
      <w:r>
        <w:rPr>
          <w:rFonts w:hint="default" w:ascii="Times New Roman" w:hAnsi="Times New Roman" w:eastAsia="宋体" w:cs="Times New Roman"/>
          <w:strike w:val="0"/>
          <w:dstrike w:val="0"/>
          <w:snapToGrid w:val="0"/>
          <w:color w:val="auto"/>
          <w:sz w:val="24"/>
          <w:szCs w:val="24"/>
          <w:highlight w:val="none"/>
        </w:rPr>
        <w:t xml:space="preserve"> 板墙加固的施工应符合下列要求：</w:t>
      </w:r>
    </w:p>
    <w:p w14:paraId="5135DB28">
      <w:pPr>
        <w:pStyle w:val="12"/>
        <w:ind w:firstLine="420"/>
        <w:rPr>
          <w:rFonts w:hint="default" w:ascii="Times New Roman" w:hAnsi="Times New Roman" w:eastAsia="宋体" w:cs="Times New Roman"/>
          <w:strike w:val="0"/>
          <w:dstrike w:val="0"/>
          <w:color w:val="auto"/>
          <w:sz w:val="24"/>
          <w:szCs w:val="24"/>
          <w:highlight w:val="none"/>
          <w:lang w:eastAsia="zh-CN"/>
        </w:rPr>
      </w:pPr>
      <w:r>
        <w:rPr>
          <w:rFonts w:hint="default" w:ascii="Times New Roman" w:hAnsi="Times New Roman" w:eastAsia="宋体" w:cs="Times New Roman"/>
          <w:strike w:val="0"/>
          <w:dstrike w:val="0"/>
          <w:color w:val="auto"/>
          <w:sz w:val="24"/>
          <w:szCs w:val="24"/>
          <w:highlight w:val="none"/>
          <w:lang w:eastAsia="zh-CN"/>
        </w:rPr>
        <w:t>1 板墙加固施工的基本顺序、钻孔注意事项，可按本规程第</w:t>
      </w:r>
      <w:r>
        <w:rPr>
          <w:rFonts w:hint="default" w:ascii="Times New Roman" w:hAnsi="Times New Roman" w:eastAsia="宋体" w:cs="Times New Roman"/>
          <w:strike w:val="0"/>
          <w:dstrike w:val="0"/>
          <w:color w:val="auto"/>
          <w:sz w:val="24"/>
          <w:szCs w:val="24"/>
          <w:highlight w:val="none"/>
          <w:lang w:val="en-US" w:eastAsia="zh-CN"/>
        </w:rPr>
        <w:t>6</w:t>
      </w:r>
      <w:r>
        <w:rPr>
          <w:rFonts w:hint="default" w:ascii="Times New Roman" w:hAnsi="Times New Roman" w:eastAsia="宋体" w:cs="Times New Roman"/>
          <w:strike w:val="0"/>
          <w:dstrike w:val="0"/>
          <w:color w:val="auto"/>
          <w:sz w:val="24"/>
          <w:szCs w:val="24"/>
          <w:highlight w:val="none"/>
          <w:lang w:eastAsia="zh-CN"/>
        </w:rPr>
        <w:t>.</w:t>
      </w:r>
      <w:r>
        <w:rPr>
          <w:rFonts w:hint="default" w:ascii="Times New Roman" w:hAnsi="Times New Roman" w:eastAsia="宋体" w:cs="Times New Roman"/>
          <w:strike w:val="0"/>
          <w:dstrike w:val="0"/>
          <w:color w:val="auto"/>
          <w:sz w:val="24"/>
          <w:szCs w:val="24"/>
          <w:highlight w:val="none"/>
          <w:lang w:val="en-US" w:eastAsia="zh-CN"/>
        </w:rPr>
        <w:t>3</w:t>
      </w:r>
      <w:r>
        <w:rPr>
          <w:rFonts w:hint="default" w:ascii="Times New Roman" w:hAnsi="Times New Roman" w:eastAsia="宋体" w:cs="Times New Roman"/>
          <w:strike w:val="0"/>
          <w:dstrike w:val="0"/>
          <w:color w:val="auto"/>
          <w:sz w:val="24"/>
          <w:szCs w:val="24"/>
          <w:highlight w:val="none"/>
          <w:lang w:eastAsia="zh-CN"/>
        </w:rPr>
        <w:t>.9条对面层加固的相关规定执行。</w:t>
      </w:r>
    </w:p>
    <w:p w14:paraId="11719A59">
      <w:pPr>
        <w:pStyle w:val="12"/>
        <w:ind w:firstLine="420"/>
        <w:rPr>
          <w:rFonts w:hint="default" w:ascii="Times New Roman" w:hAnsi="Times New Roman" w:eastAsia="宋体" w:cs="Times New Roman"/>
          <w:strike w:val="0"/>
          <w:dstrike w:val="0"/>
          <w:color w:val="auto"/>
          <w:sz w:val="24"/>
          <w:szCs w:val="24"/>
          <w:highlight w:val="none"/>
          <w:lang w:eastAsia="zh-CN"/>
        </w:rPr>
      </w:pPr>
      <w:r>
        <w:rPr>
          <w:rFonts w:hint="default" w:ascii="Times New Roman" w:hAnsi="Times New Roman" w:eastAsia="宋体" w:cs="Times New Roman"/>
          <w:strike w:val="0"/>
          <w:dstrike w:val="0"/>
          <w:color w:val="auto"/>
          <w:sz w:val="24"/>
          <w:szCs w:val="24"/>
          <w:highlight w:val="none"/>
          <w:lang w:eastAsia="zh-CN"/>
        </w:rPr>
        <w:t>2 板墙可支模浇灌或采用喷射混凝土工艺，应采取措施使墙顶与楼板交界处混凝土的密实，浇筑后应加强养护。</w:t>
      </w:r>
    </w:p>
    <w:p w14:paraId="71E34772">
      <w:pPr>
        <w:spacing w:before="120" w:after="120"/>
        <w:jc w:val="center"/>
        <w:rPr>
          <w:rFonts w:hint="default" w:ascii="Times New Roman" w:hAnsi="Times New Roman" w:eastAsia="宋体" w:cs="Times New Roman"/>
          <w:color w:val="auto"/>
          <w:sz w:val="24"/>
          <w:szCs w:val="24"/>
          <w:highlight w:val="none"/>
        </w:rPr>
      </w:pPr>
      <w:bookmarkStart w:id="71" w:name="_Toc21922"/>
      <w:r>
        <w:rPr>
          <w:rFonts w:hint="default" w:ascii="Times New Roman" w:hAnsi="Times New Roman" w:eastAsia="宋体" w:cs="Times New Roman"/>
          <w:b/>
          <w:color w:val="auto"/>
          <w:sz w:val="24"/>
          <w:szCs w:val="24"/>
          <w:highlight w:val="none"/>
        </w:rPr>
        <w:t>Ⅲ</w:t>
      </w:r>
      <w:r>
        <w:rPr>
          <w:rFonts w:hint="default" w:ascii="Times New Roman" w:hAnsi="Times New Roman" w:eastAsia="宋体" w:cs="Times New Roman"/>
          <w:color w:val="auto"/>
          <w:sz w:val="24"/>
          <w:szCs w:val="24"/>
          <w:highlight w:val="none"/>
        </w:rPr>
        <w:t xml:space="preserve"> 钢筋网水泥砂浆面层法</w:t>
      </w:r>
      <w:bookmarkEnd w:id="71"/>
    </w:p>
    <w:p w14:paraId="42CC9B26">
      <w:pPr>
        <w:rPr>
          <w:rFonts w:hint="default" w:ascii="Times New Roman" w:hAnsi="Times New Roman" w:eastAsia="宋体" w:cs="Times New Roman"/>
          <w:snapToGrid w:val="0"/>
          <w:color w:val="auto"/>
          <w:sz w:val="24"/>
          <w:szCs w:val="24"/>
          <w:highlight w:val="none"/>
        </w:rPr>
      </w:pPr>
      <w:r>
        <w:rPr>
          <w:rFonts w:hint="default" w:ascii="Times New Roman" w:hAnsi="Times New Roman" w:eastAsia="宋体" w:cs="Times New Roman"/>
          <w:b/>
          <w:bCs/>
          <w:snapToGrid w:val="0"/>
          <w:color w:val="auto"/>
          <w:sz w:val="24"/>
          <w:szCs w:val="24"/>
          <w:highlight w:val="none"/>
          <w:lang w:val="en-US" w:eastAsia="zh-CN"/>
        </w:rPr>
        <w:t>6</w:t>
      </w:r>
      <w:r>
        <w:rPr>
          <w:rFonts w:hint="default" w:ascii="Times New Roman" w:hAnsi="Times New Roman" w:eastAsia="宋体" w:cs="Times New Roman"/>
          <w:b/>
          <w:bCs/>
          <w:snapToGrid w:val="0"/>
          <w:color w:val="auto"/>
          <w:sz w:val="24"/>
          <w:szCs w:val="24"/>
          <w:highlight w:val="none"/>
        </w:rPr>
        <w:t>.3.6</w:t>
      </w:r>
      <w:r>
        <w:rPr>
          <w:rFonts w:hint="default" w:ascii="Times New Roman" w:hAnsi="Times New Roman" w:eastAsia="宋体" w:cs="Times New Roman"/>
          <w:snapToGrid w:val="0"/>
          <w:color w:val="auto"/>
          <w:sz w:val="24"/>
          <w:szCs w:val="24"/>
          <w:highlight w:val="none"/>
        </w:rPr>
        <w:t xml:space="preserve"> 当采用钢筋网水泥砂浆面层加固砌体构件时，应符合下</w:t>
      </w:r>
      <w:r>
        <w:rPr>
          <w:rFonts w:hint="default" w:ascii="Times New Roman" w:hAnsi="Times New Roman" w:eastAsia="宋体" w:cs="Times New Roman"/>
          <w:snapToGrid w:val="0"/>
          <w:color w:val="auto"/>
          <w:spacing w:val="-3"/>
          <w:sz w:val="24"/>
          <w:szCs w:val="24"/>
          <w:highlight w:val="none"/>
        </w:rPr>
        <w:t>列规定：</w:t>
      </w:r>
    </w:p>
    <w:p w14:paraId="3CE38038">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1</w:t>
      </w:r>
      <w:r>
        <w:rPr>
          <w:rFonts w:hint="default" w:ascii="Times New Roman" w:hAnsi="Times New Roman" w:eastAsia="宋体" w:cs="Times New Roman"/>
          <w:bCs/>
          <w:color w:val="auto"/>
          <w:sz w:val="24"/>
          <w:szCs w:val="24"/>
          <w:highlight w:val="none"/>
          <w:lang w:eastAsia="zh-CN"/>
        </w:rPr>
        <w:t xml:space="preserve"> </w:t>
      </w:r>
      <w:r>
        <w:rPr>
          <w:rFonts w:hint="default" w:ascii="Times New Roman" w:hAnsi="Times New Roman" w:eastAsia="宋体" w:cs="Times New Roman"/>
          <w:color w:val="auto"/>
          <w:sz w:val="24"/>
          <w:szCs w:val="24"/>
          <w:highlight w:val="none"/>
          <w:lang w:eastAsia="zh-CN"/>
        </w:rPr>
        <w:t>对于受压构件，原砌筑砂浆的强度等级不应低于M2.5；</w:t>
      </w:r>
      <w:r>
        <w:rPr>
          <w:rFonts w:hint="default" w:ascii="Times New Roman" w:hAnsi="Times New Roman" w:eastAsia="宋体" w:cs="Times New Roman"/>
          <w:color w:val="auto"/>
          <w:spacing w:val="-1"/>
          <w:sz w:val="24"/>
          <w:szCs w:val="24"/>
          <w:highlight w:val="none"/>
          <w:lang w:eastAsia="zh-CN"/>
        </w:rPr>
        <w:t>对砌块砌体，其原砌筑砂浆强度等级不应低于M2.5。</w:t>
      </w:r>
    </w:p>
    <w:p w14:paraId="4775E189">
      <w:pPr>
        <w:pStyle w:val="12"/>
        <w:ind w:firstLine="422"/>
        <w:rPr>
          <w:rFonts w:hint="default" w:ascii="Times New Roman" w:hAnsi="Times New Roman" w:eastAsia="宋体" w:cs="Times New Roman"/>
          <w:color w:val="auto"/>
          <w:sz w:val="24"/>
          <w:szCs w:val="24"/>
          <w:highlight w:val="none"/>
          <w:lang w:eastAsia="zh-CN"/>
        </w:rPr>
      </w:pPr>
      <w:bookmarkStart w:id="72" w:name="_Toc20213"/>
      <w:r>
        <w:rPr>
          <w:rFonts w:hint="default" w:ascii="Times New Roman" w:hAnsi="Times New Roman" w:eastAsia="宋体" w:cs="Times New Roman"/>
          <w:b/>
          <w:bCs/>
          <w:color w:val="auto"/>
          <w:sz w:val="24"/>
          <w:szCs w:val="24"/>
          <w:highlight w:val="none"/>
          <w:lang w:eastAsia="zh-CN"/>
        </w:rPr>
        <w:t xml:space="preserve">2 </w:t>
      </w:r>
      <w:r>
        <w:rPr>
          <w:rFonts w:hint="default" w:ascii="Times New Roman" w:hAnsi="Times New Roman" w:eastAsia="宋体" w:cs="Times New Roman"/>
          <w:color w:val="auto"/>
          <w:sz w:val="24"/>
          <w:szCs w:val="24"/>
          <w:highlight w:val="none"/>
          <w:lang w:eastAsia="zh-CN"/>
        </w:rPr>
        <w:t>块材严重风化的砌体，不应采用钢筋网水泥砂浆面层进</w:t>
      </w:r>
      <w:r>
        <w:rPr>
          <w:rFonts w:hint="default" w:ascii="Times New Roman" w:hAnsi="Times New Roman" w:eastAsia="宋体" w:cs="Times New Roman"/>
          <w:color w:val="auto"/>
          <w:spacing w:val="-3"/>
          <w:sz w:val="24"/>
          <w:szCs w:val="24"/>
          <w:highlight w:val="none"/>
          <w:lang w:eastAsia="zh-CN"/>
        </w:rPr>
        <w:t>行加固。</w:t>
      </w:r>
      <w:bookmarkEnd w:id="72"/>
    </w:p>
    <w:p w14:paraId="7892067E">
      <w:pPr>
        <w:spacing w:line="360" w:lineRule="exact"/>
        <w:rPr>
          <w:rFonts w:hint="default" w:ascii="Times New Roman" w:hAnsi="Times New Roman" w:eastAsia="宋体" w:cs="Times New Roman"/>
          <w:snapToGrid w:val="0"/>
          <w:color w:val="auto"/>
          <w:sz w:val="24"/>
          <w:szCs w:val="24"/>
          <w:highlight w:val="none"/>
        </w:rPr>
      </w:pPr>
      <w:bookmarkStart w:id="73" w:name="_Toc19513"/>
      <w:r>
        <w:rPr>
          <w:rFonts w:hint="default" w:ascii="Times New Roman" w:hAnsi="Times New Roman" w:eastAsia="宋体" w:cs="Times New Roman"/>
          <w:b/>
          <w:bCs/>
          <w:snapToGrid w:val="0"/>
          <w:color w:val="auto"/>
          <w:sz w:val="24"/>
          <w:szCs w:val="24"/>
          <w:highlight w:val="none"/>
          <w:lang w:val="en-US" w:eastAsia="zh-CN"/>
        </w:rPr>
        <w:t>6</w:t>
      </w:r>
      <w:r>
        <w:rPr>
          <w:rFonts w:hint="default" w:ascii="Times New Roman" w:hAnsi="Times New Roman" w:eastAsia="宋体" w:cs="Times New Roman"/>
          <w:b/>
          <w:bCs/>
          <w:snapToGrid w:val="0"/>
          <w:color w:val="auto"/>
          <w:sz w:val="24"/>
          <w:szCs w:val="24"/>
          <w:highlight w:val="none"/>
        </w:rPr>
        <w:t xml:space="preserve">.3.7 </w:t>
      </w:r>
      <w:r>
        <w:rPr>
          <w:rFonts w:hint="default" w:ascii="Times New Roman" w:hAnsi="Times New Roman" w:eastAsia="宋体" w:cs="Times New Roman"/>
          <w:snapToGrid w:val="0"/>
          <w:color w:val="auto"/>
          <w:sz w:val="24"/>
          <w:szCs w:val="24"/>
          <w:highlight w:val="none"/>
        </w:rPr>
        <w:t>钢筋网水泥砂浆面层的构造，应符合下列规定：</w:t>
      </w:r>
      <w:bookmarkEnd w:id="73"/>
    </w:p>
    <w:p w14:paraId="2B2F8AF4">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1</w:t>
      </w:r>
      <w:r>
        <w:rPr>
          <w:rFonts w:hint="default" w:ascii="Times New Roman" w:hAnsi="Times New Roman" w:eastAsia="宋体" w:cs="Times New Roman"/>
          <w:color w:val="auto"/>
          <w:sz w:val="24"/>
          <w:szCs w:val="24"/>
          <w:highlight w:val="none"/>
          <w:lang w:eastAsia="zh-CN"/>
        </w:rPr>
        <w:t xml:space="preserve"> 当采用钢筋网水泥砂浆面层加固砌体承重构件时，其面层厚度，对室内正常湿度环境，应为35mm～45mm；对于露天或潮湿环境，应为45mm～50mm。</w:t>
      </w:r>
    </w:p>
    <w:p w14:paraId="352B1604">
      <w:pPr>
        <w:pStyle w:val="12"/>
        <w:ind w:firstLine="434"/>
        <w:rPr>
          <w:rFonts w:hint="default" w:ascii="Times New Roman" w:hAnsi="Times New Roman" w:eastAsia="宋体" w:cs="Times New Roman"/>
          <w:color w:val="auto"/>
          <w:sz w:val="24"/>
          <w:szCs w:val="24"/>
          <w:highlight w:val="none"/>
          <w:lang w:eastAsia="zh-CN"/>
        </w:rPr>
      </w:pPr>
      <w:bookmarkStart w:id="74" w:name="_Toc23653"/>
      <w:r>
        <w:rPr>
          <w:rFonts w:hint="default" w:ascii="Times New Roman" w:hAnsi="Times New Roman" w:eastAsia="宋体" w:cs="Times New Roman"/>
          <w:b/>
          <w:bCs/>
          <w:color w:val="auto"/>
          <w:spacing w:val="3"/>
          <w:sz w:val="24"/>
          <w:szCs w:val="24"/>
          <w:highlight w:val="none"/>
          <w:lang w:eastAsia="zh-CN"/>
        </w:rPr>
        <w:t xml:space="preserve">2 </w:t>
      </w:r>
      <w:r>
        <w:rPr>
          <w:rFonts w:hint="default" w:ascii="Times New Roman" w:hAnsi="Times New Roman" w:eastAsia="宋体" w:cs="Times New Roman"/>
          <w:color w:val="auto"/>
          <w:spacing w:val="3"/>
          <w:sz w:val="24"/>
          <w:szCs w:val="24"/>
          <w:highlight w:val="none"/>
          <w:lang w:eastAsia="zh-CN"/>
        </w:rPr>
        <w:t>加固用的水泥砂浆强度及钢筋网保护层厚度应符合下列</w:t>
      </w:r>
      <w:r>
        <w:rPr>
          <w:rFonts w:hint="default" w:ascii="Times New Roman" w:hAnsi="Times New Roman" w:eastAsia="宋体" w:cs="Times New Roman"/>
          <w:color w:val="auto"/>
          <w:spacing w:val="-13"/>
          <w:sz w:val="24"/>
          <w:szCs w:val="24"/>
          <w:highlight w:val="none"/>
          <w:lang w:eastAsia="zh-CN"/>
        </w:rPr>
        <w:t>要求：</w:t>
      </w:r>
      <w:bookmarkEnd w:id="74"/>
    </w:p>
    <w:p w14:paraId="111E0E33">
      <w:pPr>
        <w:pStyle w:val="12"/>
        <w:ind w:firstLine="783" w:firstLineChars="3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pacing w:val="10"/>
          <w:sz w:val="24"/>
          <w:szCs w:val="24"/>
          <w:highlight w:val="none"/>
          <w:lang w:eastAsia="zh-CN"/>
        </w:rPr>
        <w:t>1）</w:t>
      </w:r>
      <w:r>
        <w:rPr>
          <w:rFonts w:hint="default" w:ascii="Times New Roman" w:hAnsi="Times New Roman" w:eastAsia="宋体" w:cs="Times New Roman"/>
          <w:color w:val="auto"/>
          <w:spacing w:val="10"/>
          <w:sz w:val="24"/>
          <w:szCs w:val="24"/>
          <w:highlight w:val="none"/>
          <w:lang w:eastAsia="zh-CN"/>
        </w:rPr>
        <w:t>加固受压构件用的水泥砂浆，其强度等级不应低于</w:t>
      </w:r>
      <w:r>
        <w:rPr>
          <w:rFonts w:hint="default" w:ascii="Times New Roman" w:hAnsi="Times New Roman" w:eastAsia="宋体" w:cs="Times New Roman"/>
          <w:color w:val="auto"/>
          <w:spacing w:val="5"/>
          <w:sz w:val="24"/>
          <w:szCs w:val="24"/>
          <w:highlight w:val="none"/>
          <w:lang w:eastAsia="zh-CN"/>
        </w:rPr>
        <w:t>M15；加固受剪构件用的水泥砂浆，其强度等级不应</w:t>
      </w:r>
      <w:r>
        <w:rPr>
          <w:rFonts w:hint="default" w:ascii="Times New Roman" w:hAnsi="Times New Roman" w:eastAsia="宋体" w:cs="Times New Roman"/>
          <w:color w:val="auto"/>
          <w:spacing w:val="-2"/>
          <w:sz w:val="24"/>
          <w:szCs w:val="24"/>
          <w:highlight w:val="none"/>
          <w:lang w:eastAsia="zh-CN"/>
        </w:rPr>
        <w:t>低于M10。</w:t>
      </w:r>
    </w:p>
    <w:p w14:paraId="77423335">
      <w:pPr>
        <w:pStyle w:val="12"/>
        <w:ind w:firstLine="783" w:firstLineChars="3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pacing w:val="10"/>
          <w:sz w:val="24"/>
          <w:szCs w:val="24"/>
          <w:highlight w:val="none"/>
          <w:lang w:eastAsia="zh-CN"/>
        </w:rPr>
        <w:t>2）</w:t>
      </w:r>
      <w:r>
        <w:rPr>
          <w:rFonts w:hint="default" w:ascii="Times New Roman" w:hAnsi="Times New Roman" w:eastAsia="宋体" w:cs="Times New Roman"/>
          <w:color w:val="auto"/>
          <w:spacing w:val="15"/>
          <w:sz w:val="24"/>
          <w:szCs w:val="24"/>
          <w:highlight w:val="none"/>
          <w:lang w:eastAsia="zh-CN"/>
        </w:rPr>
        <w:t>受力钢筋的砂浆保护层厚度，对墙不应小于20</w:t>
      </w:r>
      <w:r>
        <w:rPr>
          <w:rFonts w:hint="default" w:ascii="Times New Roman" w:hAnsi="Times New Roman" w:eastAsia="宋体" w:cs="Times New Roman"/>
          <w:color w:val="auto"/>
          <w:sz w:val="24"/>
          <w:szCs w:val="24"/>
          <w:highlight w:val="none"/>
          <w:lang w:eastAsia="zh-CN"/>
        </w:rPr>
        <w:t>mm</w:t>
      </w:r>
      <w:r>
        <w:rPr>
          <w:rFonts w:hint="default" w:ascii="Times New Roman" w:hAnsi="Times New Roman" w:eastAsia="宋体" w:cs="Times New Roman"/>
          <w:color w:val="auto"/>
          <w:spacing w:val="15"/>
          <w:sz w:val="24"/>
          <w:szCs w:val="24"/>
          <w:highlight w:val="none"/>
          <w:lang w:eastAsia="zh-CN"/>
        </w:rPr>
        <w:t>，</w:t>
      </w:r>
      <w:r>
        <w:rPr>
          <w:rFonts w:hint="default" w:ascii="Times New Roman" w:hAnsi="Times New Roman" w:eastAsia="宋体" w:cs="Times New Roman"/>
          <w:color w:val="auto"/>
          <w:spacing w:val="6"/>
          <w:sz w:val="24"/>
          <w:szCs w:val="24"/>
          <w:highlight w:val="none"/>
          <w:lang w:eastAsia="zh-CN"/>
        </w:rPr>
        <w:t>对柱不应小于30</w:t>
      </w:r>
      <w:r>
        <w:rPr>
          <w:rFonts w:hint="default" w:ascii="Times New Roman" w:hAnsi="Times New Roman" w:eastAsia="宋体" w:cs="Times New Roman"/>
          <w:color w:val="auto"/>
          <w:sz w:val="24"/>
          <w:szCs w:val="24"/>
          <w:highlight w:val="none"/>
          <w:lang w:eastAsia="zh-CN"/>
        </w:rPr>
        <w:t>mm</w:t>
      </w:r>
      <w:r>
        <w:rPr>
          <w:rFonts w:hint="default" w:ascii="Times New Roman" w:hAnsi="Times New Roman" w:eastAsia="宋体" w:cs="Times New Roman"/>
          <w:color w:val="auto"/>
          <w:spacing w:val="6"/>
          <w:sz w:val="24"/>
          <w:szCs w:val="24"/>
          <w:highlight w:val="none"/>
          <w:lang w:eastAsia="zh-CN"/>
        </w:rPr>
        <w:t>；受力钢筋距砌体表面的距离不</w:t>
      </w:r>
      <w:r>
        <w:rPr>
          <w:rFonts w:hint="default" w:ascii="Times New Roman" w:hAnsi="Times New Roman" w:eastAsia="宋体" w:cs="Times New Roman"/>
          <w:color w:val="auto"/>
          <w:spacing w:val="8"/>
          <w:sz w:val="24"/>
          <w:szCs w:val="24"/>
          <w:highlight w:val="none"/>
          <w:lang w:eastAsia="zh-CN"/>
        </w:rPr>
        <w:t>应小于5</w:t>
      </w:r>
      <w:r>
        <w:rPr>
          <w:rFonts w:hint="default" w:ascii="Times New Roman" w:hAnsi="Times New Roman" w:eastAsia="宋体" w:cs="Times New Roman"/>
          <w:color w:val="auto"/>
          <w:sz w:val="24"/>
          <w:szCs w:val="24"/>
          <w:highlight w:val="none"/>
          <w:lang w:eastAsia="zh-CN"/>
        </w:rPr>
        <w:t>mm</w:t>
      </w:r>
      <w:r>
        <w:rPr>
          <w:rFonts w:hint="default" w:ascii="Times New Roman" w:hAnsi="Times New Roman" w:eastAsia="宋体" w:cs="Times New Roman"/>
          <w:color w:val="auto"/>
          <w:spacing w:val="8"/>
          <w:sz w:val="24"/>
          <w:szCs w:val="24"/>
          <w:highlight w:val="none"/>
          <w:lang w:eastAsia="zh-CN"/>
        </w:rPr>
        <w:t>。</w:t>
      </w:r>
    </w:p>
    <w:p w14:paraId="6CD658F2">
      <w:pPr>
        <w:pStyle w:val="12"/>
        <w:ind w:firstLine="410"/>
        <w:rPr>
          <w:rFonts w:hint="default" w:ascii="Times New Roman" w:hAnsi="Times New Roman" w:eastAsia="宋体" w:cs="Times New Roman"/>
          <w:color w:val="auto"/>
          <w:sz w:val="24"/>
          <w:szCs w:val="24"/>
          <w:highlight w:val="none"/>
          <w:lang w:eastAsia="zh-CN"/>
        </w:rPr>
      </w:pPr>
      <w:bookmarkStart w:id="75" w:name="_Toc2281"/>
      <w:r>
        <w:rPr>
          <w:rFonts w:hint="default" w:ascii="Times New Roman" w:hAnsi="Times New Roman" w:eastAsia="宋体" w:cs="Times New Roman"/>
          <w:b/>
          <w:bCs/>
          <w:color w:val="auto"/>
          <w:spacing w:val="-3"/>
          <w:sz w:val="24"/>
          <w:szCs w:val="24"/>
          <w:highlight w:val="none"/>
          <w:lang w:eastAsia="zh-CN"/>
        </w:rPr>
        <w:t>3</w:t>
      </w:r>
      <w:r>
        <w:rPr>
          <w:rFonts w:hint="default" w:ascii="Times New Roman" w:hAnsi="Times New Roman" w:eastAsia="宋体" w:cs="Times New Roman"/>
          <w:color w:val="auto"/>
          <w:spacing w:val="-3"/>
          <w:sz w:val="24"/>
          <w:szCs w:val="24"/>
          <w:highlight w:val="none"/>
          <w:lang w:eastAsia="zh-CN"/>
        </w:rPr>
        <w:t xml:space="preserve"> 当加固柱或壁柱时，其构造应符合下列规定：</w:t>
      </w:r>
      <w:bookmarkEnd w:id="75"/>
    </w:p>
    <w:p w14:paraId="039ECF5A">
      <w:pPr>
        <w:pStyle w:val="12"/>
        <w:ind w:firstLine="765" w:firstLineChars="3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pacing w:val="7"/>
          <w:sz w:val="24"/>
          <w:szCs w:val="24"/>
          <w:highlight w:val="none"/>
          <w:lang w:eastAsia="zh-CN"/>
        </w:rPr>
        <w:t>1）</w:t>
      </w:r>
      <w:r>
        <w:rPr>
          <w:rFonts w:hint="default" w:ascii="Times New Roman" w:hAnsi="Times New Roman" w:eastAsia="宋体" w:cs="Times New Roman"/>
          <w:color w:val="auto"/>
          <w:spacing w:val="7"/>
          <w:sz w:val="24"/>
          <w:szCs w:val="24"/>
          <w:highlight w:val="none"/>
          <w:lang w:eastAsia="zh-CN"/>
        </w:rPr>
        <w:t>竖向受力钢筋直径不应小于10</w:t>
      </w:r>
      <w:r>
        <w:rPr>
          <w:rFonts w:hint="default" w:ascii="Times New Roman" w:hAnsi="Times New Roman" w:eastAsia="宋体" w:cs="Times New Roman"/>
          <w:color w:val="auto"/>
          <w:sz w:val="24"/>
          <w:szCs w:val="24"/>
          <w:highlight w:val="none"/>
          <w:lang w:eastAsia="zh-CN"/>
        </w:rPr>
        <w:t>mm</w:t>
      </w:r>
      <w:r>
        <w:rPr>
          <w:rFonts w:hint="default" w:ascii="Times New Roman" w:hAnsi="Times New Roman" w:eastAsia="宋体" w:cs="Times New Roman"/>
          <w:color w:val="auto"/>
          <w:spacing w:val="7"/>
          <w:sz w:val="24"/>
          <w:szCs w:val="24"/>
          <w:highlight w:val="none"/>
          <w:lang w:eastAsia="zh-CN"/>
        </w:rPr>
        <w:t>；受压钢筋</w:t>
      </w:r>
      <w:r>
        <w:rPr>
          <w:rFonts w:hint="default" w:ascii="Times New Roman" w:hAnsi="Times New Roman" w:eastAsia="宋体" w:cs="Times New Roman"/>
          <w:color w:val="auto"/>
          <w:spacing w:val="6"/>
          <w:sz w:val="24"/>
          <w:szCs w:val="24"/>
          <w:highlight w:val="none"/>
          <w:lang w:eastAsia="zh-CN"/>
        </w:rPr>
        <w:t>一侧的</w:t>
      </w:r>
      <w:r>
        <w:rPr>
          <w:rFonts w:hint="default" w:ascii="Times New Roman" w:hAnsi="Times New Roman" w:eastAsia="宋体" w:cs="Times New Roman"/>
          <w:color w:val="auto"/>
          <w:spacing w:val="25"/>
          <w:sz w:val="24"/>
          <w:szCs w:val="24"/>
          <w:highlight w:val="none"/>
          <w:lang w:eastAsia="zh-CN"/>
        </w:rPr>
        <w:t>配筋率不应小于0.2%；受拉钢筋的配筋率不应小</w:t>
      </w:r>
      <w:r>
        <w:rPr>
          <w:rFonts w:hint="default" w:ascii="Times New Roman" w:hAnsi="Times New Roman" w:eastAsia="宋体" w:cs="Times New Roman"/>
          <w:color w:val="auto"/>
          <w:spacing w:val="20"/>
          <w:sz w:val="24"/>
          <w:szCs w:val="24"/>
          <w:highlight w:val="none"/>
          <w:lang w:eastAsia="zh-CN"/>
        </w:rPr>
        <w:t>于0.15%。</w:t>
      </w:r>
    </w:p>
    <w:p w14:paraId="06A113A1">
      <w:pPr>
        <w:pStyle w:val="12"/>
        <w:ind w:firstLine="723" w:firstLineChars="3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2）</w:t>
      </w:r>
      <w:r>
        <w:rPr>
          <w:rFonts w:hint="default" w:ascii="Times New Roman" w:hAnsi="Times New Roman" w:eastAsia="宋体" w:cs="Times New Roman"/>
          <w:color w:val="auto"/>
          <w:sz w:val="24"/>
          <w:szCs w:val="24"/>
          <w:highlight w:val="none"/>
          <w:lang w:eastAsia="zh-CN"/>
        </w:rPr>
        <w:t>柱的箍筋应采用闭合式，其直径不应小于6mm，间距</w:t>
      </w:r>
      <w:r>
        <w:rPr>
          <w:rFonts w:hint="default" w:ascii="Times New Roman" w:hAnsi="Times New Roman" w:eastAsia="宋体" w:cs="Times New Roman"/>
          <w:color w:val="auto"/>
          <w:spacing w:val="7"/>
          <w:sz w:val="24"/>
          <w:szCs w:val="24"/>
          <w:highlight w:val="none"/>
          <w:lang w:eastAsia="zh-CN"/>
        </w:rPr>
        <w:t>不应大于150</w:t>
      </w:r>
      <w:r>
        <w:rPr>
          <w:rFonts w:hint="default" w:ascii="Times New Roman" w:hAnsi="Times New Roman" w:eastAsia="宋体" w:cs="Times New Roman"/>
          <w:color w:val="auto"/>
          <w:sz w:val="24"/>
          <w:szCs w:val="24"/>
          <w:highlight w:val="none"/>
          <w:lang w:eastAsia="zh-CN"/>
        </w:rPr>
        <w:t>mm</w:t>
      </w:r>
      <w:r>
        <w:rPr>
          <w:rFonts w:hint="default" w:ascii="Times New Roman" w:hAnsi="Times New Roman" w:eastAsia="宋体" w:cs="Times New Roman"/>
          <w:color w:val="auto"/>
          <w:spacing w:val="7"/>
          <w:sz w:val="24"/>
          <w:szCs w:val="24"/>
          <w:highlight w:val="none"/>
          <w:lang w:eastAsia="zh-CN"/>
        </w:rPr>
        <w:t>。柱的两端各500</w:t>
      </w:r>
      <w:r>
        <w:rPr>
          <w:rFonts w:hint="default" w:ascii="Times New Roman" w:hAnsi="Times New Roman" w:eastAsia="宋体" w:cs="Times New Roman"/>
          <w:color w:val="auto"/>
          <w:sz w:val="24"/>
          <w:szCs w:val="24"/>
          <w:highlight w:val="none"/>
          <w:lang w:eastAsia="zh-CN"/>
        </w:rPr>
        <w:t>mm</w:t>
      </w:r>
      <w:r>
        <w:rPr>
          <w:rFonts w:hint="default" w:ascii="Times New Roman" w:hAnsi="Times New Roman" w:eastAsia="宋体" w:cs="Times New Roman"/>
          <w:color w:val="auto"/>
          <w:spacing w:val="7"/>
          <w:sz w:val="24"/>
          <w:szCs w:val="24"/>
          <w:highlight w:val="none"/>
          <w:lang w:eastAsia="zh-CN"/>
        </w:rPr>
        <w:t>范围内，箍筋</w:t>
      </w:r>
      <w:r>
        <w:rPr>
          <w:rFonts w:hint="default" w:ascii="Times New Roman" w:hAnsi="Times New Roman" w:eastAsia="宋体" w:cs="Times New Roman"/>
          <w:color w:val="auto"/>
          <w:spacing w:val="4"/>
          <w:sz w:val="24"/>
          <w:szCs w:val="24"/>
          <w:highlight w:val="none"/>
          <w:lang w:eastAsia="zh-CN"/>
        </w:rPr>
        <w:t>间距应为100</w:t>
      </w:r>
      <w:r>
        <w:rPr>
          <w:rFonts w:hint="default" w:ascii="Times New Roman" w:hAnsi="Times New Roman" w:eastAsia="宋体" w:cs="Times New Roman"/>
          <w:color w:val="auto"/>
          <w:sz w:val="24"/>
          <w:szCs w:val="24"/>
          <w:highlight w:val="none"/>
          <w:lang w:eastAsia="zh-CN"/>
        </w:rPr>
        <w:t>mm</w:t>
      </w:r>
      <w:r>
        <w:rPr>
          <w:rFonts w:hint="default" w:ascii="Times New Roman" w:hAnsi="Times New Roman" w:eastAsia="宋体" w:cs="Times New Roman"/>
          <w:color w:val="auto"/>
          <w:spacing w:val="4"/>
          <w:sz w:val="24"/>
          <w:szCs w:val="24"/>
          <w:highlight w:val="none"/>
          <w:lang w:eastAsia="zh-CN"/>
        </w:rPr>
        <w:t>。</w:t>
      </w:r>
    </w:p>
    <w:p w14:paraId="0CA94604">
      <w:pPr>
        <w:pStyle w:val="12"/>
        <w:ind w:firstLine="741" w:firstLineChars="3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pacing w:val="3"/>
          <w:sz w:val="24"/>
          <w:szCs w:val="24"/>
          <w:highlight w:val="none"/>
          <w:lang w:eastAsia="zh-CN"/>
        </w:rPr>
        <w:t>3</w:t>
      </w:r>
      <w:r>
        <w:rPr>
          <w:rFonts w:hint="default" w:ascii="Times New Roman" w:hAnsi="Times New Roman" w:eastAsia="宋体" w:cs="Times New Roman"/>
          <w:color w:val="auto"/>
          <w:spacing w:val="3"/>
          <w:sz w:val="24"/>
          <w:szCs w:val="24"/>
          <w:highlight w:val="none"/>
          <w:lang w:eastAsia="zh-CN"/>
        </w:rPr>
        <w:t>）在壁柱中，不穿墙的U形筋应焊在壁</w:t>
      </w:r>
      <w:r>
        <w:rPr>
          <w:rFonts w:hint="default" w:ascii="Times New Roman" w:hAnsi="Times New Roman" w:eastAsia="宋体" w:cs="Times New Roman"/>
          <w:color w:val="auto"/>
          <w:sz w:val="24"/>
          <w:szCs w:val="24"/>
          <w:highlight w:val="none"/>
          <w:lang w:eastAsia="zh-CN"/>
        </w:rPr>
        <w:t>柱角隅处的竖向构造筋上，其间距与柱的箍筋相同；穿墙的箍筋，在</w:t>
      </w:r>
      <w:r>
        <w:rPr>
          <w:rFonts w:hint="default" w:ascii="Times New Roman" w:hAnsi="Times New Roman" w:eastAsia="宋体" w:cs="Times New Roman"/>
          <w:color w:val="auto"/>
          <w:spacing w:val="6"/>
          <w:sz w:val="24"/>
          <w:szCs w:val="24"/>
          <w:highlight w:val="none"/>
          <w:lang w:eastAsia="zh-CN"/>
        </w:rPr>
        <w:t>穿墙后应形成闭合箍，其直径应为8</w:t>
      </w:r>
      <w:r>
        <w:rPr>
          <w:rFonts w:hint="default" w:ascii="Times New Roman" w:hAnsi="Times New Roman" w:eastAsia="宋体" w:cs="Times New Roman"/>
          <w:color w:val="auto"/>
          <w:sz w:val="24"/>
          <w:szCs w:val="24"/>
          <w:highlight w:val="none"/>
          <w:lang w:eastAsia="zh-CN"/>
        </w:rPr>
        <w:t>mm</w:t>
      </w:r>
      <w:r>
        <w:rPr>
          <w:rFonts w:hint="default" w:ascii="Times New Roman" w:hAnsi="Times New Roman" w:eastAsia="宋体" w:cs="Times New Roman"/>
          <w:color w:val="auto"/>
          <w:spacing w:val="6"/>
          <w:sz w:val="24"/>
          <w:szCs w:val="24"/>
          <w:highlight w:val="none"/>
          <w:lang w:eastAsia="zh-CN"/>
        </w:rPr>
        <w:t>～10</w:t>
      </w:r>
      <w:r>
        <w:rPr>
          <w:rFonts w:hint="default" w:ascii="Times New Roman" w:hAnsi="Times New Roman" w:eastAsia="宋体" w:cs="Times New Roman"/>
          <w:color w:val="auto"/>
          <w:sz w:val="24"/>
          <w:szCs w:val="24"/>
          <w:highlight w:val="none"/>
          <w:lang w:eastAsia="zh-CN"/>
        </w:rPr>
        <w:t>mm</w:t>
      </w:r>
      <w:r>
        <w:rPr>
          <w:rFonts w:hint="default" w:ascii="Times New Roman" w:hAnsi="Times New Roman" w:eastAsia="宋体" w:cs="Times New Roman"/>
          <w:color w:val="auto"/>
          <w:spacing w:val="6"/>
          <w:sz w:val="24"/>
          <w:szCs w:val="24"/>
          <w:highlight w:val="none"/>
          <w:lang w:eastAsia="zh-CN"/>
        </w:rPr>
        <w:t>，</w:t>
      </w:r>
      <w:r>
        <w:rPr>
          <w:rFonts w:hint="default" w:ascii="Times New Roman" w:hAnsi="Times New Roman" w:eastAsia="宋体" w:cs="Times New Roman"/>
          <w:color w:val="auto"/>
          <w:spacing w:val="5"/>
          <w:sz w:val="24"/>
          <w:szCs w:val="24"/>
          <w:highlight w:val="none"/>
          <w:lang w:eastAsia="zh-CN"/>
        </w:rPr>
        <w:t>每</w:t>
      </w:r>
      <w:r>
        <w:rPr>
          <w:rFonts w:hint="default" w:ascii="Times New Roman" w:hAnsi="Times New Roman" w:eastAsia="宋体" w:cs="Times New Roman"/>
          <w:color w:val="auto"/>
          <w:sz w:val="24"/>
          <w:szCs w:val="24"/>
          <w:highlight w:val="none"/>
          <w:lang w:eastAsia="zh-CN"/>
        </w:rPr>
        <w:t>隔500mm～600mm替换一支不穿墙的U形箍筋。</w:t>
      </w:r>
    </w:p>
    <w:p w14:paraId="489B3CB5">
      <w:pPr>
        <w:pStyle w:val="12"/>
        <w:ind w:firstLine="723" w:firstLineChars="300"/>
        <w:rPr>
          <w:rFonts w:hint="default" w:ascii="Times New Roman" w:hAnsi="Times New Roman" w:eastAsia="宋体" w:cs="Times New Roman"/>
          <w:color w:val="auto"/>
          <w:sz w:val="24"/>
          <w:szCs w:val="24"/>
          <w:highlight w:val="none"/>
          <w:lang w:eastAsia="zh-CN"/>
        </w:rPr>
      </w:pPr>
      <w:bookmarkStart w:id="76" w:name="_Toc19834"/>
      <w:r>
        <w:rPr>
          <w:rFonts w:hint="default" w:ascii="Times New Roman" w:hAnsi="Times New Roman" w:eastAsia="宋体" w:cs="Times New Roman"/>
          <w:b/>
          <w:bCs/>
          <w:color w:val="auto"/>
          <w:sz w:val="24"/>
          <w:szCs w:val="24"/>
          <w:highlight w:val="none"/>
          <w:lang w:eastAsia="zh-CN"/>
        </w:rPr>
        <w:t>4</w:t>
      </w:r>
      <w:r>
        <w:rPr>
          <w:rFonts w:hint="default" w:ascii="Times New Roman" w:hAnsi="Times New Roman" w:eastAsia="宋体" w:cs="Times New Roman"/>
          <w:color w:val="auto"/>
          <w:sz w:val="24"/>
          <w:szCs w:val="24"/>
          <w:highlight w:val="none"/>
          <w:lang w:eastAsia="zh-CN"/>
        </w:rPr>
        <w:t>）箍筋与竖向钢筋的连接应为焊接。</w:t>
      </w:r>
      <w:bookmarkEnd w:id="76"/>
    </w:p>
    <w:p w14:paraId="10C7C7A9">
      <w:pPr>
        <w:pStyle w:val="12"/>
        <w:ind w:firstLine="434"/>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pacing w:val="3"/>
          <w:sz w:val="24"/>
          <w:szCs w:val="24"/>
          <w:highlight w:val="none"/>
          <w:lang w:eastAsia="zh-CN"/>
        </w:rPr>
        <w:t xml:space="preserve">4 </w:t>
      </w:r>
      <w:r>
        <w:rPr>
          <w:rFonts w:hint="default" w:ascii="Times New Roman" w:hAnsi="Times New Roman" w:eastAsia="宋体" w:cs="Times New Roman"/>
          <w:color w:val="auto"/>
          <w:spacing w:val="3"/>
          <w:sz w:val="24"/>
          <w:szCs w:val="24"/>
          <w:highlight w:val="none"/>
          <w:lang w:eastAsia="zh-CN"/>
        </w:rPr>
        <w:t>加固墙体时，应采用点焊方格钢筋网，网中竖向受力钢</w:t>
      </w:r>
      <w:r>
        <w:rPr>
          <w:rFonts w:hint="default" w:ascii="Times New Roman" w:hAnsi="Times New Roman" w:eastAsia="宋体" w:cs="Times New Roman"/>
          <w:color w:val="auto"/>
          <w:spacing w:val="5"/>
          <w:sz w:val="24"/>
          <w:szCs w:val="24"/>
          <w:highlight w:val="none"/>
          <w:lang w:eastAsia="zh-CN"/>
        </w:rPr>
        <w:t>筋直径不应小于8</w:t>
      </w:r>
      <w:r>
        <w:rPr>
          <w:rFonts w:hint="default" w:ascii="Times New Roman" w:hAnsi="Times New Roman" w:eastAsia="宋体" w:cs="Times New Roman"/>
          <w:color w:val="auto"/>
          <w:sz w:val="24"/>
          <w:szCs w:val="24"/>
          <w:highlight w:val="none"/>
          <w:lang w:eastAsia="zh-CN"/>
        </w:rPr>
        <w:t>mm</w:t>
      </w:r>
      <w:r>
        <w:rPr>
          <w:rFonts w:hint="default" w:ascii="Times New Roman" w:hAnsi="Times New Roman" w:eastAsia="宋体" w:cs="Times New Roman"/>
          <w:color w:val="auto"/>
          <w:spacing w:val="5"/>
          <w:sz w:val="24"/>
          <w:szCs w:val="24"/>
          <w:highlight w:val="none"/>
          <w:lang w:eastAsia="zh-CN"/>
        </w:rPr>
        <w:t>；水平分布钢筋的直径应为6</w:t>
      </w:r>
      <w:r>
        <w:rPr>
          <w:rFonts w:hint="default" w:ascii="Times New Roman" w:hAnsi="Times New Roman" w:eastAsia="宋体" w:cs="Times New Roman"/>
          <w:color w:val="auto"/>
          <w:sz w:val="24"/>
          <w:szCs w:val="24"/>
          <w:highlight w:val="none"/>
          <w:lang w:eastAsia="zh-CN"/>
        </w:rPr>
        <w:t>mm</w:t>
      </w:r>
      <w:r>
        <w:rPr>
          <w:rFonts w:hint="default" w:ascii="Times New Roman" w:hAnsi="Times New Roman" w:eastAsia="宋体" w:cs="Times New Roman"/>
          <w:color w:val="auto"/>
          <w:spacing w:val="5"/>
          <w:sz w:val="24"/>
          <w:szCs w:val="24"/>
          <w:highlight w:val="none"/>
          <w:lang w:eastAsia="zh-CN"/>
        </w:rPr>
        <w:t>；网格尺</w:t>
      </w:r>
      <w:r>
        <w:rPr>
          <w:rFonts w:hint="default" w:ascii="Times New Roman" w:hAnsi="Times New Roman" w:eastAsia="宋体" w:cs="Times New Roman"/>
          <w:color w:val="auto"/>
          <w:spacing w:val="3"/>
          <w:sz w:val="24"/>
          <w:szCs w:val="24"/>
          <w:highlight w:val="none"/>
          <w:lang w:eastAsia="zh-CN"/>
        </w:rPr>
        <w:t>寸不应大于300</w:t>
      </w:r>
      <w:r>
        <w:rPr>
          <w:rFonts w:hint="default" w:ascii="Times New Roman" w:hAnsi="Times New Roman" w:eastAsia="宋体" w:cs="Times New Roman"/>
          <w:color w:val="auto"/>
          <w:sz w:val="24"/>
          <w:szCs w:val="24"/>
          <w:highlight w:val="none"/>
          <w:lang w:eastAsia="zh-CN"/>
        </w:rPr>
        <w:t>mm</w:t>
      </w:r>
      <w:r>
        <w:rPr>
          <w:rFonts w:hint="default" w:ascii="Times New Roman" w:hAnsi="Times New Roman" w:eastAsia="宋体" w:cs="Times New Roman"/>
          <w:color w:val="auto"/>
          <w:spacing w:val="3"/>
          <w:sz w:val="24"/>
          <w:szCs w:val="24"/>
          <w:highlight w:val="none"/>
          <w:lang w:eastAsia="zh-CN"/>
        </w:rPr>
        <w:t>。当采用双面钢筋网水泥砂浆时，钢筋网应</w:t>
      </w:r>
      <w:r>
        <w:rPr>
          <w:rFonts w:hint="default" w:ascii="Times New Roman" w:hAnsi="Times New Roman" w:eastAsia="宋体" w:cs="Times New Roman"/>
          <w:color w:val="auto"/>
          <w:spacing w:val="-1"/>
          <w:sz w:val="24"/>
          <w:szCs w:val="24"/>
          <w:highlight w:val="none"/>
          <w:lang w:eastAsia="zh-CN"/>
        </w:rPr>
        <w:t>采用穿通墙体的S形钢筋拉结；其竖向间距和水平间距均不应大</w:t>
      </w:r>
      <w:r>
        <w:rPr>
          <w:rFonts w:hint="default" w:ascii="Times New Roman" w:hAnsi="Times New Roman" w:eastAsia="宋体" w:cs="Times New Roman"/>
          <w:color w:val="auto"/>
          <w:spacing w:val="-26"/>
          <w:w w:val="96"/>
          <w:sz w:val="24"/>
          <w:szCs w:val="24"/>
          <w:highlight w:val="none"/>
          <w:lang w:eastAsia="zh-CN"/>
        </w:rPr>
        <w:t>于</w:t>
      </w:r>
      <w:r>
        <w:rPr>
          <w:rFonts w:hint="default" w:ascii="Times New Roman" w:hAnsi="Times New Roman" w:eastAsia="宋体" w:cs="Times New Roman"/>
          <w:color w:val="auto"/>
          <w:spacing w:val="3"/>
          <w:sz w:val="24"/>
          <w:szCs w:val="24"/>
          <w:highlight w:val="none"/>
          <w:lang w:val="en-US" w:eastAsia="zh-CN"/>
        </w:rPr>
        <w:t>5</w:t>
      </w:r>
      <w:r>
        <w:rPr>
          <w:rFonts w:hint="default" w:ascii="Times New Roman" w:hAnsi="Times New Roman" w:eastAsia="宋体" w:cs="Times New Roman"/>
          <w:color w:val="auto"/>
          <w:spacing w:val="3"/>
          <w:sz w:val="24"/>
          <w:szCs w:val="24"/>
          <w:highlight w:val="none"/>
          <w:lang w:eastAsia="zh-CN"/>
        </w:rPr>
        <w:t>00</w:t>
      </w:r>
      <w:r>
        <w:rPr>
          <w:rFonts w:hint="default" w:ascii="Times New Roman" w:hAnsi="Times New Roman" w:eastAsia="宋体" w:cs="Times New Roman"/>
          <w:color w:val="auto"/>
          <w:sz w:val="24"/>
          <w:szCs w:val="24"/>
          <w:highlight w:val="none"/>
          <w:lang w:eastAsia="zh-CN"/>
        </w:rPr>
        <w:t>mm</w:t>
      </w:r>
      <w:r>
        <w:rPr>
          <w:rFonts w:hint="default" w:ascii="Times New Roman" w:hAnsi="Times New Roman" w:eastAsia="宋体" w:cs="Times New Roman"/>
          <w:color w:val="auto"/>
          <w:spacing w:val="-26"/>
          <w:w w:val="96"/>
          <w:sz w:val="24"/>
          <w:szCs w:val="24"/>
          <w:highlight w:val="none"/>
          <w:lang w:eastAsia="zh-CN"/>
        </w:rPr>
        <w:t>。</w:t>
      </w:r>
    </w:p>
    <w:p w14:paraId="6DCF20F8">
      <w:pPr>
        <w:pStyle w:val="12"/>
        <w:ind w:firstLine="414"/>
        <w:rPr>
          <w:rFonts w:hint="default" w:ascii="Times New Roman" w:hAnsi="Times New Roman" w:eastAsia="宋体" w:cs="Times New Roman"/>
          <w:color w:val="auto"/>
          <w:sz w:val="24"/>
          <w:szCs w:val="24"/>
          <w:highlight w:val="none"/>
          <w:lang w:eastAsia="zh-CN"/>
        </w:rPr>
      </w:pPr>
      <w:bookmarkStart w:id="77" w:name="_Toc15841"/>
      <w:r>
        <w:rPr>
          <w:rFonts w:hint="default" w:ascii="Times New Roman" w:hAnsi="Times New Roman" w:eastAsia="宋体" w:cs="Times New Roman"/>
          <w:b/>
          <w:bCs/>
          <w:color w:val="auto"/>
          <w:spacing w:val="-2"/>
          <w:sz w:val="24"/>
          <w:szCs w:val="24"/>
          <w:highlight w:val="none"/>
          <w:lang w:eastAsia="zh-CN"/>
        </w:rPr>
        <w:t>5</w:t>
      </w:r>
      <w:r>
        <w:rPr>
          <w:rFonts w:hint="default" w:ascii="Times New Roman" w:hAnsi="Times New Roman" w:eastAsia="宋体" w:cs="Times New Roman"/>
          <w:color w:val="auto"/>
          <w:spacing w:val="-2"/>
          <w:sz w:val="24"/>
          <w:szCs w:val="24"/>
          <w:highlight w:val="none"/>
          <w:lang w:eastAsia="zh-CN"/>
        </w:rPr>
        <w:t xml:space="preserve"> 钢筋网四周应与楼板、梁、柱或墙体可靠连接。</w:t>
      </w:r>
      <w:bookmarkEnd w:id="77"/>
    </w:p>
    <w:p w14:paraId="1A1DA0D0">
      <w:pPr>
        <w:spacing w:line="360" w:lineRule="exact"/>
        <w:rPr>
          <w:rFonts w:hint="default" w:ascii="Times New Roman" w:hAnsi="Times New Roman" w:eastAsia="宋体" w:cs="Times New Roman"/>
          <w:snapToGrid w:val="0"/>
          <w:color w:val="auto"/>
          <w:sz w:val="24"/>
          <w:szCs w:val="24"/>
          <w:highlight w:val="none"/>
        </w:rPr>
      </w:pPr>
      <w:bookmarkStart w:id="78" w:name="_Toc7433"/>
      <w:r>
        <w:rPr>
          <w:rFonts w:hint="default" w:ascii="Times New Roman" w:hAnsi="Times New Roman" w:eastAsia="宋体" w:cs="Times New Roman"/>
          <w:b/>
          <w:bCs/>
          <w:snapToGrid w:val="0"/>
          <w:color w:val="auto"/>
          <w:sz w:val="24"/>
          <w:szCs w:val="24"/>
          <w:highlight w:val="none"/>
          <w:lang w:val="en-US" w:eastAsia="zh-CN"/>
        </w:rPr>
        <w:t>6</w:t>
      </w:r>
      <w:r>
        <w:rPr>
          <w:rFonts w:hint="default" w:ascii="Times New Roman" w:hAnsi="Times New Roman" w:eastAsia="宋体" w:cs="Times New Roman"/>
          <w:b/>
          <w:bCs/>
          <w:snapToGrid w:val="0"/>
          <w:color w:val="auto"/>
          <w:sz w:val="24"/>
          <w:szCs w:val="24"/>
          <w:highlight w:val="none"/>
        </w:rPr>
        <w:t>.3.8</w:t>
      </w:r>
      <w:r>
        <w:rPr>
          <w:rFonts w:hint="default" w:ascii="Times New Roman" w:hAnsi="Times New Roman" w:eastAsia="宋体" w:cs="Times New Roman"/>
          <w:snapToGrid w:val="0"/>
          <w:color w:val="auto"/>
          <w:sz w:val="24"/>
          <w:szCs w:val="24"/>
          <w:highlight w:val="none"/>
        </w:rPr>
        <w:t xml:space="preserve"> 采用钢筋网砂浆面层加固砌体墙的设计，尚应符合下列规定：</w:t>
      </w:r>
      <w:bookmarkEnd w:id="78"/>
    </w:p>
    <w:p w14:paraId="7652E79A">
      <w:pPr>
        <w:pStyle w:val="12"/>
        <w:ind w:firstLine="42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1 钢筋网砂浆面层加固砌体墙后，其楼层抗震能力的增强系数可按下列公式计算：</w:t>
      </w:r>
    </w:p>
    <w:p w14:paraId="63F4C370">
      <w:pPr>
        <w:spacing w:line="300" w:lineRule="auto"/>
        <w:ind w:firstLine="3600" w:firstLineChars="15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position w:val="-30"/>
          <w:sz w:val="24"/>
          <w:szCs w:val="24"/>
          <w:highlight w:val="none"/>
        </w:rPr>
        <w:object>
          <v:shape id="_x0000_i1120" o:spt="75" type="#_x0000_t75" style="height:52.5pt;width:115.5pt;" o:ole="t" filled="f" o:preferrelative="t" stroked="f" coordsize="21600,21600">
            <v:path/>
            <v:fill on="f" focussize="0,0"/>
            <v:stroke on="f" joinstyle="miter"/>
            <v:imagedata r:id="rId180" o:title=""/>
            <o:lock v:ext="edit" aspectratio="t"/>
            <w10:wrap type="none"/>
            <w10:anchorlock/>
          </v:shape>
          <o:OLEObject Type="Embed" ProgID="Equation.DSMT4" ShapeID="_x0000_i1120" DrawAspect="Content" ObjectID="_1468075820" r:id="rId179">
            <o:LockedField>false</o:LockedField>
          </o:OLEObject>
        </w:object>
      </w:r>
      <w:r>
        <w:rPr>
          <w:rFonts w:hint="default"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.8-1）</w:t>
      </w:r>
    </w:p>
    <w:p w14:paraId="2F1E944A">
      <w:pPr>
        <w:spacing w:line="300" w:lineRule="auto"/>
        <w:ind w:firstLine="2880" w:firstLineChars="1200"/>
        <w:jc w:val="righ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position w:val="-30"/>
          <w:sz w:val="24"/>
          <w:szCs w:val="24"/>
          <w:highlight w:val="none"/>
        </w:rPr>
        <w:object>
          <v:shape id="_x0000_i1121" o:spt="75" type="#_x0000_t75" style="height:36pt;width:181.5pt;" o:ole="t" filled="f" o:preferrelative="t" stroked="f" coordsize="21600,21600">
            <v:path/>
            <v:fill on="f" focussize="0,0"/>
            <v:stroke on="f" joinstyle="miter"/>
            <v:imagedata r:id="rId182" o:title=""/>
            <o:lock v:ext="edit" aspectratio="t"/>
            <w10:wrap type="none"/>
            <w10:anchorlock/>
          </v:shape>
          <o:OLEObject Type="Embed" ProgID="Equation.DSMT4" ShapeID="_x0000_i1121" DrawAspect="Content" ObjectID="_1468075821" r:id="rId181">
            <o:LockedField>false</o:LockedField>
          </o:OLEObject>
        </w:objec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.8-2）</w:t>
      </w:r>
    </w:p>
    <w:p w14:paraId="4B08E240">
      <w:pPr>
        <w:pStyle w:val="12"/>
        <w:spacing w:line="240" w:lineRule="auto"/>
        <w:ind w:firstLine="0" w:firstLineChars="0"/>
        <w:jc w:val="left"/>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式中，</w:t>
      </w:r>
      <w:r>
        <w:rPr>
          <w:rFonts w:hint="default" w:ascii="Times New Roman" w:hAnsi="Times New Roman" w:eastAsia="宋体" w:cs="Times New Roman"/>
          <w:color w:val="auto"/>
          <w:position w:val="-14"/>
          <w:sz w:val="24"/>
          <w:szCs w:val="24"/>
          <w:highlight w:val="none"/>
        </w:rPr>
        <w:object>
          <v:shape id="_x0000_i1122" o:spt="75" type="#_x0000_t75" style="height:19.5pt;width:16pt;" o:ole="t" filled="f" o:preferrelative="t" stroked="f" coordsize="21600,21600">
            <v:path/>
            <v:fill on="f" focussize="0,0"/>
            <v:stroke on="f" joinstyle="miter"/>
            <v:imagedata r:id="rId184" o:title=""/>
            <o:lock v:ext="edit" aspectratio="t"/>
            <w10:wrap type="none"/>
            <w10:anchorlock/>
          </v:shape>
          <o:OLEObject Type="Embed" ProgID="Equation.DSMT4" ShapeID="_x0000_i1122" DrawAspect="Content" ObjectID="_1468075822" r:id="rId183">
            <o:LockedField>false</o:LockedField>
          </o:OLEObject>
        </w:object>
      </w:r>
      <w:r>
        <w:rPr>
          <w:rFonts w:hint="default" w:ascii="Times New Roman" w:hAnsi="Times New Roman" w:eastAsia="宋体" w:cs="Times New Roman"/>
          <w:color w:val="auto"/>
          <w:sz w:val="24"/>
          <w:szCs w:val="24"/>
          <w:highlight w:val="none"/>
          <w:lang w:eastAsia="zh-CN"/>
        </w:rPr>
        <w:t>——面层加固的第</w:t>
      </w:r>
      <w:r>
        <w:rPr>
          <w:rFonts w:hint="default" w:ascii="Times New Roman" w:hAnsi="Times New Roman" w:eastAsia="宋体" w:cs="Times New Roman"/>
          <w:i/>
          <w:iCs/>
          <w:color w:val="auto"/>
          <w:sz w:val="24"/>
          <w:szCs w:val="24"/>
          <w:highlight w:val="none"/>
          <w:lang w:eastAsia="zh-CN"/>
        </w:rPr>
        <w:t>i</w:t>
      </w:r>
      <w:r>
        <w:rPr>
          <w:rFonts w:hint="default" w:ascii="Times New Roman" w:hAnsi="Times New Roman" w:eastAsia="宋体" w:cs="Times New Roman"/>
          <w:color w:val="auto"/>
          <w:sz w:val="24"/>
          <w:szCs w:val="24"/>
          <w:highlight w:val="none"/>
          <w:lang w:eastAsia="zh-CN"/>
        </w:rPr>
        <w:t>楼层抗震能力的增强系数；</w:t>
      </w:r>
    </w:p>
    <w:p w14:paraId="50DFA956">
      <w:pPr>
        <w:pStyle w:val="12"/>
        <w:spacing w:line="240" w:lineRule="auto"/>
        <w:ind w:left="648" w:leftChars="270" w:firstLine="0" w:firstLineChars="0"/>
        <w:jc w:val="left"/>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position w:val="-14"/>
          <w:sz w:val="24"/>
          <w:szCs w:val="24"/>
          <w:highlight w:val="none"/>
        </w:rPr>
        <w:object>
          <v:shape id="_x0000_i1123" o:spt="75" type="#_x0000_t75" style="height:19.5pt;width:18pt;" o:ole="t" filled="f" o:preferrelative="t" stroked="f" coordsize="21600,21600">
            <v:path/>
            <v:fill on="f" focussize="0,0"/>
            <v:stroke on="f" joinstyle="miter"/>
            <v:imagedata r:id="rId186" o:title=""/>
            <o:lock v:ext="edit" aspectratio="t"/>
            <w10:wrap type="none"/>
            <w10:anchorlock/>
          </v:shape>
          <o:OLEObject Type="Embed" ProgID="Equation.DSMT4" ShapeID="_x0000_i1123" DrawAspect="Content" ObjectID="_1468075823" r:id="rId185">
            <o:LockedField>false</o:LockedField>
          </o:OLEObject>
        </w:object>
      </w:r>
      <w:r>
        <w:rPr>
          <w:rFonts w:hint="default" w:ascii="Times New Roman" w:hAnsi="Times New Roman" w:eastAsia="宋体" w:cs="Times New Roman"/>
          <w:color w:val="auto"/>
          <w:sz w:val="24"/>
          <w:szCs w:val="24"/>
          <w:highlight w:val="none"/>
          <w:lang w:eastAsia="zh-CN"/>
        </w:rPr>
        <w:t>——第</w:t>
      </w:r>
      <w:r>
        <w:rPr>
          <w:rFonts w:hint="default" w:ascii="Times New Roman" w:hAnsi="Times New Roman" w:eastAsia="宋体" w:cs="Times New Roman"/>
          <w:i/>
          <w:iCs/>
          <w:color w:val="auto"/>
          <w:sz w:val="24"/>
          <w:szCs w:val="24"/>
          <w:highlight w:val="none"/>
          <w:lang w:eastAsia="zh-CN"/>
        </w:rPr>
        <w:t>i</w:t>
      </w:r>
      <w:r>
        <w:rPr>
          <w:rFonts w:hint="default" w:ascii="Times New Roman" w:hAnsi="Times New Roman" w:eastAsia="宋体" w:cs="Times New Roman"/>
          <w:color w:val="auto"/>
          <w:sz w:val="24"/>
          <w:szCs w:val="24"/>
          <w:highlight w:val="none"/>
          <w:lang w:eastAsia="zh-CN"/>
        </w:rPr>
        <w:t>楼层中</w:t>
      </w:r>
      <w:r>
        <w:rPr>
          <w:rFonts w:hint="default" w:ascii="Times New Roman" w:hAnsi="Times New Roman" w:eastAsia="宋体" w:cs="Times New Roman"/>
          <w:i/>
          <w:iCs/>
          <w:color w:val="auto"/>
          <w:sz w:val="24"/>
          <w:szCs w:val="24"/>
          <w:highlight w:val="none"/>
          <w:lang w:eastAsia="zh-CN"/>
        </w:rPr>
        <w:t>j</w:t>
      </w:r>
      <w:r>
        <w:rPr>
          <w:rFonts w:hint="default" w:ascii="Times New Roman" w:hAnsi="Times New Roman" w:eastAsia="宋体" w:cs="Times New Roman"/>
          <w:color w:val="auto"/>
          <w:sz w:val="24"/>
          <w:szCs w:val="24"/>
          <w:highlight w:val="none"/>
          <w:lang w:eastAsia="zh-CN"/>
        </w:rPr>
        <w:t>墙段的增强系数；</w:t>
      </w:r>
    </w:p>
    <w:p w14:paraId="22E82574">
      <w:pPr>
        <w:pStyle w:val="12"/>
        <w:ind w:left="648" w:leftChars="270" w:firstLine="0" w:firstLineChars="0"/>
        <w:jc w:val="left"/>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position w:val="-12"/>
          <w:sz w:val="24"/>
          <w:szCs w:val="24"/>
          <w:highlight w:val="none"/>
        </w:rPr>
        <w:object>
          <v:shape id="_x0000_i1124" o:spt="75" type="#_x0000_t75" style="height:18pt;width:14pt;" o:ole="t" filled="f" o:preferrelative="t" stroked="f" coordsize="21600,21600">
            <v:path/>
            <v:fill on="f" focussize="0,0"/>
            <v:stroke on="f" joinstyle="miter"/>
            <v:imagedata r:id="rId188" o:title=""/>
            <o:lock v:ext="edit" aspectratio="t"/>
            <w10:wrap type="none"/>
            <w10:anchorlock/>
          </v:shape>
          <o:OLEObject Type="Embed" ProgID="Equation.DSMT4" ShapeID="_x0000_i1124" DrawAspect="Content" ObjectID="_1468075824" r:id="rId187">
            <o:LockedField>false</o:LockedField>
          </o:OLEObject>
        </w:object>
      </w:r>
      <w:r>
        <w:rPr>
          <w:rFonts w:hint="default" w:ascii="Times New Roman" w:hAnsi="Times New Roman" w:eastAsia="宋体" w:cs="Times New Roman"/>
          <w:color w:val="auto"/>
          <w:sz w:val="24"/>
          <w:szCs w:val="24"/>
          <w:highlight w:val="none"/>
          <w:lang w:eastAsia="zh-CN"/>
        </w:rPr>
        <w:t>——基准增强系数，黏土砖实心墙体可按表</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.8-1采用，空斗墙体应双面加固，可取表中数值的1.3倍；</w:t>
      </w:r>
    </w:p>
    <w:p w14:paraId="0AF87E3F">
      <w:pPr>
        <w:pStyle w:val="12"/>
        <w:ind w:left="648" w:leftChars="270" w:firstLine="0" w:firstLineChars="0"/>
        <w:jc w:val="left"/>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position w:val="-14"/>
          <w:sz w:val="24"/>
          <w:szCs w:val="24"/>
          <w:highlight w:val="none"/>
        </w:rPr>
        <w:object>
          <v:shape id="_x0000_i1125" o:spt="75" type="#_x0000_t75" style="height:19.5pt;width:19.5pt;" o:ole="t" filled="f" o:preferrelative="t" stroked="f" coordsize="21600,21600">
            <v:path/>
            <v:fill on="f" focussize="0,0"/>
            <v:stroke on="f" joinstyle="miter"/>
            <v:imagedata r:id="rId190" o:title=""/>
            <o:lock v:ext="edit" aspectratio="t"/>
            <w10:wrap type="none"/>
            <w10:anchorlock/>
          </v:shape>
          <o:OLEObject Type="Embed" ProgID="Equation.DSMT4" ShapeID="_x0000_i1125" DrawAspect="Content" ObjectID="_1468075825" r:id="rId189">
            <o:LockedField>false</o:LockedField>
          </o:OLEObject>
        </w:object>
      </w:r>
      <w:r>
        <w:rPr>
          <w:rFonts w:hint="default" w:ascii="Times New Roman" w:hAnsi="Times New Roman" w:eastAsia="宋体" w:cs="Times New Roman"/>
          <w:color w:val="auto"/>
          <w:sz w:val="24"/>
          <w:szCs w:val="24"/>
          <w:highlight w:val="none"/>
          <w:lang w:eastAsia="zh-CN"/>
        </w:rPr>
        <w:t>——第</w:t>
      </w:r>
      <w:r>
        <w:rPr>
          <w:rFonts w:hint="default" w:ascii="Times New Roman" w:hAnsi="Times New Roman" w:eastAsia="宋体" w:cs="Times New Roman"/>
          <w:i/>
          <w:iCs/>
          <w:color w:val="auto"/>
          <w:sz w:val="24"/>
          <w:szCs w:val="24"/>
          <w:highlight w:val="none"/>
          <w:lang w:eastAsia="zh-CN"/>
        </w:rPr>
        <w:t>i</w:t>
      </w:r>
      <w:r>
        <w:rPr>
          <w:rFonts w:hint="default" w:ascii="Times New Roman" w:hAnsi="Times New Roman" w:eastAsia="宋体" w:cs="Times New Roman"/>
          <w:color w:val="auto"/>
          <w:sz w:val="24"/>
          <w:szCs w:val="24"/>
          <w:highlight w:val="none"/>
          <w:lang w:eastAsia="zh-CN"/>
        </w:rPr>
        <w:t>楼层中验算方向面层加固的抗震墙</w:t>
      </w:r>
      <w:r>
        <w:rPr>
          <w:rFonts w:hint="default" w:ascii="Times New Roman" w:hAnsi="Times New Roman" w:eastAsia="宋体" w:cs="Times New Roman"/>
          <w:i/>
          <w:iCs/>
          <w:color w:val="auto"/>
          <w:sz w:val="24"/>
          <w:szCs w:val="24"/>
          <w:highlight w:val="none"/>
          <w:lang w:eastAsia="zh-CN"/>
        </w:rPr>
        <w:t>j</w:t>
      </w:r>
      <w:r>
        <w:rPr>
          <w:rFonts w:hint="default" w:ascii="Times New Roman" w:hAnsi="Times New Roman" w:eastAsia="宋体" w:cs="Times New Roman"/>
          <w:color w:val="auto"/>
          <w:sz w:val="24"/>
          <w:szCs w:val="24"/>
          <w:highlight w:val="none"/>
          <w:lang w:eastAsia="zh-CN"/>
        </w:rPr>
        <w:t>墙段在1/2层高处净截面的面积；</w:t>
      </w:r>
    </w:p>
    <w:p w14:paraId="2CAB4BF8">
      <w:pPr>
        <w:pStyle w:val="12"/>
        <w:ind w:left="648" w:leftChars="270" w:firstLine="0" w:firstLineChars="0"/>
        <w:jc w:val="left"/>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position w:val="-12"/>
          <w:sz w:val="24"/>
          <w:szCs w:val="24"/>
          <w:highlight w:val="none"/>
        </w:rPr>
        <w:object>
          <v:shape id="_x0000_i1126" o:spt="75" type="#_x0000_t75" style="height:18pt;width:16.5pt;" o:ole="t" filled="f" o:preferrelative="t" stroked="f" coordsize="21600,21600">
            <v:path/>
            <v:fill on="f" focussize="0,0"/>
            <v:stroke on="f" joinstyle="miter"/>
            <v:imagedata r:id="rId192" o:title=""/>
            <o:lock v:ext="edit" aspectratio="t"/>
            <w10:wrap type="none"/>
            <w10:anchorlock/>
          </v:shape>
          <o:OLEObject Type="Embed" ProgID="Equation.DSMT4" ShapeID="_x0000_i1126" DrawAspect="Content" ObjectID="_1468075826" r:id="rId191">
            <o:LockedField>false</o:LockedField>
          </o:OLEObject>
        </w:object>
      </w:r>
      <w:r>
        <w:rPr>
          <w:rFonts w:hint="default" w:ascii="Times New Roman" w:hAnsi="Times New Roman" w:eastAsia="宋体" w:cs="Times New Roman"/>
          <w:color w:val="auto"/>
          <w:sz w:val="24"/>
          <w:szCs w:val="24"/>
          <w:highlight w:val="none"/>
          <w:lang w:eastAsia="zh-CN"/>
        </w:rPr>
        <w:t>——第</w:t>
      </w:r>
      <w:r>
        <w:rPr>
          <w:rFonts w:hint="default" w:ascii="Times New Roman" w:hAnsi="Times New Roman" w:eastAsia="宋体" w:cs="Times New Roman"/>
          <w:i/>
          <w:iCs/>
          <w:color w:val="auto"/>
          <w:sz w:val="24"/>
          <w:szCs w:val="24"/>
          <w:highlight w:val="none"/>
          <w:lang w:eastAsia="zh-CN"/>
        </w:rPr>
        <w:t>i</w:t>
      </w:r>
      <w:r>
        <w:rPr>
          <w:rFonts w:hint="default" w:ascii="Times New Roman" w:hAnsi="Times New Roman" w:eastAsia="宋体" w:cs="Times New Roman"/>
          <w:color w:val="auto"/>
          <w:sz w:val="24"/>
          <w:szCs w:val="24"/>
          <w:highlight w:val="none"/>
          <w:lang w:eastAsia="zh-CN"/>
        </w:rPr>
        <w:t>楼层中验算方向原有抗震墙在1/2层高处净截面的面积；</w:t>
      </w:r>
    </w:p>
    <w:p w14:paraId="59F28392">
      <w:pPr>
        <w:pStyle w:val="12"/>
        <w:ind w:left="648" w:leftChars="270" w:firstLine="0" w:firstLineChars="0"/>
        <w:jc w:val="left"/>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i/>
          <w:iCs/>
          <w:color w:val="auto"/>
          <w:sz w:val="24"/>
          <w:szCs w:val="24"/>
          <w:highlight w:val="none"/>
          <w:lang w:eastAsia="zh-CN"/>
        </w:rPr>
        <w:t>n</w:t>
      </w:r>
      <w:r>
        <w:rPr>
          <w:rFonts w:hint="default" w:ascii="Times New Roman" w:hAnsi="Times New Roman" w:eastAsia="宋体" w:cs="Times New Roman"/>
          <w:color w:val="auto"/>
          <w:sz w:val="24"/>
          <w:szCs w:val="24"/>
          <w:highlight w:val="none"/>
          <w:lang w:eastAsia="zh-CN"/>
        </w:rPr>
        <w:t xml:space="preserve"> ——第</w:t>
      </w:r>
      <w:r>
        <w:rPr>
          <w:rFonts w:hint="default" w:ascii="Times New Roman" w:hAnsi="Times New Roman" w:eastAsia="宋体" w:cs="Times New Roman"/>
          <w:i/>
          <w:iCs/>
          <w:color w:val="auto"/>
          <w:sz w:val="24"/>
          <w:szCs w:val="24"/>
          <w:highlight w:val="none"/>
          <w:lang w:eastAsia="zh-CN"/>
        </w:rPr>
        <w:t>i</w:t>
      </w:r>
      <w:r>
        <w:rPr>
          <w:rFonts w:hint="default" w:ascii="Times New Roman" w:hAnsi="Times New Roman" w:eastAsia="宋体" w:cs="Times New Roman"/>
          <w:color w:val="auto"/>
          <w:sz w:val="24"/>
          <w:szCs w:val="24"/>
          <w:highlight w:val="none"/>
          <w:lang w:eastAsia="zh-CN"/>
        </w:rPr>
        <w:t>楼层中验算方向上的面层加固的抗震墙的道数；</w:t>
      </w:r>
    </w:p>
    <w:p w14:paraId="024DA921">
      <w:pPr>
        <w:pStyle w:val="12"/>
        <w:ind w:left="648" w:leftChars="270" w:firstLine="0" w:firstLineChars="0"/>
        <w:jc w:val="left"/>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position w:val="-12"/>
          <w:sz w:val="24"/>
          <w:szCs w:val="24"/>
          <w:highlight w:val="none"/>
        </w:rPr>
        <w:object>
          <v:shape id="_x0000_i1127" o:spt="75" type="#_x0000_t75" style="height:18pt;width:16pt;" o:ole="t" filled="f" o:preferrelative="t" stroked="f" coordsize="21600,21600">
            <v:path/>
            <v:fill on="f" focussize="0,0"/>
            <v:stroke on="f" joinstyle="miter"/>
            <v:imagedata r:id="rId194" o:title=""/>
            <o:lock v:ext="edit" aspectratio="t"/>
            <w10:wrap type="none"/>
            <w10:anchorlock/>
          </v:shape>
          <o:OLEObject Type="Embed" ProgID="Equation.DSMT4" ShapeID="_x0000_i1127" DrawAspect="Content" ObjectID="_1468075827" r:id="rId193">
            <o:LockedField>false</o:LockedField>
          </o:OLEObject>
        </w:object>
      </w:r>
      <w:r>
        <w:rPr>
          <w:rFonts w:hint="default" w:ascii="Times New Roman" w:hAnsi="Times New Roman" w:eastAsia="宋体" w:cs="Times New Roman"/>
          <w:color w:val="auto"/>
          <w:sz w:val="24"/>
          <w:szCs w:val="24"/>
          <w:highlight w:val="none"/>
          <w:lang w:eastAsia="zh-CN"/>
        </w:rPr>
        <w:t>——原墙体厚度(mm)；</w:t>
      </w:r>
    </w:p>
    <w:p w14:paraId="53987CBD">
      <w:pPr>
        <w:pStyle w:val="12"/>
        <w:ind w:left="648" w:leftChars="270" w:firstLine="0" w:firstLineChars="0"/>
        <w:jc w:val="left"/>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position w:val="-12"/>
          <w:sz w:val="24"/>
          <w:szCs w:val="24"/>
          <w:highlight w:val="none"/>
        </w:rPr>
        <w:object>
          <v:shape id="_x0000_i1128" o:spt="75" type="#_x0000_t75" style="height:18pt;width:18pt;" o:ole="t" filled="f" o:preferrelative="t" stroked="f" coordsize="21600,21600">
            <v:path/>
            <v:fill on="f" focussize="0,0"/>
            <v:stroke on="f" joinstyle="miter"/>
            <v:imagedata r:id="rId196" o:title=""/>
            <o:lock v:ext="edit" aspectratio="t"/>
            <w10:wrap type="none"/>
            <w10:anchorlock/>
          </v:shape>
          <o:OLEObject Type="Embed" ProgID="Equation.DSMT4" ShapeID="_x0000_i1128" DrawAspect="Content" ObjectID="_1468075828" r:id="rId195">
            <o:LockedField>false</o:LockedField>
          </o:OLEObject>
        </w:object>
      </w:r>
      <w:r>
        <w:rPr>
          <w:rFonts w:hint="default" w:ascii="Times New Roman" w:hAnsi="Times New Roman" w:eastAsia="宋体" w:cs="Times New Roman"/>
          <w:color w:val="auto"/>
          <w:sz w:val="24"/>
          <w:szCs w:val="24"/>
          <w:highlight w:val="none"/>
          <w:lang w:eastAsia="zh-CN"/>
        </w:rPr>
        <w:t>——原墙体砌体的抗震抗剪强度设计值(MPa)。</w:t>
      </w:r>
    </w:p>
    <w:p w14:paraId="668749C5">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default" w:ascii="宋体" w:hAnsi="宋体" w:eastAsia="宋体" w:cs="宋体"/>
          <w:color w:val="auto"/>
          <w:spacing w:val="-2"/>
          <w:sz w:val="28"/>
          <w:szCs w:val="28"/>
          <w:lang w:val="en-US" w:eastAsia="zh-CN"/>
        </w:rPr>
      </w:pPr>
      <w:r>
        <w:rPr>
          <w:rFonts w:hint="default" w:ascii="宋体" w:hAnsi="宋体" w:eastAsia="宋体" w:cs="宋体"/>
          <w:color w:val="auto"/>
          <w:spacing w:val="-2"/>
          <w:sz w:val="28"/>
          <w:szCs w:val="28"/>
          <w:lang w:val="en-US" w:eastAsia="zh-CN"/>
        </w:rPr>
        <w:t>表6.3.8-1 面层加固的基准增强系数</w:t>
      </w:r>
    </w:p>
    <w:tbl>
      <w:tblPr>
        <w:tblStyle w:val="50"/>
        <w:tblW w:w="624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7"/>
        <w:gridCol w:w="566"/>
        <w:gridCol w:w="832"/>
        <w:gridCol w:w="643"/>
        <w:gridCol w:w="533"/>
        <w:gridCol w:w="610"/>
        <w:gridCol w:w="610"/>
        <w:gridCol w:w="611"/>
        <w:gridCol w:w="610"/>
        <w:gridCol w:w="620"/>
      </w:tblGrid>
      <w:tr w14:paraId="529E87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blHeader/>
          <w:jc w:val="center"/>
        </w:trPr>
        <w:tc>
          <w:tcPr>
            <w:tcW w:w="607" w:type="dxa"/>
            <w:vMerge w:val="restart"/>
            <w:tcBorders>
              <w:top w:val="single" w:color="000000" w:sz="6" w:space="0"/>
              <w:left w:val="single" w:color="000000" w:sz="6" w:space="0"/>
              <w:bottom w:val="nil"/>
            </w:tcBorders>
            <w:vAlign w:val="center"/>
          </w:tcPr>
          <w:p w14:paraId="571FEED4">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面层</w:t>
            </w:r>
          </w:p>
          <w:p w14:paraId="37256271">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厚度</w:t>
            </w:r>
          </w:p>
          <w:p w14:paraId="7105251C">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(mm)</w:t>
            </w:r>
          </w:p>
        </w:tc>
        <w:tc>
          <w:tcPr>
            <w:tcW w:w="566" w:type="dxa"/>
            <w:vMerge w:val="restart"/>
            <w:tcBorders>
              <w:top w:val="single" w:color="000000" w:sz="6" w:space="0"/>
              <w:bottom w:val="nil"/>
            </w:tcBorders>
            <w:vAlign w:val="center"/>
          </w:tcPr>
          <w:p w14:paraId="3997E3B6">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面层</w:t>
            </w:r>
          </w:p>
          <w:p w14:paraId="0C8F5A98">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砂浆</w:t>
            </w:r>
          </w:p>
          <w:p w14:paraId="2D6FE63C">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强度</w:t>
            </w:r>
          </w:p>
          <w:p w14:paraId="56222A00">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等级</w:t>
            </w:r>
          </w:p>
        </w:tc>
        <w:tc>
          <w:tcPr>
            <w:tcW w:w="1475" w:type="dxa"/>
            <w:gridSpan w:val="2"/>
            <w:vMerge w:val="restart"/>
            <w:tcBorders>
              <w:top w:val="single" w:color="000000" w:sz="6" w:space="0"/>
              <w:bottom w:val="nil"/>
            </w:tcBorders>
            <w:vAlign w:val="center"/>
          </w:tcPr>
          <w:p w14:paraId="13E7A963">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钢筋网</w:t>
            </w:r>
          </w:p>
        </w:tc>
        <w:tc>
          <w:tcPr>
            <w:tcW w:w="1753" w:type="dxa"/>
            <w:gridSpan w:val="3"/>
            <w:tcBorders>
              <w:top w:val="single" w:color="000000" w:sz="6" w:space="0"/>
            </w:tcBorders>
            <w:vAlign w:val="center"/>
          </w:tcPr>
          <w:p w14:paraId="3B83E0C9">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单面加固</w:t>
            </w:r>
          </w:p>
        </w:tc>
        <w:tc>
          <w:tcPr>
            <w:tcW w:w="1841" w:type="dxa"/>
            <w:gridSpan w:val="3"/>
            <w:tcBorders>
              <w:top w:val="single" w:color="000000" w:sz="6" w:space="0"/>
              <w:right w:val="single" w:color="000000" w:sz="6" w:space="0"/>
            </w:tcBorders>
            <w:vAlign w:val="center"/>
          </w:tcPr>
          <w:p w14:paraId="19B4D635">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双面加固</w:t>
            </w:r>
          </w:p>
        </w:tc>
      </w:tr>
      <w:tr w14:paraId="574CBD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blHeader/>
          <w:jc w:val="center"/>
        </w:trPr>
        <w:tc>
          <w:tcPr>
            <w:tcW w:w="607" w:type="dxa"/>
            <w:vMerge w:val="continue"/>
            <w:tcBorders>
              <w:top w:val="nil"/>
              <w:left w:val="single" w:color="000000" w:sz="6" w:space="0"/>
              <w:bottom w:val="nil"/>
            </w:tcBorders>
            <w:vAlign w:val="center"/>
          </w:tcPr>
          <w:p w14:paraId="2A480C9C">
            <w:pPr>
              <w:pStyle w:val="57"/>
              <w:spacing w:after="0" w:line="240" w:lineRule="auto"/>
              <w:rPr>
                <w:rFonts w:hint="default" w:ascii="Times New Roman" w:hAnsi="Times New Roman" w:eastAsia="宋体" w:cs="Times New Roman"/>
                <w:snapToGrid w:val="0"/>
                <w:color w:val="auto"/>
                <w:sz w:val="24"/>
                <w:szCs w:val="24"/>
                <w:highlight w:val="none"/>
                <w:lang w:eastAsia="en-US"/>
              </w:rPr>
            </w:pPr>
          </w:p>
        </w:tc>
        <w:tc>
          <w:tcPr>
            <w:tcW w:w="566" w:type="dxa"/>
            <w:vMerge w:val="continue"/>
            <w:tcBorders>
              <w:top w:val="nil"/>
              <w:bottom w:val="nil"/>
            </w:tcBorders>
            <w:vAlign w:val="center"/>
          </w:tcPr>
          <w:p w14:paraId="303E0AD8">
            <w:pPr>
              <w:pStyle w:val="57"/>
              <w:spacing w:after="0" w:line="240" w:lineRule="auto"/>
              <w:rPr>
                <w:rFonts w:hint="default" w:ascii="Times New Roman" w:hAnsi="Times New Roman" w:eastAsia="宋体" w:cs="Times New Roman"/>
                <w:snapToGrid w:val="0"/>
                <w:color w:val="auto"/>
                <w:sz w:val="24"/>
                <w:szCs w:val="24"/>
                <w:highlight w:val="none"/>
                <w:lang w:eastAsia="en-US"/>
              </w:rPr>
            </w:pPr>
          </w:p>
        </w:tc>
        <w:tc>
          <w:tcPr>
            <w:tcW w:w="1475" w:type="dxa"/>
            <w:gridSpan w:val="2"/>
            <w:vMerge w:val="continue"/>
            <w:tcBorders>
              <w:top w:val="nil"/>
            </w:tcBorders>
            <w:vAlign w:val="center"/>
          </w:tcPr>
          <w:p w14:paraId="72EDC7A5">
            <w:pPr>
              <w:pStyle w:val="57"/>
              <w:spacing w:after="0" w:line="240" w:lineRule="auto"/>
              <w:rPr>
                <w:rFonts w:hint="default" w:ascii="Times New Roman" w:hAnsi="Times New Roman" w:eastAsia="宋体" w:cs="Times New Roman"/>
                <w:snapToGrid w:val="0"/>
                <w:color w:val="auto"/>
                <w:sz w:val="24"/>
                <w:szCs w:val="24"/>
                <w:highlight w:val="none"/>
                <w:lang w:eastAsia="en-US"/>
              </w:rPr>
            </w:pPr>
          </w:p>
        </w:tc>
        <w:tc>
          <w:tcPr>
            <w:tcW w:w="3594" w:type="dxa"/>
            <w:gridSpan w:val="6"/>
            <w:tcBorders>
              <w:right w:val="single" w:color="000000" w:sz="6" w:space="0"/>
            </w:tcBorders>
            <w:vAlign w:val="center"/>
          </w:tcPr>
          <w:p w14:paraId="5A6B7719">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原墙体砂浆强度等级</w:t>
            </w:r>
          </w:p>
        </w:tc>
      </w:tr>
      <w:tr w14:paraId="52486B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blHeader/>
          <w:jc w:val="center"/>
        </w:trPr>
        <w:tc>
          <w:tcPr>
            <w:tcW w:w="607" w:type="dxa"/>
            <w:vMerge w:val="continue"/>
            <w:tcBorders>
              <w:top w:val="nil"/>
              <w:left w:val="single" w:color="000000" w:sz="6" w:space="0"/>
            </w:tcBorders>
            <w:vAlign w:val="center"/>
          </w:tcPr>
          <w:p w14:paraId="6C96787F">
            <w:pPr>
              <w:pStyle w:val="57"/>
              <w:spacing w:after="0" w:line="240" w:lineRule="auto"/>
              <w:rPr>
                <w:rFonts w:hint="default" w:ascii="Times New Roman" w:hAnsi="Times New Roman" w:eastAsia="宋体" w:cs="Times New Roman"/>
                <w:snapToGrid w:val="0"/>
                <w:color w:val="auto"/>
                <w:sz w:val="24"/>
                <w:szCs w:val="24"/>
                <w:highlight w:val="none"/>
                <w:lang w:eastAsia="en-US"/>
              </w:rPr>
            </w:pPr>
          </w:p>
        </w:tc>
        <w:tc>
          <w:tcPr>
            <w:tcW w:w="566" w:type="dxa"/>
            <w:vMerge w:val="continue"/>
            <w:tcBorders>
              <w:top w:val="nil"/>
            </w:tcBorders>
            <w:vAlign w:val="center"/>
          </w:tcPr>
          <w:p w14:paraId="6749D909">
            <w:pPr>
              <w:pStyle w:val="57"/>
              <w:spacing w:after="0" w:line="240" w:lineRule="auto"/>
              <w:rPr>
                <w:rFonts w:hint="default" w:ascii="Times New Roman" w:hAnsi="Times New Roman" w:eastAsia="宋体" w:cs="Times New Roman"/>
                <w:snapToGrid w:val="0"/>
                <w:color w:val="auto"/>
                <w:sz w:val="24"/>
                <w:szCs w:val="24"/>
                <w:highlight w:val="none"/>
                <w:lang w:eastAsia="en-US"/>
              </w:rPr>
            </w:pPr>
          </w:p>
        </w:tc>
        <w:tc>
          <w:tcPr>
            <w:tcW w:w="832" w:type="dxa"/>
            <w:vAlign w:val="center"/>
          </w:tcPr>
          <w:p w14:paraId="24DA968F">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直径（mm）</w:t>
            </w:r>
          </w:p>
        </w:tc>
        <w:tc>
          <w:tcPr>
            <w:tcW w:w="643" w:type="dxa"/>
            <w:vAlign w:val="center"/>
          </w:tcPr>
          <w:p w14:paraId="1B20A956">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间距(mm)</w:t>
            </w:r>
          </w:p>
        </w:tc>
        <w:tc>
          <w:tcPr>
            <w:tcW w:w="533" w:type="dxa"/>
            <w:vAlign w:val="center"/>
          </w:tcPr>
          <w:p w14:paraId="7B07AB14">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M0.4</w:t>
            </w:r>
          </w:p>
        </w:tc>
        <w:tc>
          <w:tcPr>
            <w:tcW w:w="610" w:type="dxa"/>
            <w:vAlign w:val="center"/>
          </w:tcPr>
          <w:p w14:paraId="3F0198A2">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M1.0</w:t>
            </w:r>
          </w:p>
        </w:tc>
        <w:tc>
          <w:tcPr>
            <w:tcW w:w="610" w:type="dxa"/>
            <w:vAlign w:val="center"/>
          </w:tcPr>
          <w:p w14:paraId="7A7FBCA2">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M2.5</w:t>
            </w:r>
          </w:p>
        </w:tc>
        <w:tc>
          <w:tcPr>
            <w:tcW w:w="611" w:type="dxa"/>
            <w:vAlign w:val="center"/>
          </w:tcPr>
          <w:p w14:paraId="0302E374">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M0.4</w:t>
            </w:r>
          </w:p>
        </w:tc>
        <w:tc>
          <w:tcPr>
            <w:tcW w:w="610" w:type="dxa"/>
            <w:vAlign w:val="center"/>
          </w:tcPr>
          <w:p w14:paraId="76CCDAD2">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M1.0</w:t>
            </w:r>
          </w:p>
        </w:tc>
        <w:tc>
          <w:tcPr>
            <w:tcW w:w="620" w:type="dxa"/>
            <w:tcBorders>
              <w:right w:val="single" w:color="000000" w:sz="6" w:space="0"/>
            </w:tcBorders>
            <w:vAlign w:val="center"/>
          </w:tcPr>
          <w:p w14:paraId="1FFA55D6">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M2.5</w:t>
            </w:r>
          </w:p>
        </w:tc>
      </w:tr>
      <w:tr w14:paraId="0C8AB6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blHeader/>
          <w:jc w:val="center"/>
        </w:trPr>
        <w:tc>
          <w:tcPr>
            <w:tcW w:w="607" w:type="dxa"/>
            <w:tcBorders>
              <w:left w:val="single" w:color="000000" w:sz="6" w:space="0"/>
            </w:tcBorders>
            <w:vAlign w:val="center"/>
          </w:tcPr>
          <w:p w14:paraId="565CCA6E">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20</w:t>
            </w:r>
          </w:p>
        </w:tc>
        <w:tc>
          <w:tcPr>
            <w:tcW w:w="566" w:type="dxa"/>
            <w:vMerge w:val="restart"/>
            <w:tcBorders>
              <w:bottom w:val="nil"/>
            </w:tcBorders>
            <w:vAlign w:val="center"/>
          </w:tcPr>
          <w:p w14:paraId="1756F6FB">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M10</w:t>
            </w:r>
          </w:p>
        </w:tc>
        <w:tc>
          <w:tcPr>
            <w:tcW w:w="832" w:type="dxa"/>
            <w:vAlign w:val="center"/>
          </w:tcPr>
          <w:p w14:paraId="5A6979CC">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无筋</w:t>
            </w:r>
          </w:p>
        </w:tc>
        <w:tc>
          <w:tcPr>
            <w:tcW w:w="643" w:type="dxa"/>
            <w:vAlign w:val="center"/>
          </w:tcPr>
          <w:p w14:paraId="647DB782">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w:t>
            </w:r>
          </w:p>
        </w:tc>
        <w:tc>
          <w:tcPr>
            <w:tcW w:w="533" w:type="dxa"/>
            <w:vAlign w:val="center"/>
          </w:tcPr>
          <w:p w14:paraId="34BA4644">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1.46</w:t>
            </w:r>
          </w:p>
        </w:tc>
        <w:tc>
          <w:tcPr>
            <w:tcW w:w="610" w:type="dxa"/>
            <w:vAlign w:val="center"/>
          </w:tcPr>
          <w:p w14:paraId="1AF5BBD6">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1.04</w:t>
            </w:r>
          </w:p>
        </w:tc>
        <w:tc>
          <w:tcPr>
            <w:tcW w:w="610" w:type="dxa"/>
            <w:vAlign w:val="center"/>
          </w:tcPr>
          <w:p w14:paraId="37C5EFB8">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w:t>
            </w:r>
          </w:p>
        </w:tc>
        <w:tc>
          <w:tcPr>
            <w:tcW w:w="611" w:type="dxa"/>
            <w:vAlign w:val="center"/>
          </w:tcPr>
          <w:p w14:paraId="66CA99AB">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2.08</w:t>
            </w:r>
          </w:p>
        </w:tc>
        <w:tc>
          <w:tcPr>
            <w:tcW w:w="610" w:type="dxa"/>
            <w:vAlign w:val="center"/>
          </w:tcPr>
          <w:p w14:paraId="4BEB32C6">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1.46</w:t>
            </w:r>
          </w:p>
        </w:tc>
        <w:tc>
          <w:tcPr>
            <w:tcW w:w="620" w:type="dxa"/>
            <w:tcBorders>
              <w:right w:val="single" w:color="000000" w:sz="6" w:space="0"/>
            </w:tcBorders>
            <w:vAlign w:val="center"/>
          </w:tcPr>
          <w:p w14:paraId="2182ADE2">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1.13</w:t>
            </w:r>
          </w:p>
        </w:tc>
      </w:tr>
      <w:tr w14:paraId="758FC4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blHeader/>
          <w:jc w:val="center"/>
        </w:trPr>
        <w:tc>
          <w:tcPr>
            <w:tcW w:w="607" w:type="dxa"/>
            <w:tcBorders>
              <w:left w:val="single" w:color="000000" w:sz="6" w:space="0"/>
            </w:tcBorders>
            <w:vAlign w:val="center"/>
          </w:tcPr>
          <w:p w14:paraId="618294FF">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30</w:t>
            </w:r>
          </w:p>
        </w:tc>
        <w:tc>
          <w:tcPr>
            <w:tcW w:w="566" w:type="dxa"/>
            <w:vMerge w:val="continue"/>
            <w:tcBorders>
              <w:top w:val="nil"/>
              <w:bottom w:val="nil"/>
            </w:tcBorders>
            <w:vAlign w:val="center"/>
          </w:tcPr>
          <w:p w14:paraId="79FF7387">
            <w:pPr>
              <w:pStyle w:val="57"/>
              <w:spacing w:after="0" w:line="240" w:lineRule="auto"/>
              <w:rPr>
                <w:rFonts w:hint="default" w:ascii="Times New Roman" w:hAnsi="Times New Roman" w:eastAsia="宋体" w:cs="Times New Roman"/>
                <w:snapToGrid w:val="0"/>
                <w:color w:val="auto"/>
                <w:sz w:val="24"/>
                <w:szCs w:val="24"/>
                <w:highlight w:val="none"/>
                <w:lang w:eastAsia="en-US"/>
              </w:rPr>
            </w:pPr>
          </w:p>
        </w:tc>
        <w:tc>
          <w:tcPr>
            <w:tcW w:w="832" w:type="dxa"/>
            <w:vAlign w:val="center"/>
          </w:tcPr>
          <w:p w14:paraId="701CFD7C">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6</w:t>
            </w:r>
          </w:p>
        </w:tc>
        <w:tc>
          <w:tcPr>
            <w:tcW w:w="643" w:type="dxa"/>
            <w:vAlign w:val="center"/>
          </w:tcPr>
          <w:p w14:paraId="3BC583EB">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300</w:t>
            </w:r>
          </w:p>
        </w:tc>
        <w:tc>
          <w:tcPr>
            <w:tcW w:w="533" w:type="dxa"/>
            <w:vAlign w:val="center"/>
          </w:tcPr>
          <w:p w14:paraId="615C4E5A">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2.06</w:t>
            </w:r>
          </w:p>
        </w:tc>
        <w:tc>
          <w:tcPr>
            <w:tcW w:w="610" w:type="dxa"/>
            <w:vAlign w:val="center"/>
          </w:tcPr>
          <w:p w14:paraId="0DFC8B11">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1.35</w:t>
            </w:r>
          </w:p>
        </w:tc>
        <w:tc>
          <w:tcPr>
            <w:tcW w:w="610" w:type="dxa"/>
            <w:vAlign w:val="center"/>
          </w:tcPr>
          <w:p w14:paraId="771F351F">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w:t>
            </w:r>
          </w:p>
        </w:tc>
        <w:tc>
          <w:tcPr>
            <w:tcW w:w="611" w:type="dxa"/>
            <w:vAlign w:val="center"/>
          </w:tcPr>
          <w:p w14:paraId="67314312">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2.97</w:t>
            </w:r>
          </w:p>
        </w:tc>
        <w:tc>
          <w:tcPr>
            <w:tcW w:w="610" w:type="dxa"/>
            <w:vAlign w:val="center"/>
          </w:tcPr>
          <w:p w14:paraId="35AE76C4">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2.05</w:t>
            </w:r>
          </w:p>
        </w:tc>
        <w:tc>
          <w:tcPr>
            <w:tcW w:w="620" w:type="dxa"/>
            <w:tcBorders>
              <w:right w:val="single" w:color="000000" w:sz="6" w:space="0"/>
            </w:tcBorders>
            <w:vAlign w:val="center"/>
          </w:tcPr>
          <w:p w14:paraId="3A20F145">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1.52</w:t>
            </w:r>
          </w:p>
        </w:tc>
      </w:tr>
      <w:tr w14:paraId="3253D3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blHeader/>
          <w:jc w:val="center"/>
        </w:trPr>
        <w:tc>
          <w:tcPr>
            <w:tcW w:w="607" w:type="dxa"/>
            <w:tcBorders>
              <w:left w:val="single" w:color="000000" w:sz="6" w:space="0"/>
              <w:bottom w:val="single" w:color="000000" w:sz="6" w:space="0"/>
            </w:tcBorders>
            <w:vAlign w:val="center"/>
          </w:tcPr>
          <w:p w14:paraId="7BE05423">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40</w:t>
            </w:r>
          </w:p>
        </w:tc>
        <w:tc>
          <w:tcPr>
            <w:tcW w:w="566" w:type="dxa"/>
            <w:vMerge w:val="continue"/>
            <w:tcBorders>
              <w:top w:val="nil"/>
              <w:bottom w:val="single" w:color="000000" w:sz="6" w:space="0"/>
            </w:tcBorders>
            <w:vAlign w:val="center"/>
          </w:tcPr>
          <w:p w14:paraId="33A25F48">
            <w:pPr>
              <w:pStyle w:val="57"/>
              <w:spacing w:after="0" w:line="240" w:lineRule="auto"/>
              <w:rPr>
                <w:rFonts w:hint="default" w:ascii="Times New Roman" w:hAnsi="Times New Roman" w:eastAsia="宋体" w:cs="Times New Roman"/>
                <w:snapToGrid w:val="0"/>
                <w:color w:val="auto"/>
                <w:sz w:val="24"/>
                <w:szCs w:val="24"/>
                <w:highlight w:val="none"/>
                <w:lang w:eastAsia="en-US"/>
              </w:rPr>
            </w:pPr>
          </w:p>
        </w:tc>
        <w:tc>
          <w:tcPr>
            <w:tcW w:w="832" w:type="dxa"/>
            <w:tcBorders>
              <w:bottom w:val="single" w:color="000000" w:sz="6" w:space="0"/>
            </w:tcBorders>
            <w:vAlign w:val="center"/>
          </w:tcPr>
          <w:p w14:paraId="2FCBB2B0">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6</w:t>
            </w:r>
          </w:p>
        </w:tc>
        <w:tc>
          <w:tcPr>
            <w:tcW w:w="643" w:type="dxa"/>
            <w:tcBorders>
              <w:bottom w:val="single" w:color="000000" w:sz="6" w:space="0"/>
            </w:tcBorders>
            <w:vAlign w:val="center"/>
          </w:tcPr>
          <w:p w14:paraId="1A295989">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300</w:t>
            </w:r>
          </w:p>
        </w:tc>
        <w:tc>
          <w:tcPr>
            <w:tcW w:w="533" w:type="dxa"/>
            <w:tcBorders>
              <w:bottom w:val="single" w:color="000000" w:sz="6" w:space="0"/>
            </w:tcBorders>
            <w:vAlign w:val="center"/>
          </w:tcPr>
          <w:p w14:paraId="655A21A3">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2.16</w:t>
            </w:r>
          </w:p>
        </w:tc>
        <w:tc>
          <w:tcPr>
            <w:tcW w:w="610" w:type="dxa"/>
            <w:tcBorders>
              <w:bottom w:val="single" w:color="000000" w:sz="6" w:space="0"/>
            </w:tcBorders>
            <w:vAlign w:val="center"/>
          </w:tcPr>
          <w:p w14:paraId="46664AAC">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1.51</w:t>
            </w:r>
          </w:p>
        </w:tc>
        <w:tc>
          <w:tcPr>
            <w:tcW w:w="610" w:type="dxa"/>
            <w:tcBorders>
              <w:bottom w:val="single" w:color="000000" w:sz="6" w:space="0"/>
            </w:tcBorders>
            <w:vAlign w:val="center"/>
          </w:tcPr>
          <w:p w14:paraId="18CABE2F">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1.16</w:t>
            </w:r>
          </w:p>
        </w:tc>
        <w:tc>
          <w:tcPr>
            <w:tcW w:w="611" w:type="dxa"/>
            <w:tcBorders>
              <w:bottom w:val="single" w:color="000000" w:sz="6" w:space="0"/>
            </w:tcBorders>
            <w:vAlign w:val="center"/>
          </w:tcPr>
          <w:p w14:paraId="0C24EFF0">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3.12</w:t>
            </w:r>
          </w:p>
        </w:tc>
        <w:tc>
          <w:tcPr>
            <w:tcW w:w="610" w:type="dxa"/>
            <w:tcBorders>
              <w:bottom w:val="single" w:color="000000" w:sz="6" w:space="0"/>
            </w:tcBorders>
            <w:vAlign w:val="center"/>
          </w:tcPr>
          <w:p w14:paraId="1F8DCC83">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2.15</w:t>
            </w:r>
          </w:p>
        </w:tc>
        <w:tc>
          <w:tcPr>
            <w:tcW w:w="620" w:type="dxa"/>
            <w:tcBorders>
              <w:bottom w:val="single" w:color="000000" w:sz="6" w:space="0"/>
              <w:right w:val="single" w:color="000000" w:sz="6" w:space="0"/>
            </w:tcBorders>
            <w:vAlign w:val="center"/>
          </w:tcPr>
          <w:p w14:paraId="3DE2FF86">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1.65</w:t>
            </w:r>
          </w:p>
        </w:tc>
      </w:tr>
    </w:tbl>
    <w:p w14:paraId="6B4EAD5F">
      <w:pPr>
        <w:spacing w:before="120" w:beforeLines="50" w:line="300" w:lineRule="auto"/>
        <w:ind w:firstLine="482"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2</w:t>
      </w:r>
      <w:r>
        <w:rPr>
          <w:rFonts w:hint="default" w:ascii="Times New Roman" w:hAnsi="Times New Roman" w:eastAsia="宋体" w:cs="Times New Roman"/>
          <w:color w:val="auto"/>
          <w:sz w:val="24"/>
          <w:szCs w:val="24"/>
          <w:highlight w:val="none"/>
        </w:rPr>
        <w:t xml:space="preserve"> 对于A类砌体房屋，加固后黏土砖墙体刚度的提高系数应按下列公式计算：</w:t>
      </w:r>
    </w:p>
    <w:p w14:paraId="29BE9959">
      <w:pPr>
        <w:spacing w:line="300" w:lineRule="auto"/>
        <w:ind w:firstLine="600" w:firstLineChars="25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1）单面加固实心砖墙</w:t>
      </w:r>
    </w:p>
    <w:p w14:paraId="69DE213A">
      <w:pPr>
        <w:spacing w:line="0" w:lineRule="atLeast"/>
        <w:ind w:firstLine="3360" w:firstLineChars="1400"/>
        <w:jc w:val="righ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position w:val="-12"/>
          <w:sz w:val="24"/>
          <w:szCs w:val="24"/>
          <w:highlight w:val="none"/>
        </w:rPr>
        <w:drawing>
          <wp:inline distT="0" distB="0" distL="0" distR="0">
            <wp:extent cx="1575435" cy="368300"/>
            <wp:effectExtent l="0" t="0" r="5715" b="12700"/>
            <wp:docPr id="11" name="IM 18"/>
            <wp:cNvGraphicFramePr/>
            <a:graphic xmlns:a="http://schemas.openxmlformats.org/drawingml/2006/main">
              <a:graphicData uri="http://schemas.openxmlformats.org/drawingml/2006/picture">
                <pic:pic xmlns:pic="http://schemas.openxmlformats.org/drawingml/2006/picture">
                  <pic:nvPicPr>
                    <pic:cNvPr id="11" name="IM 18"/>
                    <pic:cNvPicPr/>
                  </pic:nvPicPr>
                  <pic:blipFill>
                    <a:blip r:embed="rId197"/>
                    <a:stretch>
                      <a:fillRect/>
                    </a:stretch>
                  </pic:blipFill>
                  <pic:spPr>
                    <a:xfrm>
                      <a:off x="0" y="0"/>
                      <a:ext cx="1575937" cy="368826"/>
                    </a:xfrm>
                    <a:prstGeom prst="rect">
                      <a:avLst/>
                    </a:prstGeom>
                  </pic:spPr>
                </pic:pic>
              </a:graphicData>
            </a:graphic>
          </wp:inline>
        </w:drawing>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.8-3）</w:t>
      </w:r>
    </w:p>
    <w:p w14:paraId="326DE2C0">
      <w:pPr>
        <w:spacing w:line="0" w:lineRule="atLeast"/>
        <w:ind w:firstLine="600" w:firstLineChars="25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2）双面加固实心砖墙</w:t>
      </w:r>
    </w:p>
    <w:p w14:paraId="179A12EA">
      <w:pPr>
        <w:spacing w:line="0" w:lineRule="atLeast"/>
        <w:ind w:firstLine="3600" w:firstLineChars="1500"/>
        <w:jc w:val="righ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position w:val="-12"/>
          <w:sz w:val="24"/>
          <w:szCs w:val="24"/>
          <w:highlight w:val="none"/>
        </w:rPr>
        <w:drawing>
          <wp:inline distT="0" distB="0" distL="0" distR="0">
            <wp:extent cx="1330960" cy="368300"/>
            <wp:effectExtent l="0" t="0" r="2540" b="12700"/>
            <wp:docPr id="16" name="IM 20"/>
            <wp:cNvGraphicFramePr/>
            <a:graphic xmlns:a="http://schemas.openxmlformats.org/drawingml/2006/main">
              <a:graphicData uri="http://schemas.openxmlformats.org/drawingml/2006/picture">
                <pic:pic xmlns:pic="http://schemas.openxmlformats.org/drawingml/2006/picture">
                  <pic:nvPicPr>
                    <pic:cNvPr id="16" name="IM 20"/>
                    <pic:cNvPicPr/>
                  </pic:nvPicPr>
                  <pic:blipFill>
                    <a:blip r:embed="rId198"/>
                    <a:stretch>
                      <a:fillRect/>
                    </a:stretch>
                  </pic:blipFill>
                  <pic:spPr>
                    <a:xfrm>
                      <a:off x="0" y="0"/>
                      <a:ext cx="1331340" cy="368826"/>
                    </a:xfrm>
                    <a:prstGeom prst="rect">
                      <a:avLst/>
                    </a:prstGeom>
                  </pic:spPr>
                </pic:pic>
              </a:graphicData>
            </a:graphic>
          </wp:inline>
        </w:drawing>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.8-4）</w:t>
      </w:r>
    </w:p>
    <w:p w14:paraId="1B130197">
      <w:pPr>
        <w:spacing w:line="0" w:lineRule="atLeast"/>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     3）双面加固空斗墙</w:t>
      </w:r>
    </w:p>
    <w:p w14:paraId="65CFCC56">
      <w:pPr>
        <w:spacing w:line="0" w:lineRule="atLeast"/>
        <w:ind w:firstLine="3840" w:firstLineChars="1600"/>
        <w:jc w:val="righ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position w:val="-12"/>
          <w:sz w:val="24"/>
          <w:szCs w:val="24"/>
          <w:highlight w:val="none"/>
        </w:rPr>
        <w:object>
          <v:shape id="_x0000_i1129" o:spt="75" type="#_x0000_t75" style="height:18pt;width:95.5pt;" o:ole="t" filled="f" o:preferrelative="t" stroked="f" coordsize="21600,21600">
            <v:path/>
            <v:fill on="f" focussize="0,0"/>
            <v:stroke on="f" joinstyle="miter"/>
            <v:imagedata r:id="rId200" o:title=""/>
            <o:lock v:ext="edit" aspectratio="t"/>
            <w10:wrap type="none"/>
            <w10:anchorlock/>
          </v:shape>
          <o:OLEObject Type="Embed" ProgID="Equation.DSMT4" ShapeID="_x0000_i1129" DrawAspect="Content" ObjectID="_1468075829" r:id="rId199">
            <o:LockedField>false</o:LockedField>
          </o:OLEObject>
        </w:objec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.8-5）</w:t>
      </w:r>
    </w:p>
    <w:p w14:paraId="577BEE63">
      <w:pPr>
        <w:spacing w:line="0" w:lineRule="atLeast"/>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式中  </w:t>
      </w:r>
      <w:r>
        <w:rPr>
          <w:rFonts w:hint="default" w:ascii="Times New Roman" w:hAnsi="Times New Roman" w:eastAsia="宋体" w:cs="Times New Roman"/>
          <w:color w:val="auto"/>
          <w:position w:val="-12"/>
          <w:sz w:val="24"/>
          <w:szCs w:val="24"/>
          <w:highlight w:val="none"/>
        </w:rPr>
        <w:object>
          <v:shape id="_x0000_i1130" o:spt="75" type="#_x0000_t75" style="height:18pt;width:14.5pt;" o:ole="t" filled="f" o:preferrelative="t" stroked="f" coordsize="21600,21600">
            <v:path/>
            <v:fill on="f" focussize="0,0"/>
            <v:stroke on="f" joinstyle="miter"/>
            <v:imagedata r:id="rId202" o:title=""/>
            <o:lock v:ext="edit" aspectratio="t"/>
            <w10:wrap type="none"/>
            <w10:anchorlock/>
          </v:shape>
          <o:OLEObject Type="Embed" ProgID="Equation.DSMT4" ShapeID="_x0000_i1130" DrawAspect="Content" ObjectID="_1468075830" r:id="rId201">
            <o:LockedField>false</o:LockedField>
          </o:OLEObject>
        </w:object>
      </w:r>
      <w:r>
        <w:rPr>
          <w:rFonts w:hint="default" w:ascii="Times New Roman" w:hAnsi="Times New Roman" w:eastAsia="宋体" w:cs="Times New Roman"/>
          <w:color w:val="auto"/>
          <w:sz w:val="24"/>
          <w:szCs w:val="24"/>
          <w:highlight w:val="none"/>
        </w:rPr>
        <w:t>——加固后墙体的刚度提高系数；</w:t>
      </w:r>
    </w:p>
    <w:p w14:paraId="25410797">
      <w:pPr>
        <w:spacing w:line="0" w:lineRule="atLeast"/>
        <w:ind w:firstLine="720" w:firstLineChars="3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position w:val="-12"/>
          <w:sz w:val="24"/>
          <w:szCs w:val="24"/>
          <w:highlight w:val="none"/>
        </w:rPr>
        <w:object>
          <v:shape id="_x0000_i1131" o:spt="75" type="#_x0000_t75" style="height:18pt;width:18pt;" o:ole="t" filled="f" o:preferrelative="t" stroked="f" coordsize="21600,21600">
            <v:path/>
            <v:fill on="f" focussize="0,0"/>
            <v:stroke on="f" joinstyle="miter"/>
            <v:imagedata r:id="rId204" o:title=""/>
            <o:lock v:ext="edit" aspectratio="t"/>
            <w10:wrap type="none"/>
            <w10:anchorlock/>
          </v:shape>
          <o:OLEObject Type="Embed" ProgID="Equation.DSMT4" ShapeID="_x0000_i1131" DrawAspect="Content" ObjectID="_1468075831" r:id="rId203">
            <o:LockedField>false</o:LockedField>
          </o:OLEObject>
        </w:object>
      </w:r>
      <w:r>
        <w:rPr>
          <w:rFonts w:hint="default" w:ascii="Times New Roman" w:hAnsi="Times New Roman" w:eastAsia="宋体" w:cs="Times New Roman"/>
          <w:color w:val="auto"/>
          <w:sz w:val="24"/>
          <w:szCs w:val="24"/>
          <w:highlight w:val="none"/>
        </w:rPr>
        <w:t>——刚度的基准提高系数，可按表</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.8-2采用。</w:t>
      </w:r>
    </w:p>
    <w:p w14:paraId="641E7CFA">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default" w:ascii="宋体" w:hAnsi="宋体" w:eastAsia="宋体" w:cs="宋体"/>
          <w:color w:val="auto"/>
          <w:spacing w:val="-2"/>
          <w:sz w:val="28"/>
          <w:szCs w:val="28"/>
          <w:lang w:val="en-US" w:eastAsia="zh-CN"/>
        </w:rPr>
      </w:pPr>
      <w:r>
        <w:rPr>
          <w:rFonts w:hint="default" w:ascii="宋体" w:hAnsi="宋体" w:eastAsia="宋体" w:cs="宋体"/>
          <w:color w:val="auto"/>
          <w:spacing w:val="-2"/>
          <w:sz w:val="28"/>
          <w:szCs w:val="28"/>
          <w:lang w:val="en-US" w:eastAsia="zh-CN"/>
        </w:rPr>
        <w:t>表6.3.8-2 面层加固墙体刚度的基准提高系数</w:t>
      </w:r>
    </w:p>
    <w:p w14:paraId="1BA62C90">
      <w:pPr>
        <w:spacing w:line="59" w:lineRule="exact"/>
        <w:rPr>
          <w:rFonts w:hint="default" w:ascii="Times New Roman" w:hAnsi="Times New Roman" w:eastAsia="宋体" w:cs="Times New Roman"/>
          <w:color w:val="auto"/>
          <w:sz w:val="24"/>
          <w:szCs w:val="24"/>
          <w:highlight w:val="none"/>
        </w:rPr>
      </w:pPr>
    </w:p>
    <w:tbl>
      <w:tblPr>
        <w:tblStyle w:val="50"/>
        <w:tblW w:w="612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5"/>
        <w:gridCol w:w="764"/>
        <w:gridCol w:w="764"/>
        <w:gridCol w:w="764"/>
        <w:gridCol w:w="763"/>
        <w:gridCol w:w="763"/>
        <w:gridCol w:w="763"/>
        <w:gridCol w:w="773"/>
      </w:tblGrid>
      <w:tr w14:paraId="1003DF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jc w:val="center"/>
        </w:trPr>
        <w:tc>
          <w:tcPr>
            <w:tcW w:w="775" w:type="dxa"/>
            <w:vMerge w:val="restart"/>
            <w:tcBorders>
              <w:top w:val="single" w:color="000000" w:sz="6" w:space="0"/>
              <w:left w:val="single" w:color="000000" w:sz="6" w:space="0"/>
              <w:bottom w:val="nil"/>
            </w:tcBorders>
            <w:vAlign w:val="center"/>
          </w:tcPr>
          <w:p w14:paraId="42F46E34">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面层</w:t>
            </w:r>
          </w:p>
          <w:p w14:paraId="473400AE">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厚度</w:t>
            </w:r>
          </w:p>
          <w:p w14:paraId="5EC986A2">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(mm)</w:t>
            </w:r>
          </w:p>
        </w:tc>
        <w:tc>
          <w:tcPr>
            <w:tcW w:w="764" w:type="dxa"/>
            <w:vMerge w:val="restart"/>
            <w:tcBorders>
              <w:top w:val="single" w:color="000000" w:sz="6" w:space="0"/>
              <w:bottom w:val="nil"/>
            </w:tcBorders>
            <w:vAlign w:val="center"/>
          </w:tcPr>
          <w:p w14:paraId="110A9828">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面层砂</w:t>
            </w:r>
          </w:p>
          <w:p w14:paraId="225EF25B">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浆强度</w:t>
            </w:r>
          </w:p>
          <w:p w14:paraId="521F9F04">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等级</w:t>
            </w:r>
          </w:p>
        </w:tc>
        <w:tc>
          <w:tcPr>
            <w:tcW w:w="2291" w:type="dxa"/>
            <w:gridSpan w:val="3"/>
            <w:tcBorders>
              <w:top w:val="single" w:color="000000" w:sz="6" w:space="0"/>
            </w:tcBorders>
            <w:vAlign w:val="center"/>
          </w:tcPr>
          <w:p w14:paraId="4EC00A42">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单面加固</w:t>
            </w:r>
          </w:p>
        </w:tc>
        <w:tc>
          <w:tcPr>
            <w:tcW w:w="2299" w:type="dxa"/>
            <w:gridSpan w:val="3"/>
            <w:tcBorders>
              <w:top w:val="single" w:color="000000" w:sz="6" w:space="0"/>
              <w:right w:val="single" w:color="000000" w:sz="6" w:space="0"/>
            </w:tcBorders>
            <w:vAlign w:val="center"/>
          </w:tcPr>
          <w:p w14:paraId="5A390A51">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双面加固</w:t>
            </w:r>
          </w:p>
        </w:tc>
      </w:tr>
      <w:tr w14:paraId="1A138B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jc w:val="center"/>
        </w:trPr>
        <w:tc>
          <w:tcPr>
            <w:tcW w:w="775" w:type="dxa"/>
            <w:vMerge w:val="continue"/>
            <w:tcBorders>
              <w:top w:val="nil"/>
              <w:left w:val="single" w:color="000000" w:sz="6" w:space="0"/>
              <w:bottom w:val="nil"/>
            </w:tcBorders>
            <w:vAlign w:val="center"/>
          </w:tcPr>
          <w:p w14:paraId="0E1CC096">
            <w:pPr>
              <w:pStyle w:val="57"/>
              <w:spacing w:after="0" w:line="240" w:lineRule="auto"/>
              <w:rPr>
                <w:rFonts w:hint="default" w:ascii="Times New Roman" w:hAnsi="Times New Roman" w:eastAsia="宋体" w:cs="Times New Roman"/>
                <w:snapToGrid w:val="0"/>
                <w:color w:val="auto"/>
                <w:sz w:val="24"/>
                <w:szCs w:val="24"/>
                <w:highlight w:val="none"/>
                <w:lang w:eastAsia="en-US"/>
              </w:rPr>
            </w:pPr>
          </w:p>
        </w:tc>
        <w:tc>
          <w:tcPr>
            <w:tcW w:w="764" w:type="dxa"/>
            <w:vMerge w:val="continue"/>
            <w:tcBorders>
              <w:top w:val="nil"/>
              <w:bottom w:val="nil"/>
            </w:tcBorders>
            <w:vAlign w:val="center"/>
          </w:tcPr>
          <w:p w14:paraId="1766B7DC">
            <w:pPr>
              <w:pStyle w:val="57"/>
              <w:spacing w:after="0" w:line="240" w:lineRule="auto"/>
              <w:rPr>
                <w:rFonts w:hint="default" w:ascii="Times New Roman" w:hAnsi="Times New Roman" w:eastAsia="宋体" w:cs="Times New Roman"/>
                <w:snapToGrid w:val="0"/>
                <w:color w:val="auto"/>
                <w:sz w:val="24"/>
                <w:szCs w:val="24"/>
                <w:highlight w:val="none"/>
                <w:lang w:eastAsia="en-US"/>
              </w:rPr>
            </w:pPr>
          </w:p>
        </w:tc>
        <w:tc>
          <w:tcPr>
            <w:tcW w:w="4590" w:type="dxa"/>
            <w:gridSpan w:val="6"/>
            <w:tcBorders>
              <w:right w:val="single" w:color="000000" w:sz="6" w:space="0"/>
            </w:tcBorders>
            <w:vAlign w:val="center"/>
          </w:tcPr>
          <w:p w14:paraId="468086A5">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原墙体砂浆强度等级</w:t>
            </w:r>
          </w:p>
        </w:tc>
      </w:tr>
      <w:tr w14:paraId="2A3E99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jc w:val="center"/>
        </w:trPr>
        <w:tc>
          <w:tcPr>
            <w:tcW w:w="775" w:type="dxa"/>
            <w:vMerge w:val="continue"/>
            <w:tcBorders>
              <w:top w:val="nil"/>
              <w:left w:val="single" w:color="000000" w:sz="6" w:space="0"/>
            </w:tcBorders>
            <w:vAlign w:val="center"/>
          </w:tcPr>
          <w:p w14:paraId="7AF8DC8F">
            <w:pPr>
              <w:pStyle w:val="57"/>
              <w:spacing w:after="0" w:line="240" w:lineRule="auto"/>
              <w:rPr>
                <w:rFonts w:hint="default" w:ascii="Times New Roman" w:hAnsi="Times New Roman" w:eastAsia="宋体" w:cs="Times New Roman"/>
                <w:snapToGrid w:val="0"/>
                <w:color w:val="auto"/>
                <w:sz w:val="24"/>
                <w:szCs w:val="24"/>
                <w:highlight w:val="none"/>
                <w:lang w:eastAsia="en-US"/>
              </w:rPr>
            </w:pPr>
          </w:p>
        </w:tc>
        <w:tc>
          <w:tcPr>
            <w:tcW w:w="764" w:type="dxa"/>
            <w:vMerge w:val="continue"/>
            <w:tcBorders>
              <w:top w:val="nil"/>
            </w:tcBorders>
            <w:vAlign w:val="center"/>
          </w:tcPr>
          <w:p w14:paraId="34DEEDCB">
            <w:pPr>
              <w:pStyle w:val="57"/>
              <w:spacing w:after="0" w:line="240" w:lineRule="auto"/>
              <w:rPr>
                <w:rFonts w:hint="default" w:ascii="Times New Roman" w:hAnsi="Times New Roman" w:eastAsia="宋体" w:cs="Times New Roman"/>
                <w:snapToGrid w:val="0"/>
                <w:color w:val="auto"/>
                <w:sz w:val="24"/>
                <w:szCs w:val="24"/>
                <w:highlight w:val="none"/>
                <w:lang w:eastAsia="en-US"/>
              </w:rPr>
            </w:pPr>
          </w:p>
        </w:tc>
        <w:tc>
          <w:tcPr>
            <w:tcW w:w="764" w:type="dxa"/>
            <w:vAlign w:val="center"/>
          </w:tcPr>
          <w:p w14:paraId="38CD3CA3">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M0.4</w:t>
            </w:r>
          </w:p>
        </w:tc>
        <w:tc>
          <w:tcPr>
            <w:tcW w:w="764" w:type="dxa"/>
            <w:vAlign w:val="center"/>
          </w:tcPr>
          <w:p w14:paraId="0A79BF11">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M1.0</w:t>
            </w:r>
          </w:p>
        </w:tc>
        <w:tc>
          <w:tcPr>
            <w:tcW w:w="763" w:type="dxa"/>
            <w:vAlign w:val="center"/>
          </w:tcPr>
          <w:p w14:paraId="32967689">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M2.5</w:t>
            </w:r>
          </w:p>
        </w:tc>
        <w:tc>
          <w:tcPr>
            <w:tcW w:w="763" w:type="dxa"/>
            <w:vAlign w:val="center"/>
          </w:tcPr>
          <w:p w14:paraId="12238530">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M0.4</w:t>
            </w:r>
          </w:p>
        </w:tc>
        <w:tc>
          <w:tcPr>
            <w:tcW w:w="763" w:type="dxa"/>
            <w:vAlign w:val="center"/>
          </w:tcPr>
          <w:p w14:paraId="6EA86F7D">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M1.0</w:t>
            </w:r>
          </w:p>
        </w:tc>
        <w:tc>
          <w:tcPr>
            <w:tcW w:w="773" w:type="dxa"/>
            <w:tcBorders>
              <w:right w:val="single" w:color="000000" w:sz="6" w:space="0"/>
            </w:tcBorders>
            <w:vAlign w:val="center"/>
          </w:tcPr>
          <w:p w14:paraId="1FAA76B0">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M2.5</w:t>
            </w:r>
          </w:p>
        </w:tc>
      </w:tr>
      <w:tr w14:paraId="4B92B7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jc w:val="center"/>
        </w:trPr>
        <w:tc>
          <w:tcPr>
            <w:tcW w:w="775" w:type="dxa"/>
            <w:tcBorders>
              <w:left w:val="single" w:color="000000" w:sz="6" w:space="0"/>
            </w:tcBorders>
            <w:vAlign w:val="center"/>
          </w:tcPr>
          <w:p w14:paraId="2E667E0D">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20</w:t>
            </w:r>
          </w:p>
        </w:tc>
        <w:tc>
          <w:tcPr>
            <w:tcW w:w="764" w:type="dxa"/>
            <w:vMerge w:val="restart"/>
            <w:tcBorders>
              <w:bottom w:val="nil"/>
            </w:tcBorders>
            <w:vAlign w:val="center"/>
          </w:tcPr>
          <w:p w14:paraId="3B2B8224">
            <w:pPr>
              <w:pStyle w:val="57"/>
              <w:spacing w:after="0" w:line="240" w:lineRule="auto"/>
              <w:rPr>
                <w:rFonts w:hint="default" w:ascii="Times New Roman" w:hAnsi="Times New Roman" w:eastAsia="宋体" w:cs="Times New Roman"/>
                <w:snapToGrid w:val="0"/>
                <w:color w:val="auto"/>
                <w:sz w:val="24"/>
                <w:szCs w:val="24"/>
                <w:highlight w:val="none"/>
                <w:lang w:eastAsia="en-US"/>
              </w:rPr>
            </w:pPr>
          </w:p>
          <w:p w14:paraId="6F85BEBC">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M10</w:t>
            </w:r>
          </w:p>
        </w:tc>
        <w:tc>
          <w:tcPr>
            <w:tcW w:w="764" w:type="dxa"/>
            <w:vAlign w:val="center"/>
          </w:tcPr>
          <w:p w14:paraId="7C910A08">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1.39</w:t>
            </w:r>
          </w:p>
        </w:tc>
        <w:tc>
          <w:tcPr>
            <w:tcW w:w="764" w:type="dxa"/>
            <w:vAlign w:val="center"/>
          </w:tcPr>
          <w:p w14:paraId="1BD1CBAD">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1.12</w:t>
            </w:r>
          </w:p>
        </w:tc>
        <w:tc>
          <w:tcPr>
            <w:tcW w:w="763" w:type="dxa"/>
            <w:vAlign w:val="center"/>
          </w:tcPr>
          <w:p w14:paraId="727E3431">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w:t>
            </w:r>
          </w:p>
        </w:tc>
        <w:tc>
          <w:tcPr>
            <w:tcW w:w="763" w:type="dxa"/>
            <w:vAlign w:val="center"/>
          </w:tcPr>
          <w:p w14:paraId="0F7D4A8B">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2.71</w:t>
            </w:r>
          </w:p>
        </w:tc>
        <w:tc>
          <w:tcPr>
            <w:tcW w:w="763" w:type="dxa"/>
            <w:vAlign w:val="center"/>
          </w:tcPr>
          <w:p w14:paraId="62EAE11C">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1.98</w:t>
            </w:r>
          </w:p>
        </w:tc>
        <w:tc>
          <w:tcPr>
            <w:tcW w:w="773" w:type="dxa"/>
            <w:tcBorders>
              <w:right w:val="single" w:color="000000" w:sz="6" w:space="0"/>
            </w:tcBorders>
            <w:vAlign w:val="center"/>
          </w:tcPr>
          <w:p w14:paraId="6127EFCB">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1.70</w:t>
            </w:r>
          </w:p>
        </w:tc>
      </w:tr>
      <w:tr w14:paraId="7CA338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jc w:val="center"/>
        </w:trPr>
        <w:tc>
          <w:tcPr>
            <w:tcW w:w="775" w:type="dxa"/>
            <w:tcBorders>
              <w:left w:val="single" w:color="000000" w:sz="6" w:space="0"/>
            </w:tcBorders>
            <w:vAlign w:val="center"/>
          </w:tcPr>
          <w:p w14:paraId="46BA299B">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30</w:t>
            </w:r>
          </w:p>
        </w:tc>
        <w:tc>
          <w:tcPr>
            <w:tcW w:w="764" w:type="dxa"/>
            <w:vMerge w:val="continue"/>
            <w:tcBorders>
              <w:top w:val="nil"/>
              <w:bottom w:val="nil"/>
            </w:tcBorders>
            <w:vAlign w:val="center"/>
          </w:tcPr>
          <w:p w14:paraId="5657F7B6">
            <w:pPr>
              <w:pStyle w:val="57"/>
              <w:spacing w:after="0" w:line="240" w:lineRule="auto"/>
              <w:rPr>
                <w:rFonts w:hint="default" w:ascii="Times New Roman" w:hAnsi="Times New Roman" w:eastAsia="宋体" w:cs="Times New Roman"/>
                <w:snapToGrid w:val="0"/>
                <w:color w:val="auto"/>
                <w:sz w:val="24"/>
                <w:szCs w:val="24"/>
                <w:highlight w:val="none"/>
                <w:lang w:eastAsia="en-US"/>
              </w:rPr>
            </w:pPr>
          </w:p>
        </w:tc>
        <w:tc>
          <w:tcPr>
            <w:tcW w:w="764" w:type="dxa"/>
            <w:vAlign w:val="center"/>
          </w:tcPr>
          <w:p w14:paraId="040A569F">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1.71</w:t>
            </w:r>
          </w:p>
        </w:tc>
        <w:tc>
          <w:tcPr>
            <w:tcW w:w="764" w:type="dxa"/>
            <w:vAlign w:val="center"/>
          </w:tcPr>
          <w:p w14:paraId="6F4D29AD">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1.30</w:t>
            </w:r>
          </w:p>
        </w:tc>
        <w:tc>
          <w:tcPr>
            <w:tcW w:w="763" w:type="dxa"/>
            <w:vAlign w:val="center"/>
          </w:tcPr>
          <w:p w14:paraId="338230D8">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w:t>
            </w:r>
          </w:p>
        </w:tc>
        <w:tc>
          <w:tcPr>
            <w:tcW w:w="763" w:type="dxa"/>
            <w:vAlign w:val="center"/>
          </w:tcPr>
          <w:p w14:paraId="43AA70CB">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3.57</w:t>
            </w:r>
          </w:p>
        </w:tc>
        <w:tc>
          <w:tcPr>
            <w:tcW w:w="763" w:type="dxa"/>
            <w:vAlign w:val="center"/>
          </w:tcPr>
          <w:p w14:paraId="380DB8D7">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2.47</w:t>
            </w:r>
          </w:p>
        </w:tc>
        <w:tc>
          <w:tcPr>
            <w:tcW w:w="773" w:type="dxa"/>
            <w:tcBorders>
              <w:right w:val="single" w:color="000000" w:sz="6" w:space="0"/>
            </w:tcBorders>
            <w:vAlign w:val="center"/>
          </w:tcPr>
          <w:p w14:paraId="61765C64">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2.06</w:t>
            </w:r>
          </w:p>
        </w:tc>
      </w:tr>
      <w:tr w14:paraId="247B23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jc w:val="center"/>
        </w:trPr>
        <w:tc>
          <w:tcPr>
            <w:tcW w:w="775" w:type="dxa"/>
            <w:tcBorders>
              <w:left w:val="single" w:color="000000" w:sz="6" w:space="0"/>
              <w:bottom w:val="single" w:color="000000" w:sz="6" w:space="0"/>
            </w:tcBorders>
            <w:vAlign w:val="center"/>
          </w:tcPr>
          <w:p w14:paraId="7F3E7CD8">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40</w:t>
            </w:r>
          </w:p>
        </w:tc>
        <w:tc>
          <w:tcPr>
            <w:tcW w:w="764" w:type="dxa"/>
            <w:vMerge w:val="continue"/>
            <w:tcBorders>
              <w:top w:val="nil"/>
              <w:bottom w:val="single" w:color="000000" w:sz="6" w:space="0"/>
            </w:tcBorders>
            <w:vAlign w:val="center"/>
          </w:tcPr>
          <w:p w14:paraId="2A66EC8C">
            <w:pPr>
              <w:pStyle w:val="57"/>
              <w:spacing w:after="0" w:line="240" w:lineRule="auto"/>
              <w:rPr>
                <w:rFonts w:hint="default" w:ascii="Times New Roman" w:hAnsi="Times New Roman" w:eastAsia="宋体" w:cs="Times New Roman"/>
                <w:snapToGrid w:val="0"/>
                <w:color w:val="auto"/>
                <w:sz w:val="24"/>
                <w:szCs w:val="24"/>
                <w:highlight w:val="none"/>
                <w:lang w:eastAsia="en-US"/>
              </w:rPr>
            </w:pPr>
          </w:p>
        </w:tc>
        <w:tc>
          <w:tcPr>
            <w:tcW w:w="764" w:type="dxa"/>
            <w:tcBorders>
              <w:bottom w:val="single" w:color="000000" w:sz="6" w:space="0"/>
            </w:tcBorders>
            <w:vAlign w:val="center"/>
          </w:tcPr>
          <w:p w14:paraId="2145E621">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2.03</w:t>
            </w:r>
          </w:p>
        </w:tc>
        <w:tc>
          <w:tcPr>
            <w:tcW w:w="764" w:type="dxa"/>
            <w:tcBorders>
              <w:bottom w:val="single" w:color="000000" w:sz="6" w:space="0"/>
            </w:tcBorders>
            <w:vAlign w:val="center"/>
          </w:tcPr>
          <w:p w14:paraId="3D5B2373">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1.49</w:t>
            </w:r>
          </w:p>
        </w:tc>
        <w:tc>
          <w:tcPr>
            <w:tcW w:w="763" w:type="dxa"/>
            <w:tcBorders>
              <w:bottom w:val="single" w:color="000000" w:sz="6" w:space="0"/>
            </w:tcBorders>
            <w:vAlign w:val="center"/>
          </w:tcPr>
          <w:p w14:paraId="7F6697B5">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1.29</w:t>
            </w:r>
          </w:p>
        </w:tc>
        <w:tc>
          <w:tcPr>
            <w:tcW w:w="763" w:type="dxa"/>
            <w:tcBorders>
              <w:bottom w:val="single" w:color="000000" w:sz="6" w:space="0"/>
            </w:tcBorders>
            <w:vAlign w:val="center"/>
          </w:tcPr>
          <w:p w14:paraId="09AAB654">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4.43</w:t>
            </w:r>
          </w:p>
        </w:tc>
        <w:tc>
          <w:tcPr>
            <w:tcW w:w="763" w:type="dxa"/>
            <w:tcBorders>
              <w:bottom w:val="single" w:color="000000" w:sz="6" w:space="0"/>
            </w:tcBorders>
            <w:vAlign w:val="center"/>
          </w:tcPr>
          <w:p w14:paraId="5CF83BC0">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2.96</w:t>
            </w:r>
          </w:p>
        </w:tc>
        <w:tc>
          <w:tcPr>
            <w:tcW w:w="773" w:type="dxa"/>
            <w:tcBorders>
              <w:bottom w:val="single" w:color="000000" w:sz="6" w:space="0"/>
              <w:right w:val="single" w:color="000000" w:sz="6" w:space="0"/>
            </w:tcBorders>
            <w:vAlign w:val="center"/>
          </w:tcPr>
          <w:p w14:paraId="32BAB3DB">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2.41</w:t>
            </w:r>
          </w:p>
        </w:tc>
      </w:tr>
    </w:tbl>
    <w:p w14:paraId="028C1851">
      <w:pPr>
        <w:spacing w:before="120" w:beforeLines="50"/>
        <w:rPr>
          <w:rFonts w:hint="default" w:ascii="Times New Roman" w:hAnsi="Times New Roman" w:eastAsia="宋体" w:cs="Times New Roman"/>
          <w:color w:val="auto"/>
          <w:sz w:val="24"/>
          <w:szCs w:val="24"/>
          <w:highlight w:val="none"/>
        </w:rPr>
      </w:pPr>
      <w:bookmarkStart w:id="79" w:name="_Toc28259"/>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rPr>
        <w:t>.3.9</w:t>
      </w:r>
      <w:r>
        <w:rPr>
          <w:rFonts w:hint="default" w:ascii="Times New Roman" w:hAnsi="Times New Roman" w:eastAsia="宋体" w:cs="Times New Roman"/>
          <w:color w:val="auto"/>
          <w:sz w:val="24"/>
          <w:szCs w:val="24"/>
          <w:highlight w:val="none"/>
        </w:rPr>
        <w:t xml:space="preserve"> 钢筋网砂浆面层加固施工应符合下列要求：</w:t>
      </w:r>
      <w:bookmarkEnd w:id="79"/>
    </w:p>
    <w:p w14:paraId="16D3438D">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1</w:t>
      </w:r>
      <w:r>
        <w:rPr>
          <w:rFonts w:hint="default" w:ascii="Times New Roman" w:hAnsi="Times New Roman" w:eastAsia="宋体" w:cs="Times New Roman"/>
          <w:color w:val="auto"/>
          <w:sz w:val="24"/>
          <w:szCs w:val="24"/>
          <w:highlight w:val="none"/>
          <w:lang w:eastAsia="zh-CN"/>
        </w:rPr>
        <w:t xml:space="preserve"> 水泥砂浆或钢筋网砂浆面层宜按下列顺序施工：原墙面清底、钻孔并用水冲刷，铺设钢筋网并安设锚筋，浇水湿润墙面，抹水泥砂浆并养护、墙面装饰。</w:t>
      </w:r>
    </w:p>
    <w:p w14:paraId="4BFCBE5A">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2</w:t>
      </w:r>
      <w:r>
        <w:rPr>
          <w:rFonts w:hint="default" w:ascii="Times New Roman" w:hAnsi="Times New Roman" w:eastAsia="宋体" w:cs="Times New Roman"/>
          <w:color w:val="auto"/>
          <w:sz w:val="24"/>
          <w:szCs w:val="24"/>
          <w:highlight w:val="none"/>
          <w:lang w:eastAsia="zh-CN"/>
        </w:rPr>
        <w:t xml:space="preserve"> 原墙面碱蚀严重时，应先清除松散部分，并用1:3水泥砂浆抹面，已松动的勾缝砂浆应剔除。</w:t>
      </w:r>
    </w:p>
    <w:p w14:paraId="57E27072">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3</w:t>
      </w:r>
      <w:r>
        <w:rPr>
          <w:rFonts w:hint="default" w:ascii="Times New Roman" w:hAnsi="Times New Roman" w:eastAsia="宋体" w:cs="Times New Roman"/>
          <w:color w:val="auto"/>
          <w:sz w:val="24"/>
          <w:szCs w:val="24"/>
          <w:highlight w:val="none"/>
          <w:lang w:eastAsia="zh-CN"/>
        </w:rPr>
        <w:t xml:space="preserve"> 在墙面钻孔时，应按设计要求先画线标出锚筋（或穿墙筋）位置，并用电钻打孔。穿墙孔直径宜比S形筋大2mm，锚筋孔直径宜为锚筋直径的2～2.5倍，其孔深宜为100～120mm，锚筋插入孔洞后，应采用水泥砂浆或其他锚固材料填实。钻孔位置孔位宜适当调整，尽量布置在水平灰层中，避免钻孔损坏块材。</w:t>
      </w:r>
    </w:p>
    <w:p w14:paraId="4D05A067">
      <w:pPr>
        <w:pStyle w:val="12"/>
        <w:ind w:firstLine="422"/>
        <w:rPr>
          <w:rFonts w:hint="default" w:ascii="Times New Roman" w:hAnsi="Times New Roman" w:eastAsia="宋体" w:cs="Times New Roman"/>
          <w:color w:val="auto"/>
          <w:sz w:val="24"/>
          <w:szCs w:val="24"/>
          <w:highlight w:val="none"/>
          <w:lang w:eastAsia="zh-CN"/>
        </w:rPr>
      </w:pPr>
      <w:bookmarkStart w:id="80" w:name="_Toc28174"/>
      <w:r>
        <w:rPr>
          <w:rFonts w:hint="default" w:ascii="Times New Roman" w:hAnsi="Times New Roman" w:eastAsia="宋体" w:cs="Times New Roman"/>
          <w:b/>
          <w:bCs/>
          <w:color w:val="auto"/>
          <w:sz w:val="24"/>
          <w:szCs w:val="24"/>
          <w:highlight w:val="none"/>
          <w:lang w:eastAsia="zh-CN"/>
        </w:rPr>
        <w:t>4</w:t>
      </w:r>
      <w:r>
        <w:rPr>
          <w:rFonts w:hint="default" w:ascii="Times New Roman" w:hAnsi="Times New Roman" w:eastAsia="宋体" w:cs="Times New Roman"/>
          <w:color w:val="auto"/>
          <w:sz w:val="24"/>
          <w:szCs w:val="24"/>
          <w:highlight w:val="none"/>
          <w:lang w:eastAsia="zh-CN"/>
        </w:rPr>
        <w:t xml:space="preserve"> 铺设钢筋网时，竖向钢筋应靠墙面并采用钢筋头支起。</w:t>
      </w:r>
      <w:bookmarkEnd w:id="80"/>
    </w:p>
    <w:p w14:paraId="54742ECB">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5</w:t>
      </w:r>
      <w:r>
        <w:rPr>
          <w:rFonts w:hint="default" w:ascii="Times New Roman" w:hAnsi="Times New Roman" w:eastAsia="宋体" w:cs="Times New Roman"/>
          <w:color w:val="auto"/>
          <w:sz w:val="24"/>
          <w:szCs w:val="24"/>
          <w:highlight w:val="none"/>
          <w:lang w:eastAsia="zh-CN"/>
        </w:rPr>
        <w:t xml:space="preserve"> 抹水泥砂浆（或聚合物砂浆）时，应先在墙面刷水泥浆（或界面剂）一道，再分遍成活，每遍厚度不应超过15mm。应采取可靠措施，最终形成整体，不允许分层。</w:t>
      </w:r>
    </w:p>
    <w:p w14:paraId="5F05665F">
      <w:pPr>
        <w:pStyle w:val="12"/>
        <w:ind w:firstLine="422"/>
        <w:rPr>
          <w:rFonts w:hint="default" w:ascii="Times New Roman" w:hAnsi="Times New Roman" w:eastAsia="宋体" w:cs="Times New Roman"/>
          <w:color w:val="auto"/>
          <w:sz w:val="24"/>
          <w:szCs w:val="24"/>
          <w:highlight w:val="none"/>
          <w:lang w:eastAsia="zh-CN"/>
        </w:rPr>
      </w:pPr>
      <w:bookmarkStart w:id="81" w:name="_Toc4946"/>
      <w:r>
        <w:rPr>
          <w:rFonts w:hint="default" w:ascii="Times New Roman" w:hAnsi="Times New Roman" w:eastAsia="宋体" w:cs="Times New Roman"/>
          <w:b/>
          <w:bCs/>
          <w:color w:val="auto"/>
          <w:sz w:val="24"/>
          <w:szCs w:val="24"/>
          <w:highlight w:val="none"/>
          <w:lang w:eastAsia="zh-CN"/>
        </w:rPr>
        <w:t>6</w:t>
      </w:r>
      <w:r>
        <w:rPr>
          <w:rFonts w:hint="default" w:ascii="Times New Roman" w:hAnsi="Times New Roman" w:eastAsia="宋体" w:cs="Times New Roman"/>
          <w:color w:val="auto"/>
          <w:sz w:val="24"/>
          <w:szCs w:val="24"/>
          <w:highlight w:val="none"/>
          <w:lang w:eastAsia="zh-CN"/>
        </w:rPr>
        <w:t xml:space="preserve"> 面层应浇水养护，防止阳光曝晒，冬季应采取防冻措施。</w:t>
      </w:r>
      <w:bookmarkEnd w:id="81"/>
    </w:p>
    <w:p w14:paraId="2A16A6BC">
      <w:pPr>
        <w:spacing w:before="120" w:after="120"/>
        <w:jc w:val="center"/>
        <w:rPr>
          <w:rFonts w:hint="default" w:ascii="Times New Roman" w:hAnsi="Times New Roman" w:eastAsia="宋体" w:cs="Times New Roman"/>
          <w:color w:val="auto"/>
          <w:sz w:val="24"/>
          <w:szCs w:val="24"/>
          <w:highlight w:val="none"/>
        </w:rPr>
      </w:pPr>
      <w:bookmarkStart w:id="82" w:name="_Toc30826"/>
      <w:r>
        <w:rPr>
          <w:rFonts w:hint="default" w:ascii="Times New Roman" w:hAnsi="Times New Roman" w:eastAsia="宋体" w:cs="Times New Roman"/>
          <w:b/>
          <w:color w:val="auto"/>
          <w:sz w:val="24"/>
          <w:szCs w:val="24"/>
          <w:highlight w:val="none"/>
        </w:rPr>
        <w:t>IV</w: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z w:val="24"/>
          <w:szCs w:val="24"/>
          <w:highlight w:val="none"/>
          <w:lang w:val="en-US" w:eastAsia="zh-CN"/>
        </w:rPr>
        <w:t>钢绞线网-聚合物砂浆面层</w:t>
      </w:r>
      <w:r>
        <w:rPr>
          <w:rFonts w:hint="default" w:ascii="Times New Roman" w:hAnsi="Times New Roman" w:eastAsia="宋体" w:cs="Times New Roman"/>
          <w:color w:val="auto"/>
          <w:sz w:val="24"/>
          <w:szCs w:val="24"/>
          <w:highlight w:val="none"/>
        </w:rPr>
        <w:t>加固法</w:t>
      </w:r>
    </w:p>
    <w:p w14:paraId="62A49DE7">
      <w:pPr>
        <w:keepNext w:val="0"/>
        <w:keepLines w:val="0"/>
        <w:pageBreakBefore w:val="0"/>
        <w:tabs>
          <w:tab w:val="left" w:pos="680"/>
          <w:tab w:val="left" w:pos="1134"/>
          <w:tab w:val="clear" w:pos="3261"/>
        </w:tabs>
        <w:wordWrap/>
        <w:overflowPunct/>
        <w:topLinePunct w:val="0"/>
        <w:bidi w:val="0"/>
        <w:adjustRightInd w:val="0"/>
        <w:spacing w:line="360" w:lineRule="exact"/>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 xml:space="preserve">6.3.10 </w:t>
      </w:r>
      <w:r>
        <w:rPr>
          <w:rFonts w:hint="default" w:ascii="Times New Roman" w:hAnsi="Times New Roman" w:eastAsia="宋体" w:cs="Times New Roman"/>
          <w:color w:val="auto"/>
          <w:sz w:val="24"/>
          <w:szCs w:val="24"/>
        </w:rPr>
        <w:t>钢绞线网-聚合物砂浆面层加固</w:t>
      </w:r>
      <w:r>
        <w:rPr>
          <w:rFonts w:hint="default" w:ascii="Times New Roman" w:hAnsi="Times New Roman" w:eastAsia="宋体" w:cs="Times New Roman"/>
          <w:color w:val="auto"/>
          <w:sz w:val="24"/>
          <w:szCs w:val="24"/>
          <w:lang w:val="en-US" w:eastAsia="zh-CN"/>
        </w:rPr>
        <w:t>砌体墙</w:t>
      </w:r>
      <w:r>
        <w:rPr>
          <w:rFonts w:hint="default" w:ascii="Times New Roman" w:hAnsi="Times New Roman" w:eastAsia="宋体" w:cs="Times New Roman"/>
          <w:color w:val="auto"/>
          <w:sz w:val="24"/>
          <w:szCs w:val="24"/>
        </w:rPr>
        <w:t>的钢绞线网片、聚合物砂浆的材料性能，应符合现行国家标准《建筑抗震加固技术规程》JGJ 116第5.3.4条的规定。界面剂的性能应符合现行行业标准《混凝土界面处理剂》JC/T 907关于Ⅰ型的规定。</w:t>
      </w:r>
    </w:p>
    <w:p w14:paraId="29780B14">
      <w:pPr>
        <w:keepNext w:val="0"/>
        <w:keepLines w:val="0"/>
        <w:pageBreakBefore w:val="0"/>
        <w:tabs>
          <w:tab w:val="left" w:pos="680"/>
          <w:tab w:val="left" w:pos="1134"/>
          <w:tab w:val="clear" w:pos="3261"/>
        </w:tabs>
        <w:wordWrap/>
        <w:overflowPunct/>
        <w:topLinePunct w:val="0"/>
        <w:bidi w:val="0"/>
        <w:adjustRightInd w:val="0"/>
        <w:spacing w:line="360" w:lineRule="exact"/>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 xml:space="preserve">6.3.11 </w:t>
      </w:r>
      <w:r>
        <w:rPr>
          <w:rFonts w:hint="default" w:ascii="Times New Roman" w:hAnsi="Times New Roman" w:eastAsia="宋体" w:cs="Times New Roman"/>
          <w:color w:val="auto"/>
          <w:sz w:val="24"/>
          <w:szCs w:val="24"/>
        </w:rPr>
        <w:t>钢绞线网-聚合物砂浆面层加固</w:t>
      </w:r>
      <w:r>
        <w:rPr>
          <w:rFonts w:hint="default" w:ascii="Times New Roman" w:hAnsi="Times New Roman" w:eastAsia="宋体" w:cs="Times New Roman"/>
          <w:color w:val="auto"/>
          <w:sz w:val="24"/>
          <w:szCs w:val="24"/>
          <w:lang w:val="en-US" w:eastAsia="zh-CN"/>
        </w:rPr>
        <w:t>砌体墙</w:t>
      </w:r>
      <w:r>
        <w:rPr>
          <w:rFonts w:hint="default" w:ascii="Times New Roman" w:hAnsi="Times New Roman" w:eastAsia="宋体" w:cs="Times New Roman"/>
          <w:color w:val="auto"/>
          <w:sz w:val="24"/>
          <w:szCs w:val="24"/>
        </w:rPr>
        <w:t>的设计，应符合下列要求：</w:t>
      </w:r>
    </w:p>
    <w:p w14:paraId="2881EFD1">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 xml:space="preserve">1 </w:t>
      </w:r>
      <w:r>
        <w:rPr>
          <w:rFonts w:hint="default" w:ascii="Times New Roman" w:hAnsi="Times New Roman" w:eastAsia="宋体" w:cs="Times New Roman"/>
          <w:color w:val="auto"/>
          <w:sz w:val="24"/>
          <w:szCs w:val="24"/>
          <w:lang w:eastAsia="zh-CN"/>
        </w:rPr>
        <w:t>原</w:t>
      </w:r>
      <w:r>
        <w:rPr>
          <w:rFonts w:hint="default" w:ascii="Times New Roman" w:hAnsi="Times New Roman" w:eastAsia="宋体" w:cs="Times New Roman"/>
          <w:color w:val="auto"/>
          <w:sz w:val="24"/>
          <w:szCs w:val="24"/>
          <w:lang w:val="en-US" w:eastAsia="zh-CN"/>
        </w:rPr>
        <w:t>墙体砌筑的块体实际强度等级不宜低于MU7.5</w:t>
      </w:r>
      <w:r>
        <w:rPr>
          <w:rFonts w:hint="default" w:ascii="Times New Roman" w:hAnsi="Times New Roman" w:eastAsia="宋体" w:cs="Times New Roman"/>
          <w:color w:val="auto"/>
          <w:sz w:val="24"/>
          <w:szCs w:val="24"/>
          <w:lang w:eastAsia="zh-CN"/>
        </w:rPr>
        <w:t>。</w:t>
      </w:r>
    </w:p>
    <w:p w14:paraId="1ACFDF73">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2</w:t>
      </w:r>
      <w:r>
        <w:rPr>
          <w:rFonts w:hint="default" w:ascii="Times New Roman" w:hAnsi="Times New Roman" w:eastAsia="宋体" w:cs="Times New Roman"/>
          <w:color w:val="auto"/>
          <w:sz w:val="24"/>
          <w:szCs w:val="24"/>
          <w:lang w:eastAsia="zh-CN"/>
        </w:rPr>
        <w:t xml:space="preserve"> </w:t>
      </w:r>
      <w:r>
        <w:rPr>
          <w:rFonts w:hint="default" w:ascii="Times New Roman" w:hAnsi="Times New Roman" w:eastAsia="宋体" w:cs="Times New Roman"/>
          <w:color w:val="auto"/>
          <w:sz w:val="24"/>
          <w:szCs w:val="24"/>
          <w:lang w:val="en-US" w:eastAsia="zh-CN"/>
        </w:rPr>
        <w:t>聚合物砂浆面层的厚度应大于25mm，钢绞线保护层厚度不应小于15mm</w:t>
      </w:r>
      <w:r>
        <w:rPr>
          <w:rFonts w:hint="default" w:ascii="Times New Roman" w:hAnsi="Times New Roman" w:eastAsia="宋体" w:cs="Times New Roman"/>
          <w:color w:val="auto"/>
          <w:sz w:val="24"/>
          <w:szCs w:val="24"/>
          <w:lang w:eastAsia="zh-CN"/>
        </w:rPr>
        <w:t>。</w:t>
      </w:r>
    </w:p>
    <w:p w14:paraId="597B6634">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color w:val="auto"/>
          <w:sz w:val="24"/>
          <w:szCs w:val="24"/>
          <w:lang w:eastAsia="zh-CN"/>
        </w:rPr>
        <w:t xml:space="preserve">3 </w:t>
      </w:r>
      <w:r>
        <w:rPr>
          <w:rFonts w:hint="default" w:ascii="Times New Roman" w:hAnsi="Times New Roman" w:eastAsia="宋体" w:cs="Times New Roman"/>
          <w:color w:val="auto"/>
          <w:sz w:val="24"/>
          <w:szCs w:val="24"/>
          <w:lang w:eastAsia="zh-CN"/>
        </w:rPr>
        <w:t>钢</w:t>
      </w:r>
      <w:r>
        <w:rPr>
          <w:rStyle w:val="31"/>
          <w:rFonts w:hint="default" w:ascii="Times New Roman" w:hAnsi="Times New Roman" w:eastAsia="宋体" w:cs="Times New Roman"/>
          <w:color w:val="auto"/>
          <w:sz w:val="24"/>
          <w:szCs w:val="24"/>
          <w:lang w:eastAsia="zh-CN"/>
        </w:rPr>
        <w:t>绞线网-聚合物砂浆层</w:t>
      </w:r>
      <w:r>
        <w:rPr>
          <w:rStyle w:val="31"/>
          <w:rFonts w:hint="default" w:ascii="Times New Roman" w:hAnsi="Times New Roman" w:eastAsia="宋体" w:cs="Times New Roman"/>
          <w:color w:val="auto"/>
          <w:sz w:val="24"/>
          <w:szCs w:val="24"/>
          <w:lang w:val="en-US" w:eastAsia="zh-CN"/>
        </w:rPr>
        <w:t>可单面或双面设置</w:t>
      </w:r>
      <w:r>
        <w:rPr>
          <w:rStyle w:val="31"/>
          <w:rFonts w:hint="default" w:ascii="Times New Roman" w:hAnsi="Times New Roman" w:eastAsia="宋体" w:cs="Times New Roman"/>
          <w:color w:val="auto"/>
          <w:sz w:val="24"/>
          <w:szCs w:val="24"/>
          <w:lang w:eastAsia="zh-CN"/>
        </w:rPr>
        <w:t>，</w:t>
      </w:r>
      <w:r>
        <w:rPr>
          <w:rStyle w:val="31"/>
          <w:rFonts w:hint="default" w:ascii="Times New Roman" w:hAnsi="Times New Roman" w:eastAsia="宋体" w:cs="Times New Roman"/>
          <w:color w:val="auto"/>
          <w:sz w:val="24"/>
          <w:szCs w:val="24"/>
          <w:lang w:val="en-US" w:eastAsia="zh-CN"/>
        </w:rPr>
        <w:t>钢绞线网</w:t>
      </w:r>
      <w:r>
        <w:rPr>
          <w:rStyle w:val="31"/>
          <w:rFonts w:hint="default" w:ascii="Times New Roman" w:hAnsi="Times New Roman" w:eastAsia="宋体" w:cs="Times New Roman"/>
          <w:color w:val="auto"/>
          <w:sz w:val="24"/>
          <w:szCs w:val="24"/>
          <w:lang w:eastAsia="zh-CN"/>
        </w:rPr>
        <w:t>应</w:t>
      </w:r>
      <w:r>
        <w:rPr>
          <w:rStyle w:val="31"/>
          <w:rFonts w:hint="default" w:ascii="Times New Roman" w:hAnsi="Times New Roman" w:eastAsia="宋体" w:cs="Times New Roman"/>
          <w:color w:val="auto"/>
          <w:sz w:val="24"/>
          <w:szCs w:val="24"/>
          <w:lang w:val="en-US" w:eastAsia="zh-CN"/>
        </w:rPr>
        <w:t>采用专用金属胀栓固定在墙体上，其间距宜为600mm，且呈梅花状布置。</w:t>
      </w:r>
    </w:p>
    <w:p w14:paraId="0D75FA8D">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 xml:space="preserve">4 </w:t>
      </w:r>
      <w:r>
        <w:rPr>
          <w:rFonts w:hint="default" w:ascii="Times New Roman" w:hAnsi="Times New Roman" w:eastAsia="宋体" w:cs="Times New Roman"/>
          <w:color w:val="auto"/>
          <w:sz w:val="24"/>
          <w:szCs w:val="24"/>
          <w:lang w:eastAsia="zh-CN"/>
        </w:rPr>
        <w:t>钢绞线网</w:t>
      </w:r>
      <w:r>
        <w:rPr>
          <w:rFonts w:hint="default" w:ascii="Times New Roman" w:hAnsi="Times New Roman" w:eastAsia="宋体" w:cs="Times New Roman"/>
          <w:color w:val="auto"/>
          <w:sz w:val="24"/>
          <w:szCs w:val="24"/>
          <w:lang w:val="en-US" w:eastAsia="zh-CN"/>
        </w:rPr>
        <w:t>四周应与楼板或大梁、柱与墙体可靠连接；面层可不设基础，外墙在室外地面下宜加厚并伸入地面下500mm</w:t>
      </w:r>
      <w:r>
        <w:rPr>
          <w:rFonts w:hint="default" w:ascii="Times New Roman" w:hAnsi="Times New Roman" w:eastAsia="宋体" w:cs="Times New Roman"/>
          <w:color w:val="auto"/>
          <w:sz w:val="24"/>
          <w:szCs w:val="24"/>
          <w:lang w:eastAsia="zh-CN"/>
        </w:rPr>
        <w:t>。</w:t>
      </w:r>
    </w:p>
    <w:p w14:paraId="114496CD">
      <w:pPr>
        <w:pStyle w:val="12"/>
        <w:keepNext w:val="0"/>
        <w:keepLines w:val="0"/>
        <w:pageBreakBefore w:val="0"/>
        <w:wordWrap/>
        <w:overflowPunct/>
        <w:topLinePunct w:val="0"/>
        <w:bidi w:val="0"/>
        <w:spacing w:line="360" w:lineRule="exact"/>
        <w:ind w:firstLine="422"/>
        <w:jc w:val="left"/>
        <w:rPr>
          <w:rFonts w:hint="default" w:ascii="Times New Roman" w:hAnsi="Times New Roman" w:eastAsia="宋体" w:cs="Times New Roman"/>
          <w:color w:val="auto"/>
          <w:spacing w:val="4"/>
          <w:sz w:val="24"/>
          <w:szCs w:val="24"/>
        </w:rPr>
      </w:pPr>
      <w:r>
        <w:rPr>
          <w:rFonts w:hint="default" w:ascii="Times New Roman" w:hAnsi="Times New Roman" w:eastAsia="宋体" w:cs="Times New Roman"/>
          <w:b/>
          <w:color w:val="auto"/>
          <w:sz w:val="24"/>
          <w:szCs w:val="24"/>
          <w:lang w:eastAsia="zh-CN"/>
        </w:rPr>
        <w:t>5</w:t>
      </w:r>
      <w:r>
        <w:rPr>
          <w:rFonts w:hint="default" w:ascii="Times New Roman" w:hAnsi="Times New Roman" w:eastAsia="宋体" w:cs="Times New Roman"/>
          <w:color w:val="auto"/>
          <w:sz w:val="24"/>
          <w:szCs w:val="24"/>
          <w:lang w:eastAsia="zh-CN"/>
        </w:rPr>
        <w:t xml:space="preserve"> </w:t>
      </w:r>
      <w:r>
        <w:rPr>
          <w:rFonts w:hint="default" w:ascii="Times New Roman" w:hAnsi="Times New Roman" w:eastAsia="宋体" w:cs="Times New Roman"/>
          <w:color w:val="auto"/>
          <w:sz w:val="24"/>
          <w:szCs w:val="24"/>
          <w:lang w:val="en-US" w:eastAsia="zh-CN"/>
        </w:rPr>
        <w:t>墙体加固后，有关构件支承长度</w:t>
      </w:r>
      <w:r>
        <w:rPr>
          <w:rFonts w:hint="default" w:ascii="Times New Roman" w:hAnsi="Times New Roman" w:eastAsia="宋体" w:cs="Times New Roman"/>
          <w:color w:val="auto"/>
          <w:spacing w:val="6"/>
          <w:sz w:val="24"/>
          <w:szCs w:val="24"/>
        </w:rPr>
        <w:t>的影响系数应作相应改</w:t>
      </w:r>
      <w:r>
        <w:rPr>
          <w:rFonts w:hint="default" w:ascii="Times New Roman" w:hAnsi="Times New Roman" w:eastAsia="宋体" w:cs="Times New Roman"/>
          <w:color w:val="auto"/>
          <w:spacing w:val="10"/>
          <w:sz w:val="24"/>
          <w:szCs w:val="24"/>
        </w:rPr>
        <w:t>变，有关墙体局部尺寸的影响系数可取1.0</w:t>
      </w:r>
      <w:r>
        <w:rPr>
          <w:rFonts w:hint="default" w:ascii="Times New Roman" w:hAnsi="Times New Roman" w:eastAsia="宋体" w:cs="Times New Roman"/>
          <w:color w:val="auto"/>
          <w:spacing w:val="10"/>
          <w:sz w:val="24"/>
          <w:szCs w:val="24"/>
          <w:lang w:eastAsia="zh-CN"/>
        </w:rPr>
        <w:t>；</w:t>
      </w:r>
      <w:r>
        <w:rPr>
          <w:rFonts w:hint="default" w:ascii="Times New Roman" w:hAnsi="Times New Roman" w:eastAsia="宋体" w:cs="Times New Roman"/>
          <w:color w:val="auto"/>
          <w:spacing w:val="10"/>
          <w:sz w:val="24"/>
          <w:szCs w:val="24"/>
        </w:rPr>
        <w:t>楼层抗震</w:t>
      </w:r>
      <w:r>
        <w:rPr>
          <w:rFonts w:hint="default" w:ascii="Times New Roman" w:hAnsi="Times New Roman" w:eastAsia="宋体" w:cs="Times New Roman"/>
          <w:color w:val="auto"/>
          <w:spacing w:val="9"/>
          <w:sz w:val="24"/>
          <w:szCs w:val="24"/>
        </w:rPr>
        <w:t>能力的增</w:t>
      </w:r>
      <w:r>
        <w:rPr>
          <w:rFonts w:hint="default" w:ascii="Times New Roman" w:hAnsi="Times New Roman" w:eastAsia="宋体" w:cs="Times New Roman"/>
          <w:color w:val="auto"/>
          <w:spacing w:val="12"/>
          <w:sz w:val="24"/>
          <w:szCs w:val="24"/>
        </w:rPr>
        <w:t>强系数，可按本规程公式(</w:t>
      </w:r>
      <w:r>
        <w:rPr>
          <w:rFonts w:hint="default" w:ascii="Times New Roman" w:hAnsi="Times New Roman" w:eastAsia="宋体" w:cs="Times New Roman"/>
          <w:color w:val="auto"/>
          <w:spacing w:val="12"/>
          <w:sz w:val="24"/>
          <w:szCs w:val="24"/>
          <w:lang w:val="en-US" w:eastAsia="zh-CN"/>
        </w:rPr>
        <w:t>6.3.8</w:t>
      </w:r>
      <w:r>
        <w:rPr>
          <w:rFonts w:hint="default" w:ascii="Times New Roman" w:hAnsi="Times New Roman" w:eastAsia="宋体" w:cs="Times New Roman"/>
          <w:color w:val="auto"/>
          <w:spacing w:val="12"/>
          <w:sz w:val="24"/>
          <w:szCs w:val="24"/>
        </w:rPr>
        <w:t>-1)采用，其中，面层加固的</w:t>
      </w:r>
      <w:r>
        <w:rPr>
          <w:rFonts w:hint="default" w:ascii="Times New Roman" w:hAnsi="Times New Roman" w:eastAsia="宋体" w:cs="Times New Roman"/>
          <w:color w:val="auto"/>
          <w:spacing w:val="5"/>
          <w:sz w:val="24"/>
          <w:szCs w:val="24"/>
        </w:rPr>
        <w:t>基准增强系数，对黏土普通砖可按表</w:t>
      </w:r>
      <w:r>
        <w:rPr>
          <w:rFonts w:hint="default" w:ascii="Times New Roman" w:hAnsi="Times New Roman" w:eastAsia="宋体" w:cs="Times New Roman"/>
          <w:color w:val="auto"/>
          <w:spacing w:val="5"/>
          <w:sz w:val="24"/>
          <w:szCs w:val="24"/>
          <w:lang w:val="en-US" w:eastAsia="zh-CN"/>
        </w:rPr>
        <w:t>6</w:t>
      </w:r>
      <w:r>
        <w:rPr>
          <w:rFonts w:hint="default" w:ascii="Times New Roman" w:hAnsi="Times New Roman" w:eastAsia="宋体" w:cs="Times New Roman"/>
          <w:color w:val="auto"/>
          <w:spacing w:val="5"/>
          <w:sz w:val="24"/>
          <w:szCs w:val="24"/>
        </w:rPr>
        <w:t>.3.</w:t>
      </w:r>
      <w:r>
        <w:rPr>
          <w:rFonts w:hint="default" w:ascii="Times New Roman" w:hAnsi="Times New Roman" w:eastAsia="宋体" w:cs="Times New Roman"/>
          <w:color w:val="auto"/>
          <w:spacing w:val="5"/>
          <w:sz w:val="24"/>
          <w:szCs w:val="24"/>
          <w:lang w:val="en-US" w:eastAsia="zh-CN"/>
        </w:rPr>
        <w:t>11</w:t>
      </w:r>
      <w:r>
        <w:rPr>
          <w:rFonts w:hint="default" w:ascii="Times New Roman" w:hAnsi="Times New Roman" w:eastAsia="宋体" w:cs="Times New Roman"/>
          <w:color w:val="auto"/>
          <w:spacing w:val="5"/>
          <w:sz w:val="24"/>
          <w:szCs w:val="24"/>
        </w:rPr>
        <w:t>-1采用；墙体刚度的</w:t>
      </w:r>
      <w:r>
        <w:rPr>
          <w:rFonts w:hint="default" w:ascii="Times New Roman" w:hAnsi="Times New Roman" w:eastAsia="宋体" w:cs="Times New Roman"/>
          <w:color w:val="auto"/>
          <w:spacing w:val="4"/>
          <w:sz w:val="24"/>
          <w:szCs w:val="24"/>
        </w:rPr>
        <w:t>基准提高系数，可按表</w:t>
      </w:r>
      <w:r>
        <w:rPr>
          <w:rFonts w:hint="default" w:ascii="Times New Roman" w:hAnsi="Times New Roman" w:eastAsia="宋体" w:cs="Times New Roman"/>
          <w:color w:val="auto"/>
          <w:spacing w:val="4"/>
          <w:sz w:val="24"/>
          <w:szCs w:val="24"/>
          <w:lang w:val="en-US" w:eastAsia="zh-CN"/>
        </w:rPr>
        <w:t>6</w:t>
      </w:r>
      <w:r>
        <w:rPr>
          <w:rFonts w:hint="default" w:ascii="Times New Roman" w:hAnsi="Times New Roman" w:eastAsia="宋体" w:cs="Times New Roman"/>
          <w:color w:val="auto"/>
          <w:spacing w:val="4"/>
          <w:sz w:val="24"/>
          <w:szCs w:val="24"/>
        </w:rPr>
        <w:t>.3.</w:t>
      </w:r>
      <w:r>
        <w:rPr>
          <w:rFonts w:hint="default" w:ascii="Times New Roman" w:hAnsi="Times New Roman" w:eastAsia="宋体" w:cs="Times New Roman"/>
          <w:color w:val="auto"/>
          <w:spacing w:val="4"/>
          <w:sz w:val="24"/>
          <w:szCs w:val="24"/>
          <w:lang w:val="en-US" w:eastAsia="zh-CN"/>
        </w:rPr>
        <w:t>11</w:t>
      </w:r>
      <w:r>
        <w:rPr>
          <w:rFonts w:hint="default" w:ascii="Times New Roman" w:hAnsi="Times New Roman" w:eastAsia="宋体" w:cs="Times New Roman"/>
          <w:color w:val="auto"/>
          <w:spacing w:val="4"/>
          <w:sz w:val="24"/>
          <w:szCs w:val="24"/>
        </w:rPr>
        <w:t>-2采用。</w:t>
      </w:r>
    </w:p>
    <w:p w14:paraId="28C07E31">
      <w:pPr>
        <w:pStyle w:val="12"/>
        <w:keepNext w:val="0"/>
        <w:keepLines w:val="0"/>
        <w:pageBreakBefore w:val="0"/>
        <w:wordWrap/>
        <w:overflowPunct/>
        <w:topLinePunct w:val="0"/>
        <w:bidi w:val="0"/>
        <w:spacing w:line="360" w:lineRule="exact"/>
        <w:ind w:firstLine="422"/>
        <w:jc w:val="left"/>
        <w:rPr>
          <w:rFonts w:hint="default" w:ascii="Times New Roman" w:hAnsi="Times New Roman" w:eastAsia="宋体" w:cs="Times New Roman"/>
          <w:color w:val="auto"/>
          <w:spacing w:val="4"/>
          <w:sz w:val="24"/>
          <w:szCs w:val="24"/>
        </w:rPr>
      </w:pPr>
    </w:p>
    <w:p w14:paraId="5F5E02CE">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default" w:ascii="宋体" w:hAnsi="宋体" w:eastAsia="宋体" w:cs="宋体"/>
          <w:b w:val="0"/>
          <w:bCs w:val="0"/>
          <w:color w:val="auto"/>
          <w:spacing w:val="-2"/>
          <w:sz w:val="28"/>
          <w:szCs w:val="28"/>
          <w:lang w:val="en-US" w:eastAsia="zh-CN"/>
        </w:rPr>
      </w:pPr>
      <w:r>
        <w:rPr>
          <w:rFonts w:hint="default" w:ascii="宋体" w:hAnsi="宋体" w:eastAsia="宋体" w:cs="宋体"/>
          <w:b w:val="0"/>
          <w:bCs w:val="0"/>
          <w:color w:val="auto"/>
          <w:spacing w:val="-2"/>
          <w:sz w:val="28"/>
          <w:szCs w:val="28"/>
          <w:lang w:val="en-US" w:eastAsia="zh-CN"/>
        </w:rPr>
        <w:t>表6.3.11-1 钢绞线网-聚合物砂浆面层加固的基准增强系数</w:t>
      </w:r>
    </w:p>
    <w:p w14:paraId="693BD220">
      <w:pPr>
        <w:spacing w:line="83" w:lineRule="exact"/>
        <w:rPr>
          <w:rFonts w:hint="default" w:ascii="Times New Roman" w:hAnsi="Times New Roman" w:eastAsia="宋体" w:cs="Times New Roman"/>
          <w:color w:val="auto"/>
          <w:sz w:val="24"/>
          <w:szCs w:val="24"/>
        </w:rPr>
      </w:pPr>
    </w:p>
    <w:tbl>
      <w:tblPr>
        <w:tblStyle w:val="50"/>
        <w:tblW w:w="59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4"/>
        <w:gridCol w:w="639"/>
        <w:gridCol w:w="639"/>
        <w:gridCol w:w="479"/>
        <w:gridCol w:w="489"/>
        <w:gridCol w:w="480"/>
        <w:gridCol w:w="479"/>
        <w:gridCol w:w="479"/>
        <w:gridCol w:w="479"/>
        <w:gridCol w:w="489"/>
        <w:gridCol w:w="624"/>
      </w:tblGrid>
      <w:tr w14:paraId="28DFA7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644" w:type="dxa"/>
            <w:vMerge w:val="restart"/>
            <w:tcBorders>
              <w:bottom w:val="nil"/>
            </w:tcBorders>
            <w:vAlign w:val="center"/>
          </w:tcPr>
          <w:p w14:paraId="0A953F1D">
            <w:pPr>
              <w:pStyle w:val="51"/>
              <w:keepNext w:val="0"/>
              <w:keepLines w:val="0"/>
              <w:pageBreakBefore w:val="0"/>
              <w:widowControl/>
              <w:wordWrap/>
              <w:overflowPunct/>
              <w:topLinePunct w:val="0"/>
              <w:bidi w:val="0"/>
              <w:spacing w:after="0" w:line="240" w:lineRule="auto"/>
              <w:ind w:lef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面层</w:t>
            </w:r>
          </w:p>
          <w:p w14:paraId="5A1E8227">
            <w:pPr>
              <w:pStyle w:val="51"/>
              <w:keepNext w:val="0"/>
              <w:keepLines w:val="0"/>
              <w:pageBreakBefore w:val="0"/>
              <w:widowControl/>
              <w:wordWrap/>
              <w:overflowPunct/>
              <w:topLinePunct w:val="0"/>
              <w:bidi w:val="0"/>
              <w:spacing w:after="0" w:line="240" w:lineRule="auto"/>
              <w:ind w:lef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5"/>
                <w:sz w:val="24"/>
                <w:szCs w:val="24"/>
              </w:rPr>
              <w:t>厚度</w:t>
            </w:r>
          </w:p>
          <w:p w14:paraId="23717C73">
            <w:pPr>
              <w:pStyle w:val="51"/>
              <w:keepNext w:val="0"/>
              <w:keepLines w:val="0"/>
              <w:pageBreakBefore w:val="0"/>
              <w:widowControl/>
              <w:wordWrap/>
              <w:overflowPunct/>
              <w:topLinePunct w:val="0"/>
              <w:bidi w:val="0"/>
              <w:spacing w:after="0" w:line="240" w:lineRule="auto"/>
              <w:ind w:lef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8"/>
                <w:sz w:val="24"/>
                <w:szCs w:val="24"/>
              </w:rPr>
              <w:t>(mm)</w:t>
            </w:r>
          </w:p>
        </w:tc>
        <w:tc>
          <w:tcPr>
            <w:tcW w:w="1278" w:type="dxa"/>
            <w:gridSpan w:val="2"/>
            <w:vAlign w:val="center"/>
          </w:tcPr>
          <w:p w14:paraId="1AC42CEE">
            <w:pPr>
              <w:pStyle w:val="51"/>
              <w:keepNext w:val="0"/>
              <w:keepLines w:val="0"/>
              <w:pageBreakBefore w:val="0"/>
              <w:widowControl/>
              <w:wordWrap/>
              <w:overflowPunct/>
              <w:topLinePunct w:val="0"/>
              <w:bidi w:val="0"/>
              <w:spacing w:after="0" w:line="240" w:lineRule="auto"/>
              <w:ind w:lef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
                <w:sz w:val="24"/>
                <w:szCs w:val="24"/>
              </w:rPr>
              <w:t>钢绞线网片</w:t>
            </w:r>
          </w:p>
        </w:tc>
        <w:tc>
          <w:tcPr>
            <w:tcW w:w="1927" w:type="dxa"/>
            <w:gridSpan w:val="4"/>
            <w:vAlign w:val="center"/>
          </w:tcPr>
          <w:p w14:paraId="54A21918">
            <w:pPr>
              <w:pStyle w:val="51"/>
              <w:keepNext w:val="0"/>
              <w:keepLines w:val="0"/>
              <w:pageBreakBefore w:val="0"/>
              <w:widowControl/>
              <w:wordWrap/>
              <w:overflowPunct/>
              <w:topLinePunct w:val="0"/>
              <w:bidi w:val="0"/>
              <w:spacing w:after="0" w:line="240" w:lineRule="auto"/>
              <w:ind w:lef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4"/>
                <w:sz w:val="24"/>
                <w:szCs w:val="24"/>
              </w:rPr>
              <w:t>单面加固</w:t>
            </w:r>
          </w:p>
        </w:tc>
        <w:tc>
          <w:tcPr>
            <w:tcW w:w="2071" w:type="dxa"/>
            <w:gridSpan w:val="4"/>
            <w:vAlign w:val="center"/>
          </w:tcPr>
          <w:p w14:paraId="285EBAE5">
            <w:pPr>
              <w:pStyle w:val="51"/>
              <w:keepNext w:val="0"/>
              <w:keepLines w:val="0"/>
              <w:pageBreakBefore w:val="0"/>
              <w:widowControl/>
              <w:wordWrap/>
              <w:overflowPunct/>
              <w:topLinePunct w:val="0"/>
              <w:bidi w:val="0"/>
              <w:spacing w:after="0" w:line="240" w:lineRule="auto"/>
              <w:ind w:lef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4"/>
                <w:sz w:val="24"/>
                <w:szCs w:val="24"/>
              </w:rPr>
              <w:t>双面加固</w:t>
            </w:r>
          </w:p>
        </w:tc>
      </w:tr>
      <w:tr w14:paraId="07EABA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jc w:val="center"/>
        </w:trPr>
        <w:tc>
          <w:tcPr>
            <w:tcW w:w="644" w:type="dxa"/>
            <w:vMerge w:val="continue"/>
            <w:tcBorders>
              <w:top w:val="nil"/>
              <w:bottom w:val="nil"/>
            </w:tcBorders>
            <w:vAlign w:val="center"/>
          </w:tcPr>
          <w:p w14:paraId="3EAB2301">
            <w:pPr>
              <w:keepNext w:val="0"/>
              <w:keepLines w:val="0"/>
              <w:pageBreakBefore w:val="0"/>
              <w:widowControl/>
              <w:wordWrap/>
              <w:overflowPunct/>
              <w:topLinePunct w:val="0"/>
              <w:bidi w:val="0"/>
              <w:spacing w:after="160" w:line="240" w:lineRule="auto"/>
              <w:ind w:left="0"/>
              <w:jc w:val="center"/>
              <w:rPr>
                <w:rFonts w:hint="default" w:ascii="Times New Roman" w:hAnsi="Times New Roman" w:eastAsia="宋体" w:cs="Times New Roman"/>
                <w:snapToGrid w:val="0"/>
                <w:color w:val="auto"/>
                <w:sz w:val="24"/>
                <w:szCs w:val="24"/>
              </w:rPr>
            </w:pPr>
          </w:p>
        </w:tc>
        <w:tc>
          <w:tcPr>
            <w:tcW w:w="639" w:type="dxa"/>
            <w:vAlign w:val="center"/>
          </w:tcPr>
          <w:p w14:paraId="02FCA29C">
            <w:pPr>
              <w:pStyle w:val="51"/>
              <w:keepNext w:val="0"/>
              <w:keepLines w:val="0"/>
              <w:pageBreakBefore w:val="0"/>
              <w:widowControl/>
              <w:wordWrap/>
              <w:overflowPunct/>
              <w:topLinePunct w:val="0"/>
              <w:bidi w:val="0"/>
              <w:spacing w:after="0" w:line="240" w:lineRule="auto"/>
              <w:ind w:lef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3"/>
                <w:sz w:val="24"/>
                <w:szCs w:val="24"/>
              </w:rPr>
              <w:t>直径</w:t>
            </w:r>
          </w:p>
        </w:tc>
        <w:tc>
          <w:tcPr>
            <w:tcW w:w="639" w:type="dxa"/>
            <w:vAlign w:val="center"/>
          </w:tcPr>
          <w:p w14:paraId="58F6E275">
            <w:pPr>
              <w:pStyle w:val="51"/>
              <w:keepNext w:val="0"/>
              <w:keepLines w:val="0"/>
              <w:pageBreakBefore w:val="0"/>
              <w:widowControl/>
              <w:wordWrap/>
              <w:overflowPunct/>
              <w:topLinePunct w:val="0"/>
              <w:bidi w:val="0"/>
              <w:spacing w:after="0" w:line="240" w:lineRule="auto"/>
              <w:ind w:lef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4"/>
                <w:sz w:val="24"/>
                <w:szCs w:val="24"/>
              </w:rPr>
              <w:t>间距</w:t>
            </w:r>
          </w:p>
        </w:tc>
        <w:tc>
          <w:tcPr>
            <w:tcW w:w="3998" w:type="dxa"/>
            <w:gridSpan w:val="8"/>
            <w:vAlign w:val="center"/>
          </w:tcPr>
          <w:p w14:paraId="34B6BB14">
            <w:pPr>
              <w:pStyle w:val="51"/>
              <w:keepNext w:val="0"/>
              <w:keepLines w:val="0"/>
              <w:pageBreakBefore w:val="0"/>
              <w:widowControl/>
              <w:wordWrap/>
              <w:overflowPunct/>
              <w:topLinePunct w:val="0"/>
              <w:bidi w:val="0"/>
              <w:spacing w:after="0" w:line="240" w:lineRule="auto"/>
              <w:ind w:lef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
                <w:sz w:val="24"/>
                <w:szCs w:val="24"/>
              </w:rPr>
              <w:t>原墙体砂浆强度等级</w:t>
            </w:r>
          </w:p>
        </w:tc>
      </w:tr>
      <w:tr w14:paraId="3BCDC2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jc w:val="center"/>
        </w:trPr>
        <w:tc>
          <w:tcPr>
            <w:tcW w:w="644" w:type="dxa"/>
            <w:vMerge w:val="continue"/>
            <w:tcBorders>
              <w:top w:val="nil"/>
            </w:tcBorders>
            <w:vAlign w:val="center"/>
          </w:tcPr>
          <w:p w14:paraId="15AF2113">
            <w:pPr>
              <w:keepNext w:val="0"/>
              <w:keepLines w:val="0"/>
              <w:pageBreakBefore w:val="0"/>
              <w:widowControl/>
              <w:wordWrap/>
              <w:overflowPunct/>
              <w:topLinePunct w:val="0"/>
              <w:bidi w:val="0"/>
              <w:spacing w:after="160" w:line="240" w:lineRule="auto"/>
              <w:ind w:left="0"/>
              <w:jc w:val="center"/>
              <w:rPr>
                <w:rFonts w:hint="default" w:ascii="Times New Roman" w:hAnsi="Times New Roman" w:eastAsia="宋体" w:cs="Times New Roman"/>
                <w:snapToGrid w:val="0"/>
                <w:color w:val="auto"/>
                <w:sz w:val="24"/>
                <w:szCs w:val="24"/>
              </w:rPr>
            </w:pPr>
          </w:p>
        </w:tc>
        <w:tc>
          <w:tcPr>
            <w:tcW w:w="639" w:type="dxa"/>
            <w:vAlign w:val="center"/>
          </w:tcPr>
          <w:p w14:paraId="73F9F787">
            <w:pPr>
              <w:pStyle w:val="51"/>
              <w:keepNext w:val="0"/>
              <w:keepLines w:val="0"/>
              <w:pageBreakBefore w:val="0"/>
              <w:widowControl/>
              <w:wordWrap/>
              <w:overflowPunct/>
              <w:topLinePunct w:val="0"/>
              <w:bidi w:val="0"/>
              <w:spacing w:after="0" w:line="240" w:lineRule="auto"/>
              <w:ind w:lef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8"/>
                <w:sz w:val="24"/>
                <w:szCs w:val="24"/>
              </w:rPr>
              <w:t>(mm)</w:t>
            </w:r>
          </w:p>
        </w:tc>
        <w:tc>
          <w:tcPr>
            <w:tcW w:w="639" w:type="dxa"/>
            <w:vAlign w:val="center"/>
          </w:tcPr>
          <w:p w14:paraId="512F643F">
            <w:pPr>
              <w:pStyle w:val="51"/>
              <w:keepNext w:val="0"/>
              <w:keepLines w:val="0"/>
              <w:pageBreakBefore w:val="0"/>
              <w:widowControl/>
              <w:wordWrap/>
              <w:overflowPunct/>
              <w:topLinePunct w:val="0"/>
              <w:bidi w:val="0"/>
              <w:spacing w:after="0" w:line="240" w:lineRule="auto"/>
              <w:ind w:lef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8"/>
                <w:sz w:val="24"/>
                <w:szCs w:val="24"/>
              </w:rPr>
              <w:t>(mm)</w:t>
            </w:r>
          </w:p>
        </w:tc>
        <w:tc>
          <w:tcPr>
            <w:tcW w:w="479" w:type="dxa"/>
            <w:vAlign w:val="center"/>
          </w:tcPr>
          <w:p w14:paraId="3481F77E">
            <w:pPr>
              <w:pStyle w:val="51"/>
              <w:keepNext w:val="0"/>
              <w:keepLines w:val="0"/>
              <w:pageBreakBefore w:val="0"/>
              <w:widowControl/>
              <w:wordWrap/>
              <w:overflowPunct/>
              <w:topLinePunct w:val="0"/>
              <w:bidi w:val="0"/>
              <w:spacing w:after="0" w:line="240" w:lineRule="auto"/>
              <w:ind w:lef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
                <w:sz w:val="24"/>
                <w:szCs w:val="24"/>
              </w:rPr>
              <w:t>M0.4</w:t>
            </w:r>
          </w:p>
        </w:tc>
        <w:tc>
          <w:tcPr>
            <w:tcW w:w="489" w:type="dxa"/>
            <w:vAlign w:val="center"/>
          </w:tcPr>
          <w:p w14:paraId="5B3C6A42">
            <w:pPr>
              <w:pStyle w:val="51"/>
              <w:keepNext w:val="0"/>
              <w:keepLines w:val="0"/>
              <w:pageBreakBefore w:val="0"/>
              <w:widowControl/>
              <w:wordWrap/>
              <w:overflowPunct/>
              <w:topLinePunct w:val="0"/>
              <w:bidi w:val="0"/>
              <w:spacing w:after="0" w:line="240" w:lineRule="auto"/>
              <w:ind w:lef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
                <w:sz w:val="24"/>
                <w:szCs w:val="24"/>
              </w:rPr>
              <w:t>M1.0</w:t>
            </w:r>
          </w:p>
        </w:tc>
        <w:tc>
          <w:tcPr>
            <w:tcW w:w="480" w:type="dxa"/>
            <w:vAlign w:val="center"/>
          </w:tcPr>
          <w:p w14:paraId="71C1789D">
            <w:pPr>
              <w:pStyle w:val="51"/>
              <w:keepNext w:val="0"/>
              <w:keepLines w:val="0"/>
              <w:pageBreakBefore w:val="0"/>
              <w:widowControl/>
              <w:wordWrap/>
              <w:overflowPunct/>
              <w:topLinePunct w:val="0"/>
              <w:bidi w:val="0"/>
              <w:spacing w:after="0" w:line="240" w:lineRule="auto"/>
              <w:ind w:lef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
                <w:sz w:val="24"/>
                <w:szCs w:val="24"/>
              </w:rPr>
              <w:t>M2.5</w:t>
            </w:r>
          </w:p>
        </w:tc>
        <w:tc>
          <w:tcPr>
            <w:tcW w:w="479" w:type="dxa"/>
            <w:vAlign w:val="center"/>
          </w:tcPr>
          <w:p w14:paraId="7B8FEA12">
            <w:pPr>
              <w:pStyle w:val="51"/>
              <w:keepNext w:val="0"/>
              <w:keepLines w:val="0"/>
              <w:pageBreakBefore w:val="0"/>
              <w:widowControl/>
              <w:wordWrap/>
              <w:overflowPunct/>
              <w:topLinePunct w:val="0"/>
              <w:bidi w:val="0"/>
              <w:spacing w:after="0" w:line="240" w:lineRule="auto"/>
              <w:ind w:lef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
                <w:sz w:val="24"/>
                <w:szCs w:val="24"/>
              </w:rPr>
              <w:t>M5.0</w:t>
            </w:r>
          </w:p>
        </w:tc>
        <w:tc>
          <w:tcPr>
            <w:tcW w:w="479" w:type="dxa"/>
            <w:vAlign w:val="center"/>
          </w:tcPr>
          <w:p w14:paraId="57200C7F">
            <w:pPr>
              <w:pStyle w:val="51"/>
              <w:keepNext w:val="0"/>
              <w:keepLines w:val="0"/>
              <w:pageBreakBefore w:val="0"/>
              <w:widowControl/>
              <w:wordWrap/>
              <w:overflowPunct/>
              <w:topLinePunct w:val="0"/>
              <w:bidi w:val="0"/>
              <w:spacing w:after="0" w:line="240" w:lineRule="auto"/>
              <w:ind w:lef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
                <w:sz w:val="24"/>
                <w:szCs w:val="24"/>
              </w:rPr>
              <w:t>M0.4</w:t>
            </w:r>
          </w:p>
        </w:tc>
        <w:tc>
          <w:tcPr>
            <w:tcW w:w="479" w:type="dxa"/>
            <w:vAlign w:val="center"/>
          </w:tcPr>
          <w:p w14:paraId="36696D60">
            <w:pPr>
              <w:pStyle w:val="51"/>
              <w:keepNext w:val="0"/>
              <w:keepLines w:val="0"/>
              <w:pageBreakBefore w:val="0"/>
              <w:widowControl/>
              <w:wordWrap/>
              <w:overflowPunct/>
              <w:topLinePunct w:val="0"/>
              <w:bidi w:val="0"/>
              <w:spacing w:after="0" w:line="240" w:lineRule="auto"/>
              <w:ind w:lef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
                <w:sz w:val="24"/>
                <w:szCs w:val="24"/>
              </w:rPr>
              <w:t>M1.0</w:t>
            </w:r>
          </w:p>
        </w:tc>
        <w:tc>
          <w:tcPr>
            <w:tcW w:w="489" w:type="dxa"/>
            <w:vAlign w:val="center"/>
          </w:tcPr>
          <w:p w14:paraId="06C008EB">
            <w:pPr>
              <w:pStyle w:val="51"/>
              <w:keepNext w:val="0"/>
              <w:keepLines w:val="0"/>
              <w:pageBreakBefore w:val="0"/>
              <w:widowControl/>
              <w:wordWrap/>
              <w:overflowPunct/>
              <w:topLinePunct w:val="0"/>
              <w:bidi w:val="0"/>
              <w:spacing w:after="0" w:line="240" w:lineRule="auto"/>
              <w:ind w:lef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
                <w:sz w:val="24"/>
                <w:szCs w:val="24"/>
              </w:rPr>
              <w:t>M2.5</w:t>
            </w:r>
          </w:p>
        </w:tc>
        <w:tc>
          <w:tcPr>
            <w:tcW w:w="624" w:type="dxa"/>
            <w:vAlign w:val="center"/>
          </w:tcPr>
          <w:p w14:paraId="56738B55">
            <w:pPr>
              <w:pStyle w:val="51"/>
              <w:keepNext w:val="0"/>
              <w:keepLines w:val="0"/>
              <w:pageBreakBefore w:val="0"/>
              <w:widowControl/>
              <w:wordWrap/>
              <w:overflowPunct/>
              <w:topLinePunct w:val="0"/>
              <w:bidi w:val="0"/>
              <w:spacing w:after="0" w:line="240" w:lineRule="auto"/>
              <w:ind w:lef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
                <w:sz w:val="24"/>
                <w:szCs w:val="24"/>
              </w:rPr>
              <w:t>M5.0</w:t>
            </w:r>
          </w:p>
        </w:tc>
      </w:tr>
      <w:tr w14:paraId="349A68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jc w:val="center"/>
        </w:trPr>
        <w:tc>
          <w:tcPr>
            <w:tcW w:w="644" w:type="dxa"/>
            <w:vMerge w:val="restart"/>
            <w:tcBorders>
              <w:bottom w:val="nil"/>
            </w:tcBorders>
            <w:vAlign w:val="center"/>
          </w:tcPr>
          <w:p w14:paraId="27E72318">
            <w:pPr>
              <w:keepNext w:val="0"/>
              <w:keepLines w:val="0"/>
              <w:pageBreakBefore w:val="0"/>
              <w:widowControl/>
              <w:wordWrap/>
              <w:overflowPunct/>
              <w:topLinePunct w:val="0"/>
              <w:bidi w:val="0"/>
              <w:spacing w:after="160" w:line="240" w:lineRule="auto"/>
              <w:ind w:left="0"/>
              <w:jc w:val="center"/>
              <w:rPr>
                <w:rFonts w:hint="default" w:ascii="Times New Roman" w:hAnsi="Times New Roman" w:eastAsia="宋体" w:cs="Times New Roman"/>
                <w:snapToGrid w:val="0"/>
                <w:color w:val="auto"/>
                <w:sz w:val="24"/>
                <w:szCs w:val="24"/>
              </w:rPr>
            </w:pPr>
          </w:p>
          <w:p w14:paraId="39489947">
            <w:pPr>
              <w:pStyle w:val="51"/>
              <w:keepNext w:val="0"/>
              <w:keepLines w:val="0"/>
              <w:pageBreakBefore w:val="0"/>
              <w:widowControl/>
              <w:wordWrap/>
              <w:overflowPunct/>
              <w:topLinePunct w:val="0"/>
              <w:bidi w:val="0"/>
              <w:spacing w:after="0" w:line="240" w:lineRule="auto"/>
              <w:ind w:lef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3"/>
                <w:sz w:val="24"/>
                <w:szCs w:val="24"/>
              </w:rPr>
              <w:t>25</w:t>
            </w:r>
          </w:p>
        </w:tc>
        <w:tc>
          <w:tcPr>
            <w:tcW w:w="639" w:type="dxa"/>
            <w:vMerge w:val="restart"/>
            <w:tcBorders>
              <w:bottom w:val="nil"/>
            </w:tcBorders>
            <w:vAlign w:val="center"/>
          </w:tcPr>
          <w:p w14:paraId="074E82EC">
            <w:pPr>
              <w:keepNext w:val="0"/>
              <w:keepLines w:val="0"/>
              <w:pageBreakBefore w:val="0"/>
              <w:widowControl/>
              <w:wordWrap/>
              <w:overflowPunct/>
              <w:topLinePunct w:val="0"/>
              <w:bidi w:val="0"/>
              <w:spacing w:after="160" w:line="240" w:lineRule="auto"/>
              <w:ind w:left="0"/>
              <w:jc w:val="center"/>
              <w:rPr>
                <w:rFonts w:hint="default" w:ascii="Times New Roman" w:hAnsi="Times New Roman" w:eastAsia="宋体" w:cs="Times New Roman"/>
                <w:snapToGrid w:val="0"/>
                <w:color w:val="auto"/>
                <w:sz w:val="24"/>
                <w:szCs w:val="24"/>
              </w:rPr>
            </w:pPr>
          </w:p>
          <w:p w14:paraId="74876F01">
            <w:pPr>
              <w:pStyle w:val="51"/>
              <w:keepNext w:val="0"/>
              <w:keepLines w:val="0"/>
              <w:pageBreakBefore w:val="0"/>
              <w:widowControl/>
              <w:wordWrap/>
              <w:overflowPunct/>
              <w:topLinePunct w:val="0"/>
              <w:bidi w:val="0"/>
              <w:spacing w:after="0" w:line="240" w:lineRule="auto"/>
              <w:ind w:lef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3.05</w:t>
            </w:r>
          </w:p>
        </w:tc>
        <w:tc>
          <w:tcPr>
            <w:tcW w:w="639" w:type="dxa"/>
            <w:vAlign w:val="center"/>
          </w:tcPr>
          <w:p w14:paraId="568D396B">
            <w:pPr>
              <w:pStyle w:val="51"/>
              <w:keepNext w:val="0"/>
              <w:keepLines w:val="0"/>
              <w:pageBreakBefore w:val="0"/>
              <w:widowControl/>
              <w:wordWrap/>
              <w:overflowPunct/>
              <w:topLinePunct w:val="0"/>
              <w:bidi w:val="0"/>
              <w:spacing w:after="0" w:line="240" w:lineRule="auto"/>
              <w:ind w:lef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80</w:t>
            </w:r>
          </w:p>
        </w:tc>
        <w:tc>
          <w:tcPr>
            <w:tcW w:w="479" w:type="dxa"/>
            <w:vAlign w:val="center"/>
          </w:tcPr>
          <w:p w14:paraId="35EB8578">
            <w:pPr>
              <w:pStyle w:val="51"/>
              <w:keepNext w:val="0"/>
              <w:keepLines w:val="0"/>
              <w:pageBreakBefore w:val="0"/>
              <w:widowControl/>
              <w:wordWrap/>
              <w:overflowPunct/>
              <w:topLinePunct w:val="0"/>
              <w:bidi w:val="0"/>
              <w:spacing w:after="0" w:line="240" w:lineRule="auto"/>
              <w:ind w:lef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2.42</w:t>
            </w:r>
          </w:p>
        </w:tc>
        <w:tc>
          <w:tcPr>
            <w:tcW w:w="489" w:type="dxa"/>
            <w:vAlign w:val="center"/>
          </w:tcPr>
          <w:p w14:paraId="362E322F">
            <w:pPr>
              <w:pStyle w:val="51"/>
              <w:keepNext w:val="0"/>
              <w:keepLines w:val="0"/>
              <w:pageBreakBefore w:val="0"/>
              <w:widowControl/>
              <w:wordWrap/>
              <w:overflowPunct/>
              <w:topLinePunct w:val="0"/>
              <w:bidi w:val="0"/>
              <w:spacing w:after="0" w:line="240" w:lineRule="auto"/>
              <w:ind w:lef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4"/>
                <w:sz w:val="24"/>
                <w:szCs w:val="24"/>
              </w:rPr>
              <w:t>1.92</w:t>
            </w:r>
          </w:p>
        </w:tc>
        <w:tc>
          <w:tcPr>
            <w:tcW w:w="480" w:type="dxa"/>
            <w:vAlign w:val="center"/>
          </w:tcPr>
          <w:p w14:paraId="447DE132">
            <w:pPr>
              <w:pStyle w:val="51"/>
              <w:keepNext w:val="0"/>
              <w:keepLines w:val="0"/>
              <w:pageBreakBefore w:val="0"/>
              <w:widowControl/>
              <w:wordWrap/>
              <w:overflowPunct/>
              <w:topLinePunct w:val="0"/>
              <w:bidi w:val="0"/>
              <w:spacing w:after="0" w:line="240" w:lineRule="auto"/>
              <w:ind w:lef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4"/>
                <w:sz w:val="24"/>
                <w:szCs w:val="24"/>
              </w:rPr>
              <w:t>1.65</w:t>
            </w:r>
          </w:p>
        </w:tc>
        <w:tc>
          <w:tcPr>
            <w:tcW w:w="479" w:type="dxa"/>
            <w:vAlign w:val="center"/>
          </w:tcPr>
          <w:p w14:paraId="3E6E5EF7">
            <w:pPr>
              <w:pStyle w:val="51"/>
              <w:keepNext w:val="0"/>
              <w:keepLines w:val="0"/>
              <w:pageBreakBefore w:val="0"/>
              <w:widowControl/>
              <w:wordWrap/>
              <w:overflowPunct/>
              <w:topLinePunct w:val="0"/>
              <w:bidi w:val="0"/>
              <w:spacing w:after="0" w:line="240" w:lineRule="auto"/>
              <w:ind w:lef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4"/>
                <w:sz w:val="24"/>
                <w:szCs w:val="24"/>
              </w:rPr>
              <w:t>1.48</w:t>
            </w:r>
          </w:p>
        </w:tc>
        <w:tc>
          <w:tcPr>
            <w:tcW w:w="479" w:type="dxa"/>
            <w:vAlign w:val="center"/>
          </w:tcPr>
          <w:p w14:paraId="4FB60B4B">
            <w:pPr>
              <w:pStyle w:val="51"/>
              <w:keepNext w:val="0"/>
              <w:keepLines w:val="0"/>
              <w:pageBreakBefore w:val="0"/>
              <w:widowControl/>
              <w:wordWrap/>
              <w:overflowPunct/>
              <w:topLinePunct w:val="0"/>
              <w:bidi w:val="0"/>
              <w:spacing w:after="0" w:line="240" w:lineRule="auto"/>
              <w:ind w:lef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3.10</w:t>
            </w:r>
          </w:p>
        </w:tc>
        <w:tc>
          <w:tcPr>
            <w:tcW w:w="479" w:type="dxa"/>
            <w:vAlign w:val="center"/>
          </w:tcPr>
          <w:p w14:paraId="112F070E">
            <w:pPr>
              <w:pStyle w:val="51"/>
              <w:keepNext w:val="0"/>
              <w:keepLines w:val="0"/>
              <w:pageBreakBefore w:val="0"/>
              <w:widowControl/>
              <w:wordWrap/>
              <w:overflowPunct/>
              <w:topLinePunct w:val="0"/>
              <w:bidi w:val="0"/>
              <w:spacing w:after="0" w:line="240" w:lineRule="auto"/>
              <w:ind w:lef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2.17</w:t>
            </w:r>
          </w:p>
        </w:tc>
        <w:tc>
          <w:tcPr>
            <w:tcW w:w="489" w:type="dxa"/>
            <w:vAlign w:val="center"/>
          </w:tcPr>
          <w:p w14:paraId="1ACF97B9">
            <w:pPr>
              <w:pStyle w:val="51"/>
              <w:keepNext w:val="0"/>
              <w:keepLines w:val="0"/>
              <w:pageBreakBefore w:val="0"/>
              <w:widowControl/>
              <w:wordWrap/>
              <w:overflowPunct/>
              <w:topLinePunct w:val="0"/>
              <w:bidi w:val="0"/>
              <w:spacing w:after="0" w:line="240" w:lineRule="auto"/>
              <w:ind w:lef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4"/>
                <w:sz w:val="24"/>
                <w:szCs w:val="24"/>
              </w:rPr>
              <w:t>1.89</w:t>
            </w:r>
          </w:p>
        </w:tc>
        <w:tc>
          <w:tcPr>
            <w:tcW w:w="624" w:type="dxa"/>
            <w:vAlign w:val="center"/>
          </w:tcPr>
          <w:p w14:paraId="3F4C036F">
            <w:pPr>
              <w:pStyle w:val="51"/>
              <w:keepNext w:val="0"/>
              <w:keepLines w:val="0"/>
              <w:pageBreakBefore w:val="0"/>
              <w:widowControl/>
              <w:wordWrap/>
              <w:overflowPunct/>
              <w:topLinePunct w:val="0"/>
              <w:bidi w:val="0"/>
              <w:spacing w:after="0" w:line="240" w:lineRule="auto"/>
              <w:ind w:lef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4"/>
                <w:sz w:val="24"/>
                <w:szCs w:val="24"/>
              </w:rPr>
              <w:t>1.65</w:t>
            </w:r>
          </w:p>
        </w:tc>
      </w:tr>
      <w:tr w14:paraId="76ADA1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644" w:type="dxa"/>
            <w:vMerge w:val="continue"/>
            <w:tcBorders>
              <w:top w:val="nil"/>
            </w:tcBorders>
            <w:vAlign w:val="center"/>
          </w:tcPr>
          <w:p w14:paraId="00F46572">
            <w:pPr>
              <w:keepNext w:val="0"/>
              <w:keepLines w:val="0"/>
              <w:pageBreakBefore w:val="0"/>
              <w:widowControl/>
              <w:wordWrap/>
              <w:overflowPunct/>
              <w:topLinePunct w:val="0"/>
              <w:bidi w:val="0"/>
              <w:spacing w:after="160" w:line="240" w:lineRule="auto"/>
              <w:ind w:left="0"/>
              <w:jc w:val="center"/>
              <w:rPr>
                <w:rFonts w:hint="default" w:ascii="Times New Roman" w:hAnsi="Times New Roman" w:eastAsia="宋体" w:cs="Times New Roman"/>
                <w:snapToGrid w:val="0"/>
                <w:color w:val="auto"/>
                <w:sz w:val="24"/>
                <w:szCs w:val="24"/>
              </w:rPr>
            </w:pPr>
          </w:p>
        </w:tc>
        <w:tc>
          <w:tcPr>
            <w:tcW w:w="639" w:type="dxa"/>
            <w:vMerge w:val="continue"/>
            <w:tcBorders>
              <w:top w:val="nil"/>
            </w:tcBorders>
            <w:vAlign w:val="center"/>
          </w:tcPr>
          <w:p w14:paraId="5C696B7A">
            <w:pPr>
              <w:keepNext w:val="0"/>
              <w:keepLines w:val="0"/>
              <w:pageBreakBefore w:val="0"/>
              <w:widowControl/>
              <w:wordWrap/>
              <w:overflowPunct/>
              <w:topLinePunct w:val="0"/>
              <w:bidi w:val="0"/>
              <w:spacing w:after="160" w:line="240" w:lineRule="auto"/>
              <w:ind w:left="0"/>
              <w:jc w:val="center"/>
              <w:rPr>
                <w:rFonts w:hint="default" w:ascii="Times New Roman" w:hAnsi="Times New Roman" w:eastAsia="宋体" w:cs="Times New Roman"/>
                <w:snapToGrid w:val="0"/>
                <w:color w:val="auto"/>
                <w:sz w:val="24"/>
                <w:szCs w:val="24"/>
              </w:rPr>
            </w:pPr>
          </w:p>
        </w:tc>
        <w:tc>
          <w:tcPr>
            <w:tcW w:w="639" w:type="dxa"/>
            <w:vAlign w:val="center"/>
          </w:tcPr>
          <w:p w14:paraId="48629C0A">
            <w:pPr>
              <w:pStyle w:val="51"/>
              <w:keepNext w:val="0"/>
              <w:keepLines w:val="0"/>
              <w:pageBreakBefore w:val="0"/>
              <w:widowControl/>
              <w:wordWrap/>
              <w:overflowPunct/>
              <w:topLinePunct w:val="0"/>
              <w:bidi w:val="0"/>
              <w:spacing w:after="0" w:line="240" w:lineRule="auto"/>
              <w:ind w:lef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5"/>
                <w:sz w:val="24"/>
                <w:szCs w:val="24"/>
              </w:rPr>
              <w:t>120</w:t>
            </w:r>
          </w:p>
        </w:tc>
        <w:tc>
          <w:tcPr>
            <w:tcW w:w="479" w:type="dxa"/>
            <w:vAlign w:val="center"/>
          </w:tcPr>
          <w:p w14:paraId="3951FDD6">
            <w:pPr>
              <w:pStyle w:val="51"/>
              <w:keepNext w:val="0"/>
              <w:keepLines w:val="0"/>
              <w:pageBreakBefore w:val="0"/>
              <w:widowControl/>
              <w:wordWrap/>
              <w:overflowPunct/>
              <w:topLinePunct w:val="0"/>
              <w:bidi w:val="0"/>
              <w:spacing w:after="0" w:line="240" w:lineRule="auto"/>
              <w:ind w:lef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2.25</w:t>
            </w:r>
          </w:p>
        </w:tc>
        <w:tc>
          <w:tcPr>
            <w:tcW w:w="489" w:type="dxa"/>
            <w:vAlign w:val="center"/>
          </w:tcPr>
          <w:p w14:paraId="67CD8BD2">
            <w:pPr>
              <w:pStyle w:val="51"/>
              <w:keepNext w:val="0"/>
              <w:keepLines w:val="0"/>
              <w:pageBreakBefore w:val="0"/>
              <w:widowControl/>
              <w:wordWrap/>
              <w:overflowPunct/>
              <w:topLinePunct w:val="0"/>
              <w:bidi w:val="0"/>
              <w:spacing w:after="0" w:line="240" w:lineRule="auto"/>
              <w:ind w:lef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4"/>
                <w:sz w:val="24"/>
                <w:szCs w:val="24"/>
              </w:rPr>
              <w:t>1.69</w:t>
            </w:r>
          </w:p>
        </w:tc>
        <w:tc>
          <w:tcPr>
            <w:tcW w:w="480" w:type="dxa"/>
            <w:vAlign w:val="center"/>
          </w:tcPr>
          <w:p w14:paraId="5A57D4CC">
            <w:pPr>
              <w:pStyle w:val="51"/>
              <w:keepNext w:val="0"/>
              <w:keepLines w:val="0"/>
              <w:pageBreakBefore w:val="0"/>
              <w:widowControl/>
              <w:wordWrap/>
              <w:overflowPunct/>
              <w:topLinePunct w:val="0"/>
              <w:bidi w:val="0"/>
              <w:spacing w:after="0" w:line="240" w:lineRule="auto"/>
              <w:ind w:lef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4"/>
                <w:sz w:val="24"/>
                <w:szCs w:val="24"/>
              </w:rPr>
              <w:t>1.51</w:t>
            </w:r>
          </w:p>
        </w:tc>
        <w:tc>
          <w:tcPr>
            <w:tcW w:w="479" w:type="dxa"/>
            <w:vAlign w:val="center"/>
          </w:tcPr>
          <w:p w14:paraId="439E6488">
            <w:pPr>
              <w:pStyle w:val="51"/>
              <w:keepNext w:val="0"/>
              <w:keepLines w:val="0"/>
              <w:pageBreakBefore w:val="0"/>
              <w:widowControl/>
              <w:wordWrap/>
              <w:overflowPunct/>
              <w:topLinePunct w:val="0"/>
              <w:bidi w:val="0"/>
              <w:spacing w:after="0" w:line="240" w:lineRule="auto"/>
              <w:ind w:lef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4"/>
                <w:sz w:val="24"/>
                <w:szCs w:val="24"/>
              </w:rPr>
              <w:t>1.35</w:t>
            </w:r>
          </w:p>
        </w:tc>
        <w:tc>
          <w:tcPr>
            <w:tcW w:w="479" w:type="dxa"/>
            <w:vAlign w:val="center"/>
          </w:tcPr>
          <w:p w14:paraId="4ADA00C4">
            <w:pPr>
              <w:pStyle w:val="51"/>
              <w:keepNext w:val="0"/>
              <w:keepLines w:val="0"/>
              <w:pageBreakBefore w:val="0"/>
              <w:widowControl/>
              <w:wordWrap/>
              <w:overflowPunct/>
              <w:topLinePunct w:val="0"/>
              <w:bidi w:val="0"/>
              <w:spacing w:after="0" w:line="240" w:lineRule="auto"/>
              <w:ind w:lef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2.90</w:t>
            </w:r>
          </w:p>
        </w:tc>
        <w:tc>
          <w:tcPr>
            <w:tcW w:w="479" w:type="dxa"/>
            <w:vAlign w:val="center"/>
          </w:tcPr>
          <w:p w14:paraId="0E5C866B">
            <w:pPr>
              <w:pStyle w:val="51"/>
              <w:keepNext w:val="0"/>
              <w:keepLines w:val="0"/>
              <w:pageBreakBefore w:val="0"/>
              <w:widowControl/>
              <w:wordWrap/>
              <w:overflowPunct/>
              <w:topLinePunct w:val="0"/>
              <w:bidi w:val="0"/>
              <w:spacing w:after="0" w:line="240" w:lineRule="auto"/>
              <w:ind w:lef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4"/>
                <w:sz w:val="24"/>
                <w:szCs w:val="24"/>
              </w:rPr>
              <w:t>1.95</w:t>
            </w:r>
          </w:p>
        </w:tc>
        <w:tc>
          <w:tcPr>
            <w:tcW w:w="489" w:type="dxa"/>
            <w:vAlign w:val="center"/>
          </w:tcPr>
          <w:p w14:paraId="3FE61B06">
            <w:pPr>
              <w:pStyle w:val="51"/>
              <w:keepNext w:val="0"/>
              <w:keepLines w:val="0"/>
              <w:pageBreakBefore w:val="0"/>
              <w:widowControl/>
              <w:wordWrap/>
              <w:overflowPunct/>
              <w:topLinePunct w:val="0"/>
              <w:bidi w:val="0"/>
              <w:spacing w:after="0" w:line="240" w:lineRule="auto"/>
              <w:ind w:lef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4"/>
                <w:sz w:val="24"/>
                <w:szCs w:val="24"/>
              </w:rPr>
              <w:t>1.72</w:t>
            </w:r>
          </w:p>
        </w:tc>
        <w:tc>
          <w:tcPr>
            <w:tcW w:w="624" w:type="dxa"/>
            <w:vAlign w:val="center"/>
          </w:tcPr>
          <w:p w14:paraId="2669AEDF">
            <w:pPr>
              <w:pStyle w:val="51"/>
              <w:keepNext w:val="0"/>
              <w:keepLines w:val="0"/>
              <w:pageBreakBefore w:val="0"/>
              <w:widowControl/>
              <w:wordWrap/>
              <w:overflowPunct/>
              <w:topLinePunct w:val="0"/>
              <w:bidi w:val="0"/>
              <w:spacing w:after="0" w:line="240" w:lineRule="auto"/>
              <w:ind w:lef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4"/>
                <w:sz w:val="24"/>
                <w:szCs w:val="24"/>
              </w:rPr>
              <w:t>1.52</w:t>
            </w:r>
          </w:p>
        </w:tc>
      </w:tr>
    </w:tbl>
    <w:p w14:paraId="151EC54E">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default" w:ascii="宋体" w:hAnsi="宋体" w:eastAsia="宋体" w:cs="宋体"/>
          <w:color w:val="auto"/>
          <w:spacing w:val="-2"/>
          <w:sz w:val="28"/>
          <w:szCs w:val="28"/>
          <w:lang w:val="en-US" w:eastAsia="zh-CN"/>
        </w:rPr>
      </w:pPr>
    </w:p>
    <w:p w14:paraId="22986399">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default" w:ascii="宋体" w:hAnsi="宋体" w:eastAsia="宋体" w:cs="宋体"/>
          <w:color w:val="auto"/>
          <w:spacing w:val="-2"/>
          <w:sz w:val="28"/>
          <w:szCs w:val="28"/>
          <w:lang w:val="en-US" w:eastAsia="zh-CN"/>
        </w:rPr>
      </w:pPr>
      <w:r>
        <w:rPr>
          <w:rFonts w:hint="default" w:ascii="宋体" w:hAnsi="宋体" w:eastAsia="宋体" w:cs="宋体"/>
          <w:color w:val="auto"/>
          <w:spacing w:val="-2"/>
          <w:sz w:val="28"/>
          <w:szCs w:val="28"/>
          <w:lang w:val="en-US" w:eastAsia="zh-CN"/>
        </w:rPr>
        <w:t>表6.3.12-2 钢绞线网-聚合物砂浆面层加固墙体刚度的基准提高系数</w:t>
      </w:r>
    </w:p>
    <w:p w14:paraId="29FE0300">
      <w:pPr>
        <w:spacing w:line="83" w:lineRule="exact"/>
        <w:rPr>
          <w:rFonts w:hint="default" w:ascii="Times New Roman" w:hAnsi="Times New Roman" w:eastAsia="宋体" w:cs="Times New Roman"/>
          <w:color w:val="auto"/>
          <w:sz w:val="24"/>
          <w:szCs w:val="24"/>
        </w:rPr>
      </w:pPr>
    </w:p>
    <w:tbl>
      <w:tblPr>
        <w:tblStyle w:val="50"/>
        <w:tblW w:w="59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4"/>
        <w:gridCol w:w="649"/>
        <w:gridCol w:w="649"/>
        <w:gridCol w:w="629"/>
        <w:gridCol w:w="649"/>
        <w:gridCol w:w="639"/>
        <w:gridCol w:w="649"/>
        <w:gridCol w:w="639"/>
        <w:gridCol w:w="783"/>
      </w:tblGrid>
      <w:tr w14:paraId="2D1971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634" w:type="dxa"/>
            <w:vMerge w:val="restart"/>
            <w:tcBorders>
              <w:bottom w:val="nil"/>
            </w:tcBorders>
            <w:vAlign w:val="center"/>
          </w:tcPr>
          <w:p w14:paraId="395B2778">
            <w:pPr>
              <w:pStyle w:val="51"/>
              <w:keepNext w:val="0"/>
              <w:keepLines w:val="0"/>
              <w:pageBreakBefore w:val="0"/>
              <w:wordWrap/>
              <w:overflowPunct/>
              <w:topLinePunct w:val="0"/>
              <w:bidi w:val="0"/>
              <w:spacing w:after="0" w:line="240" w:lineRule="auto"/>
              <w:ind w:lef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4"/>
                <w:w w:val="91"/>
                <w:sz w:val="24"/>
                <w:szCs w:val="24"/>
              </w:rPr>
              <w:t>面层</w:t>
            </w:r>
            <w:r>
              <w:rPr>
                <w:rFonts w:hint="default" w:ascii="Times New Roman" w:hAnsi="Times New Roman" w:eastAsia="宋体" w:cs="Times New Roman"/>
                <w:color w:val="auto"/>
                <w:spacing w:val="-13"/>
                <w:w w:val="91"/>
                <w:sz w:val="24"/>
                <w:szCs w:val="24"/>
              </w:rPr>
              <w:t>厚</w:t>
            </w:r>
            <w:r>
              <w:rPr>
                <w:rFonts w:hint="default" w:ascii="Times New Roman" w:hAnsi="Times New Roman" w:eastAsia="宋体" w:cs="Times New Roman"/>
                <w:color w:val="auto"/>
                <w:spacing w:val="-11"/>
                <w:w w:val="91"/>
                <w:sz w:val="24"/>
                <w:szCs w:val="24"/>
              </w:rPr>
              <w:t>度</w:t>
            </w:r>
          </w:p>
          <w:p w14:paraId="6731F5AB">
            <w:pPr>
              <w:pStyle w:val="51"/>
              <w:keepNext w:val="0"/>
              <w:keepLines w:val="0"/>
              <w:pageBreakBefore w:val="0"/>
              <w:wordWrap/>
              <w:overflowPunct/>
              <w:topLinePunct w:val="0"/>
              <w:bidi w:val="0"/>
              <w:spacing w:after="0" w:line="240" w:lineRule="auto"/>
              <w:ind w:lef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8"/>
                <w:sz w:val="24"/>
                <w:szCs w:val="24"/>
              </w:rPr>
              <w:t>(mm)</w:t>
            </w:r>
          </w:p>
        </w:tc>
        <w:tc>
          <w:tcPr>
            <w:tcW w:w="2576" w:type="dxa"/>
            <w:gridSpan w:val="4"/>
            <w:vAlign w:val="center"/>
          </w:tcPr>
          <w:p w14:paraId="37E6D84C">
            <w:pPr>
              <w:pStyle w:val="51"/>
              <w:keepNext w:val="0"/>
              <w:keepLines w:val="0"/>
              <w:pageBreakBefore w:val="0"/>
              <w:wordWrap/>
              <w:overflowPunct/>
              <w:topLinePunct w:val="0"/>
              <w:bidi w:val="0"/>
              <w:spacing w:after="0" w:line="240" w:lineRule="auto"/>
              <w:ind w:lef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4"/>
                <w:sz w:val="24"/>
                <w:szCs w:val="24"/>
              </w:rPr>
              <w:t>单面加固</w:t>
            </w:r>
          </w:p>
        </w:tc>
        <w:tc>
          <w:tcPr>
            <w:tcW w:w="2710" w:type="dxa"/>
            <w:gridSpan w:val="4"/>
            <w:vAlign w:val="center"/>
          </w:tcPr>
          <w:p w14:paraId="74E2582C">
            <w:pPr>
              <w:pStyle w:val="51"/>
              <w:keepNext w:val="0"/>
              <w:keepLines w:val="0"/>
              <w:pageBreakBefore w:val="0"/>
              <w:wordWrap/>
              <w:overflowPunct/>
              <w:topLinePunct w:val="0"/>
              <w:bidi w:val="0"/>
              <w:spacing w:after="0" w:line="240" w:lineRule="auto"/>
              <w:ind w:lef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4"/>
                <w:sz w:val="24"/>
                <w:szCs w:val="24"/>
              </w:rPr>
              <w:t>双面加固</w:t>
            </w:r>
          </w:p>
        </w:tc>
      </w:tr>
      <w:tr w14:paraId="22B45A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34" w:type="dxa"/>
            <w:vMerge w:val="continue"/>
            <w:tcBorders>
              <w:top w:val="nil"/>
            </w:tcBorders>
            <w:vAlign w:val="center"/>
          </w:tcPr>
          <w:p w14:paraId="3B0A78D6">
            <w:pPr>
              <w:keepNext w:val="0"/>
              <w:keepLines w:val="0"/>
              <w:pageBreakBefore w:val="0"/>
              <w:wordWrap/>
              <w:overflowPunct/>
              <w:topLinePunct w:val="0"/>
              <w:bidi w:val="0"/>
              <w:spacing w:after="160" w:line="240" w:lineRule="auto"/>
              <w:ind w:left="0"/>
              <w:jc w:val="center"/>
              <w:rPr>
                <w:rFonts w:hint="default" w:ascii="Times New Roman" w:hAnsi="Times New Roman" w:eastAsia="宋体" w:cs="Times New Roman"/>
                <w:snapToGrid w:val="0"/>
                <w:color w:val="auto"/>
                <w:sz w:val="24"/>
                <w:szCs w:val="24"/>
              </w:rPr>
            </w:pPr>
          </w:p>
        </w:tc>
        <w:tc>
          <w:tcPr>
            <w:tcW w:w="5286" w:type="dxa"/>
            <w:gridSpan w:val="8"/>
            <w:vAlign w:val="center"/>
          </w:tcPr>
          <w:p w14:paraId="3FBCF252">
            <w:pPr>
              <w:pStyle w:val="51"/>
              <w:keepNext w:val="0"/>
              <w:keepLines w:val="0"/>
              <w:pageBreakBefore w:val="0"/>
              <w:wordWrap/>
              <w:overflowPunct/>
              <w:topLinePunct w:val="0"/>
              <w:bidi w:val="0"/>
              <w:spacing w:after="0" w:line="240" w:lineRule="auto"/>
              <w:ind w:lef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
                <w:sz w:val="24"/>
                <w:szCs w:val="24"/>
              </w:rPr>
              <w:t>原墙体砂浆强度等级</w:t>
            </w:r>
          </w:p>
        </w:tc>
      </w:tr>
      <w:tr w14:paraId="107D64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jc w:val="center"/>
        </w:trPr>
        <w:tc>
          <w:tcPr>
            <w:tcW w:w="634" w:type="dxa"/>
            <w:vMerge w:val="restart"/>
            <w:tcBorders>
              <w:bottom w:val="nil"/>
            </w:tcBorders>
            <w:vAlign w:val="center"/>
          </w:tcPr>
          <w:p w14:paraId="381BF90F">
            <w:pPr>
              <w:keepNext w:val="0"/>
              <w:keepLines w:val="0"/>
              <w:pageBreakBefore w:val="0"/>
              <w:wordWrap/>
              <w:overflowPunct/>
              <w:topLinePunct w:val="0"/>
              <w:bidi w:val="0"/>
              <w:spacing w:after="160" w:line="240" w:lineRule="auto"/>
              <w:ind w:left="0"/>
              <w:jc w:val="center"/>
              <w:rPr>
                <w:rFonts w:hint="default" w:ascii="Times New Roman" w:hAnsi="Times New Roman" w:eastAsia="宋体" w:cs="Times New Roman"/>
                <w:snapToGrid w:val="0"/>
                <w:color w:val="auto"/>
                <w:sz w:val="24"/>
                <w:szCs w:val="24"/>
              </w:rPr>
            </w:pPr>
          </w:p>
          <w:p w14:paraId="2769CD09">
            <w:pPr>
              <w:pStyle w:val="51"/>
              <w:keepNext w:val="0"/>
              <w:keepLines w:val="0"/>
              <w:pageBreakBefore w:val="0"/>
              <w:wordWrap/>
              <w:overflowPunct/>
              <w:topLinePunct w:val="0"/>
              <w:bidi w:val="0"/>
              <w:spacing w:after="0" w:line="240" w:lineRule="auto"/>
              <w:ind w:lef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3"/>
                <w:sz w:val="24"/>
                <w:szCs w:val="24"/>
              </w:rPr>
              <w:t>25</w:t>
            </w:r>
          </w:p>
        </w:tc>
        <w:tc>
          <w:tcPr>
            <w:tcW w:w="649" w:type="dxa"/>
            <w:vAlign w:val="center"/>
          </w:tcPr>
          <w:p w14:paraId="48379B15">
            <w:pPr>
              <w:pStyle w:val="51"/>
              <w:keepNext w:val="0"/>
              <w:keepLines w:val="0"/>
              <w:pageBreakBefore w:val="0"/>
              <w:wordWrap/>
              <w:overflowPunct/>
              <w:topLinePunct w:val="0"/>
              <w:bidi w:val="0"/>
              <w:spacing w:after="0" w:line="240" w:lineRule="auto"/>
              <w:ind w:lef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
                <w:sz w:val="24"/>
                <w:szCs w:val="24"/>
              </w:rPr>
              <w:t>M0.4</w:t>
            </w:r>
          </w:p>
        </w:tc>
        <w:tc>
          <w:tcPr>
            <w:tcW w:w="649" w:type="dxa"/>
            <w:vAlign w:val="center"/>
          </w:tcPr>
          <w:p w14:paraId="18C2DB02">
            <w:pPr>
              <w:pStyle w:val="51"/>
              <w:keepNext w:val="0"/>
              <w:keepLines w:val="0"/>
              <w:pageBreakBefore w:val="0"/>
              <w:wordWrap/>
              <w:overflowPunct/>
              <w:topLinePunct w:val="0"/>
              <w:bidi w:val="0"/>
              <w:spacing w:after="0" w:line="240" w:lineRule="auto"/>
              <w:ind w:lef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
                <w:sz w:val="24"/>
                <w:szCs w:val="24"/>
              </w:rPr>
              <w:t>M1.0</w:t>
            </w:r>
          </w:p>
        </w:tc>
        <w:tc>
          <w:tcPr>
            <w:tcW w:w="629" w:type="dxa"/>
            <w:vAlign w:val="center"/>
          </w:tcPr>
          <w:p w14:paraId="63B91CA6">
            <w:pPr>
              <w:pStyle w:val="51"/>
              <w:keepNext w:val="0"/>
              <w:keepLines w:val="0"/>
              <w:pageBreakBefore w:val="0"/>
              <w:wordWrap/>
              <w:overflowPunct/>
              <w:topLinePunct w:val="0"/>
              <w:bidi w:val="0"/>
              <w:spacing w:after="0" w:line="240" w:lineRule="auto"/>
              <w:ind w:lef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
                <w:sz w:val="24"/>
                <w:szCs w:val="24"/>
              </w:rPr>
              <w:t>M2.5</w:t>
            </w:r>
          </w:p>
        </w:tc>
        <w:tc>
          <w:tcPr>
            <w:tcW w:w="649" w:type="dxa"/>
            <w:vAlign w:val="center"/>
          </w:tcPr>
          <w:p w14:paraId="35C27A29">
            <w:pPr>
              <w:pStyle w:val="51"/>
              <w:keepNext w:val="0"/>
              <w:keepLines w:val="0"/>
              <w:pageBreakBefore w:val="0"/>
              <w:wordWrap/>
              <w:overflowPunct/>
              <w:topLinePunct w:val="0"/>
              <w:bidi w:val="0"/>
              <w:spacing w:after="0" w:line="240" w:lineRule="auto"/>
              <w:ind w:lef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
                <w:sz w:val="24"/>
                <w:szCs w:val="24"/>
              </w:rPr>
              <w:t>M5.0</w:t>
            </w:r>
          </w:p>
        </w:tc>
        <w:tc>
          <w:tcPr>
            <w:tcW w:w="639" w:type="dxa"/>
            <w:vAlign w:val="center"/>
          </w:tcPr>
          <w:p w14:paraId="5B217D16">
            <w:pPr>
              <w:pStyle w:val="51"/>
              <w:keepNext w:val="0"/>
              <w:keepLines w:val="0"/>
              <w:pageBreakBefore w:val="0"/>
              <w:wordWrap/>
              <w:overflowPunct/>
              <w:topLinePunct w:val="0"/>
              <w:bidi w:val="0"/>
              <w:spacing w:after="0" w:line="240" w:lineRule="auto"/>
              <w:ind w:lef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
                <w:sz w:val="24"/>
                <w:szCs w:val="24"/>
              </w:rPr>
              <w:t>M0.4</w:t>
            </w:r>
          </w:p>
        </w:tc>
        <w:tc>
          <w:tcPr>
            <w:tcW w:w="649" w:type="dxa"/>
            <w:vAlign w:val="center"/>
          </w:tcPr>
          <w:p w14:paraId="22D96BD6">
            <w:pPr>
              <w:pStyle w:val="51"/>
              <w:keepNext w:val="0"/>
              <w:keepLines w:val="0"/>
              <w:pageBreakBefore w:val="0"/>
              <w:wordWrap/>
              <w:overflowPunct/>
              <w:topLinePunct w:val="0"/>
              <w:bidi w:val="0"/>
              <w:spacing w:after="0" w:line="240" w:lineRule="auto"/>
              <w:ind w:lef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
                <w:sz w:val="24"/>
                <w:szCs w:val="24"/>
              </w:rPr>
              <w:t>M1.0</w:t>
            </w:r>
          </w:p>
        </w:tc>
        <w:tc>
          <w:tcPr>
            <w:tcW w:w="639" w:type="dxa"/>
            <w:vAlign w:val="center"/>
          </w:tcPr>
          <w:p w14:paraId="2CFC61AA">
            <w:pPr>
              <w:pStyle w:val="51"/>
              <w:keepNext w:val="0"/>
              <w:keepLines w:val="0"/>
              <w:pageBreakBefore w:val="0"/>
              <w:wordWrap/>
              <w:overflowPunct/>
              <w:topLinePunct w:val="0"/>
              <w:bidi w:val="0"/>
              <w:spacing w:after="0" w:line="240" w:lineRule="auto"/>
              <w:ind w:lef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
                <w:sz w:val="24"/>
                <w:szCs w:val="24"/>
              </w:rPr>
              <w:t>M2.5</w:t>
            </w:r>
          </w:p>
        </w:tc>
        <w:tc>
          <w:tcPr>
            <w:tcW w:w="783" w:type="dxa"/>
            <w:vAlign w:val="center"/>
          </w:tcPr>
          <w:p w14:paraId="1179FF89">
            <w:pPr>
              <w:pStyle w:val="51"/>
              <w:keepNext w:val="0"/>
              <w:keepLines w:val="0"/>
              <w:pageBreakBefore w:val="0"/>
              <w:wordWrap/>
              <w:overflowPunct/>
              <w:topLinePunct w:val="0"/>
              <w:bidi w:val="0"/>
              <w:spacing w:after="0" w:line="240" w:lineRule="auto"/>
              <w:ind w:lef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
                <w:sz w:val="24"/>
                <w:szCs w:val="24"/>
              </w:rPr>
              <w:t>M5.0</w:t>
            </w:r>
          </w:p>
        </w:tc>
      </w:tr>
      <w:tr w14:paraId="4D47EA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634" w:type="dxa"/>
            <w:vMerge w:val="continue"/>
            <w:tcBorders>
              <w:top w:val="nil"/>
            </w:tcBorders>
            <w:vAlign w:val="center"/>
          </w:tcPr>
          <w:p w14:paraId="02F79146">
            <w:pPr>
              <w:keepNext w:val="0"/>
              <w:keepLines w:val="0"/>
              <w:pageBreakBefore w:val="0"/>
              <w:wordWrap/>
              <w:overflowPunct/>
              <w:topLinePunct w:val="0"/>
              <w:bidi w:val="0"/>
              <w:spacing w:after="160" w:line="240" w:lineRule="auto"/>
              <w:ind w:left="0"/>
              <w:jc w:val="center"/>
              <w:rPr>
                <w:rFonts w:hint="default" w:ascii="Times New Roman" w:hAnsi="Times New Roman" w:eastAsia="宋体" w:cs="Times New Roman"/>
                <w:snapToGrid w:val="0"/>
                <w:color w:val="auto"/>
                <w:sz w:val="24"/>
                <w:szCs w:val="24"/>
              </w:rPr>
            </w:pPr>
          </w:p>
        </w:tc>
        <w:tc>
          <w:tcPr>
            <w:tcW w:w="649" w:type="dxa"/>
            <w:vAlign w:val="center"/>
          </w:tcPr>
          <w:p w14:paraId="7C62D43C">
            <w:pPr>
              <w:pStyle w:val="51"/>
              <w:keepNext w:val="0"/>
              <w:keepLines w:val="0"/>
              <w:pageBreakBefore w:val="0"/>
              <w:wordWrap/>
              <w:overflowPunct/>
              <w:topLinePunct w:val="0"/>
              <w:bidi w:val="0"/>
              <w:spacing w:after="0" w:line="240" w:lineRule="auto"/>
              <w:ind w:lef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4"/>
                <w:sz w:val="24"/>
                <w:szCs w:val="24"/>
              </w:rPr>
              <w:t>1.55</w:t>
            </w:r>
          </w:p>
        </w:tc>
        <w:tc>
          <w:tcPr>
            <w:tcW w:w="649" w:type="dxa"/>
            <w:vAlign w:val="center"/>
          </w:tcPr>
          <w:p w14:paraId="2C6985E3">
            <w:pPr>
              <w:pStyle w:val="51"/>
              <w:keepNext w:val="0"/>
              <w:keepLines w:val="0"/>
              <w:pageBreakBefore w:val="0"/>
              <w:wordWrap/>
              <w:overflowPunct/>
              <w:topLinePunct w:val="0"/>
              <w:bidi w:val="0"/>
              <w:spacing w:after="0" w:line="240" w:lineRule="auto"/>
              <w:ind w:lef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4"/>
                <w:sz w:val="24"/>
                <w:szCs w:val="24"/>
              </w:rPr>
              <w:t>1.21</w:t>
            </w:r>
          </w:p>
        </w:tc>
        <w:tc>
          <w:tcPr>
            <w:tcW w:w="629" w:type="dxa"/>
            <w:vAlign w:val="center"/>
          </w:tcPr>
          <w:p w14:paraId="121C980E">
            <w:pPr>
              <w:pStyle w:val="51"/>
              <w:keepNext w:val="0"/>
              <w:keepLines w:val="0"/>
              <w:pageBreakBefore w:val="0"/>
              <w:wordWrap/>
              <w:overflowPunct/>
              <w:topLinePunct w:val="0"/>
              <w:bidi w:val="0"/>
              <w:spacing w:after="0" w:line="240" w:lineRule="auto"/>
              <w:ind w:lef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4"/>
                <w:sz w:val="24"/>
                <w:szCs w:val="24"/>
              </w:rPr>
              <w:t>1.15</w:t>
            </w:r>
          </w:p>
        </w:tc>
        <w:tc>
          <w:tcPr>
            <w:tcW w:w="649" w:type="dxa"/>
            <w:vAlign w:val="center"/>
          </w:tcPr>
          <w:p w14:paraId="5460C0BB">
            <w:pPr>
              <w:pStyle w:val="51"/>
              <w:keepNext w:val="0"/>
              <w:keepLines w:val="0"/>
              <w:pageBreakBefore w:val="0"/>
              <w:wordWrap/>
              <w:overflowPunct/>
              <w:topLinePunct w:val="0"/>
              <w:bidi w:val="0"/>
              <w:spacing w:after="0" w:line="240" w:lineRule="auto"/>
              <w:ind w:lef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4"/>
                <w:sz w:val="24"/>
                <w:szCs w:val="24"/>
              </w:rPr>
              <w:t>1.10</w:t>
            </w:r>
          </w:p>
        </w:tc>
        <w:tc>
          <w:tcPr>
            <w:tcW w:w="639" w:type="dxa"/>
            <w:vAlign w:val="center"/>
          </w:tcPr>
          <w:p w14:paraId="6C22A264">
            <w:pPr>
              <w:pStyle w:val="51"/>
              <w:keepNext w:val="0"/>
              <w:keepLines w:val="0"/>
              <w:pageBreakBefore w:val="0"/>
              <w:wordWrap/>
              <w:overflowPunct/>
              <w:topLinePunct w:val="0"/>
              <w:bidi w:val="0"/>
              <w:spacing w:after="0" w:line="240" w:lineRule="auto"/>
              <w:ind w:lef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3.14</w:t>
            </w:r>
          </w:p>
        </w:tc>
        <w:tc>
          <w:tcPr>
            <w:tcW w:w="649" w:type="dxa"/>
            <w:vAlign w:val="center"/>
          </w:tcPr>
          <w:p w14:paraId="18325B0B">
            <w:pPr>
              <w:pStyle w:val="51"/>
              <w:keepNext w:val="0"/>
              <w:keepLines w:val="0"/>
              <w:pageBreakBefore w:val="0"/>
              <w:wordWrap/>
              <w:overflowPunct/>
              <w:topLinePunct w:val="0"/>
              <w:bidi w:val="0"/>
              <w:spacing w:after="0" w:line="240" w:lineRule="auto"/>
              <w:ind w:lef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2.23</w:t>
            </w:r>
          </w:p>
        </w:tc>
        <w:tc>
          <w:tcPr>
            <w:tcW w:w="639" w:type="dxa"/>
            <w:vAlign w:val="center"/>
          </w:tcPr>
          <w:p w14:paraId="43D85EA3">
            <w:pPr>
              <w:pStyle w:val="51"/>
              <w:keepNext w:val="0"/>
              <w:keepLines w:val="0"/>
              <w:pageBreakBefore w:val="0"/>
              <w:wordWrap/>
              <w:overflowPunct/>
              <w:topLinePunct w:val="0"/>
              <w:bidi w:val="0"/>
              <w:spacing w:after="0" w:line="240" w:lineRule="auto"/>
              <w:ind w:lef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4"/>
                <w:sz w:val="24"/>
                <w:szCs w:val="24"/>
              </w:rPr>
              <w:t>1.88</w:t>
            </w:r>
          </w:p>
        </w:tc>
        <w:tc>
          <w:tcPr>
            <w:tcW w:w="783" w:type="dxa"/>
            <w:vAlign w:val="center"/>
          </w:tcPr>
          <w:p w14:paraId="50469276">
            <w:pPr>
              <w:pStyle w:val="51"/>
              <w:keepNext w:val="0"/>
              <w:keepLines w:val="0"/>
              <w:pageBreakBefore w:val="0"/>
              <w:wordWrap/>
              <w:overflowPunct/>
              <w:topLinePunct w:val="0"/>
              <w:bidi w:val="0"/>
              <w:spacing w:after="0" w:line="240" w:lineRule="auto"/>
              <w:ind w:lef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4"/>
                <w:sz w:val="24"/>
                <w:szCs w:val="24"/>
              </w:rPr>
              <w:t>1.45</w:t>
            </w:r>
          </w:p>
        </w:tc>
      </w:tr>
    </w:tbl>
    <w:p w14:paraId="1467D5B9">
      <w:pPr>
        <w:pStyle w:val="12"/>
        <w:keepNext w:val="0"/>
        <w:keepLines w:val="0"/>
        <w:pageBreakBefore w:val="0"/>
        <w:wordWrap/>
        <w:overflowPunct/>
        <w:topLinePunct w:val="0"/>
        <w:bidi w:val="0"/>
        <w:spacing w:line="360" w:lineRule="exact"/>
        <w:ind w:firstLine="422"/>
        <w:jc w:val="left"/>
        <w:rPr>
          <w:rFonts w:hint="default" w:ascii="Times New Roman" w:hAnsi="Times New Roman" w:eastAsia="宋体" w:cs="Times New Roman"/>
          <w:color w:val="auto"/>
          <w:spacing w:val="4"/>
          <w:sz w:val="24"/>
          <w:szCs w:val="24"/>
          <w:lang w:eastAsia="zh-CN"/>
        </w:rPr>
      </w:pPr>
    </w:p>
    <w:p w14:paraId="0A843424">
      <w:pPr>
        <w:keepNext w:val="0"/>
        <w:keepLines w:val="0"/>
        <w:pageBreakBefore w:val="0"/>
        <w:tabs>
          <w:tab w:val="left" w:pos="680"/>
          <w:tab w:val="left" w:pos="1134"/>
          <w:tab w:val="clear" w:pos="3261"/>
        </w:tabs>
        <w:wordWrap/>
        <w:overflowPunct/>
        <w:topLinePunct w:val="0"/>
        <w:bidi w:val="0"/>
        <w:adjustRightInd w:val="0"/>
        <w:spacing w:line="360" w:lineRule="exact"/>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bCs/>
          <w:color w:val="auto"/>
          <w:sz w:val="24"/>
          <w:szCs w:val="24"/>
          <w:lang w:val="en-US" w:eastAsia="zh-CN"/>
        </w:rPr>
        <w:t>6.3.12</w:t>
      </w:r>
      <w:r>
        <w:rPr>
          <w:rFonts w:hint="default" w:ascii="Times New Roman" w:hAnsi="Times New Roman" w:eastAsia="宋体" w:cs="Times New Roman"/>
          <w:b w:val="0"/>
          <w:bCs w:val="0"/>
          <w:color w:val="auto"/>
          <w:sz w:val="24"/>
          <w:szCs w:val="24"/>
          <w:lang w:val="en-US" w:eastAsia="zh-CN"/>
        </w:rPr>
        <w:t xml:space="preserve"> 钢绞线网-聚合物砂浆层加固砌体墙的施工，应符合下列要求：</w:t>
      </w:r>
    </w:p>
    <w:p w14:paraId="07F97532">
      <w:pPr>
        <w:spacing w:before="2" w:line="260" w:lineRule="auto"/>
        <w:ind w:right="7" w:firstLine="429"/>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b/>
          <w:bCs/>
          <w:snapToGrid w:val="0"/>
          <w:color w:val="auto"/>
          <w:kern w:val="0"/>
          <w:sz w:val="24"/>
          <w:szCs w:val="24"/>
          <w:lang w:val="en-US" w:eastAsia="zh-CN" w:bidi="ar-SA"/>
        </w:rPr>
        <w:t>1</w:t>
      </w:r>
      <w:r>
        <w:rPr>
          <w:rFonts w:hint="default" w:ascii="Times New Roman" w:hAnsi="Times New Roman" w:eastAsia="宋体" w:cs="Times New Roman"/>
          <w:snapToGrid w:val="0"/>
          <w:color w:val="auto"/>
          <w:kern w:val="0"/>
          <w:sz w:val="24"/>
          <w:szCs w:val="24"/>
          <w:lang w:val="en-US" w:eastAsia="zh-CN" w:bidi="ar-SA"/>
        </w:rPr>
        <w:t xml:space="preserve"> 面层宜按下列顺序施工：原有墙面清理，放线定位，钻孔并用水冲刷，钢绞线网片锚固、绷紧、调整和固定，浇水湿润墙面，进行界面处理，抹聚合物砂浆并养护，墙面装饰。</w:t>
      </w:r>
    </w:p>
    <w:p w14:paraId="4ED1CE7E">
      <w:pPr>
        <w:spacing w:before="81" w:line="251" w:lineRule="auto"/>
        <w:ind w:right="15" w:firstLine="429"/>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b/>
          <w:bCs/>
          <w:snapToGrid w:val="0"/>
          <w:color w:val="auto"/>
          <w:kern w:val="0"/>
          <w:sz w:val="24"/>
          <w:szCs w:val="24"/>
          <w:lang w:val="en-US" w:eastAsia="zh-CN" w:bidi="ar-SA"/>
        </w:rPr>
        <w:t>2</w:t>
      </w:r>
      <w:r>
        <w:rPr>
          <w:rFonts w:hint="default" w:ascii="Times New Roman" w:hAnsi="Times New Roman" w:eastAsia="宋体" w:cs="Times New Roman"/>
          <w:snapToGrid w:val="0"/>
          <w:color w:val="auto"/>
          <w:kern w:val="0"/>
          <w:sz w:val="24"/>
          <w:szCs w:val="24"/>
          <w:lang w:val="en-US" w:eastAsia="zh-CN" w:bidi="ar-SA"/>
        </w:rPr>
        <w:t xml:space="preserve"> 墙面钻孔应位于砖块上，应采用φ6钻头，钻孔深度应控制在40～45mm。</w:t>
      </w:r>
    </w:p>
    <w:p w14:paraId="029BB139">
      <w:pPr>
        <w:spacing w:before="81" w:line="251" w:lineRule="auto"/>
        <w:ind w:right="15" w:firstLine="429"/>
        <w:rPr>
          <w:rFonts w:hint="default" w:ascii="Times New Roman" w:hAnsi="Times New Roman" w:eastAsia="宋体" w:cs="Times New Roman"/>
          <w:color w:val="auto"/>
          <w:spacing w:val="3"/>
          <w:sz w:val="24"/>
          <w:szCs w:val="24"/>
        </w:rPr>
      </w:pPr>
      <w:r>
        <w:rPr>
          <w:rFonts w:hint="default" w:ascii="Times New Roman" w:hAnsi="Times New Roman" w:eastAsia="宋体" w:cs="Times New Roman"/>
          <w:b/>
          <w:bCs/>
          <w:color w:val="auto"/>
          <w:spacing w:val="4"/>
          <w:sz w:val="24"/>
          <w:szCs w:val="24"/>
        </w:rPr>
        <w:t>3</w:t>
      </w:r>
      <w:r>
        <w:rPr>
          <w:rFonts w:hint="default" w:ascii="Times New Roman" w:hAnsi="Times New Roman" w:eastAsia="宋体" w:cs="Times New Roman"/>
          <w:color w:val="auto"/>
          <w:spacing w:val="4"/>
          <w:sz w:val="24"/>
          <w:szCs w:val="24"/>
        </w:rPr>
        <w:t xml:space="preserve"> 钢绞线网端头应错开锚固，错开距</w:t>
      </w:r>
      <w:r>
        <w:rPr>
          <w:rFonts w:hint="default" w:ascii="Times New Roman" w:hAnsi="Times New Roman" w:eastAsia="宋体" w:cs="Times New Roman"/>
          <w:color w:val="auto"/>
          <w:spacing w:val="3"/>
          <w:sz w:val="24"/>
          <w:szCs w:val="24"/>
        </w:rPr>
        <w:t>离不小于50</w:t>
      </w:r>
      <w:r>
        <w:rPr>
          <w:rFonts w:hint="default" w:ascii="Times New Roman" w:hAnsi="Times New Roman" w:eastAsia="宋体" w:cs="Times New Roman"/>
          <w:color w:val="auto"/>
          <w:sz w:val="24"/>
          <w:szCs w:val="24"/>
        </w:rPr>
        <w:t>mm</w:t>
      </w:r>
      <w:r>
        <w:rPr>
          <w:rFonts w:hint="default" w:ascii="Times New Roman" w:hAnsi="Times New Roman" w:eastAsia="宋体" w:cs="Times New Roman"/>
          <w:color w:val="auto"/>
          <w:spacing w:val="3"/>
          <w:sz w:val="24"/>
          <w:szCs w:val="24"/>
        </w:rPr>
        <w:t>。</w:t>
      </w:r>
    </w:p>
    <w:p w14:paraId="3021F548">
      <w:pPr>
        <w:spacing w:before="68" w:line="279" w:lineRule="auto"/>
        <w:ind w:right="73" w:firstLine="410"/>
        <w:jc w:val="both"/>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pacing w:val="6"/>
          <w:sz w:val="24"/>
          <w:szCs w:val="24"/>
        </w:rPr>
        <w:t>4</w:t>
      </w:r>
      <w:r>
        <w:rPr>
          <w:rFonts w:hint="default" w:ascii="Times New Roman" w:hAnsi="Times New Roman" w:eastAsia="宋体" w:cs="Times New Roman"/>
          <w:color w:val="auto"/>
          <w:spacing w:val="6"/>
          <w:sz w:val="24"/>
          <w:szCs w:val="24"/>
        </w:rPr>
        <w:t xml:space="preserve"> 钢绞线网应双层布置并绷紧安装，竖向钢绞线网布置在</w:t>
      </w:r>
      <w:r>
        <w:rPr>
          <w:rFonts w:hint="default" w:ascii="Times New Roman" w:hAnsi="Times New Roman" w:eastAsia="宋体" w:cs="Times New Roman"/>
          <w:color w:val="auto"/>
          <w:spacing w:val="1"/>
          <w:sz w:val="24"/>
          <w:szCs w:val="24"/>
        </w:rPr>
        <w:t>内侧，水平钢绞线网布置在外侧，分布钢绞线应贴向墙面，受力</w:t>
      </w:r>
      <w:r>
        <w:rPr>
          <w:rFonts w:hint="default" w:ascii="Times New Roman" w:hAnsi="Times New Roman" w:eastAsia="宋体" w:cs="Times New Roman"/>
          <w:color w:val="auto"/>
          <w:spacing w:val="-2"/>
          <w:sz w:val="24"/>
          <w:szCs w:val="24"/>
        </w:rPr>
        <w:t>钢绞线应背离墙面。</w:t>
      </w:r>
    </w:p>
    <w:p w14:paraId="421DF5BF">
      <w:pPr>
        <w:spacing w:line="278" w:lineRule="auto"/>
        <w:ind w:right="93" w:firstLine="410"/>
        <w:jc w:val="both"/>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pacing w:val="5"/>
          <w:sz w:val="24"/>
          <w:szCs w:val="24"/>
        </w:rPr>
        <w:t>5</w:t>
      </w:r>
      <w:r>
        <w:rPr>
          <w:rFonts w:hint="default" w:ascii="Times New Roman" w:hAnsi="Times New Roman" w:eastAsia="宋体" w:cs="Times New Roman"/>
          <w:color w:val="auto"/>
          <w:spacing w:val="5"/>
          <w:sz w:val="24"/>
          <w:szCs w:val="24"/>
        </w:rPr>
        <w:t xml:space="preserve"> 聚合物砂浆抹面应在界面处理后随即开始施工，第一遍</w:t>
      </w:r>
      <w:r>
        <w:rPr>
          <w:rFonts w:hint="default" w:ascii="Times New Roman" w:hAnsi="Times New Roman" w:eastAsia="宋体" w:cs="Times New Roman"/>
          <w:color w:val="auto"/>
          <w:spacing w:val="1"/>
          <w:sz w:val="24"/>
          <w:szCs w:val="24"/>
        </w:rPr>
        <w:t>抹灰厚度以基本覆盖钢绞线网片为宜，后续抹灰应在前次抹灰初</w:t>
      </w:r>
      <w:r>
        <w:rPr>
          <w:rFonts w:hint="default" w:ascii="Times New Roman" w:hAnsi="Times New Roman" w:eastAsia="宋体" w:cs="Times New Roman"/>
          <w:color w:val="auto"/>
          <w:spacing w:val="3"/>
          <w:sz w:val="24"/>
          <w:szCs w:val="24"/>
        </w:rPr>
        <w:t>凝后进行，后续抹灰的分层厚度控制在10～15</w:t>
      </w:r>
      <w:r>
        <w:rPr>
          <w:rFonts w:hint="default" w:ascii="Times New Roman" w:hAnsi="Times New Roman" w:eastAsia="宋体" w:cs="Times New Roman"/>
          <w:color w:val="auto"/>
          <w:sz w:val="24"/>
          <w:szCs w:val="24"/>
        </w:rPr>
        <w:t>mm</w:t>
      </w:r>
      <w:r>
        <w:rPr>
          <w:rFonts w:hint="default" w:ascii="Times New Roman" w:hAnsi="Times New Roman" w:eastAsia="宋体" w:cs="Times New Roman"/>
          <w:color w:val="auto"/>
          <w:spacing w:val="3"/>
          <w:sz w:val="24"/>
          <w:szCs w:val="24"/>
        </w:rPr>
        <w:t>。</w:t>
      </w:r>
    </w:p>
    <w:p w14:paraId="7CEFC48D">
      <w:pPr>
        <w:spacing w:before="81" w:line="251" w:lineRule="auto"/>
        <w:ind w:right="15" w:firstLine="429"/>
        <w:rPr>
          <w:rFonts w:hint="default" w:ascii="Times New Roman" w:hAnsi="Times New Roman" w:eastAsia="宋体" w:cs="Times New Roman"/>
          <w:color w:val="auto"/>
          <w:spacing w:val="3"/>
          <w:sz w:val="24"/>
          <w:szCs w:val="24"/>
        </w:rPr>
      </w:pPr>
      <w:r>
        <w:rPr>
          <w:rFonts w:hint="default" w:ascii="Times New Roman" w:hAnsi="Times New Roman" w:eastAsia="宋体" w:cs="Times New Roman"/>
          <w:b/>
          <w:bCs/>
          <w:color w:val="auto"/>
          <w:spacing w:val="5"/>
          <w:sz w:val="24"/>
          <w:szCs w:val="24"/>
        </w:rPr>
        <w:t>6</w:t>
      </w:r>
      <w:r>
        <w:rPr>
          <w:rFonts w:hint="default" w:ascii="Times New Roman" w:hAnsi="Times New Roman" w:eastAsia="宋体" w:cs="Times New Roman"/>
          <w:color w:val="auto"/>
          <w:spacing w:val="5"/>
          <w:sz w:val="24"/>
          <w:szCs w:val="24"/>
        </w:rPr>
        <w:t xml:space="preserve"> 常温下，聚合物砂浆施工完毕6h内，应</w:t>
      </w:r>
      <w:r>
        <w:rPr>
          <w:rFonts w:hint="default" w:ascii="Times New Roman" w:hAnsi="Times New Roman" w:eastAsia="宋体" w:cs="Times New Roman"/>
          <w:color w:val="auto"/>
          <w:spacing w:val="4"/>
          <w:sz w:val="24"/>
          <w:szCs w:val="24"/>
        </w:rPr>
        <w:t>采取可靠保湿养</w:t>
      </w:r>
      <w:r>
        <w:rPr>
          <w:rFonts w:hint="default" w:ascii="Times New Roman" w:hAnsi="Times New Roman" w:eastAsia="宋体" w:cs="Times New Roman"/>
          <w:color w:val="auto"/>
          <w:spacing w:val="8"/>
          <w:sz w:val="24"/>
          <w:szCs w:val="24"/>
        </w:rPr>
        <w:t>护措施；养护时间不少于7d</w:t>
      </w:r>
      <w:r>
        <w:rPr>
          <w:rFonts w:hint="default" w:ascii="Times New Roman" w:hAnsi="Times New Roman" w:eastAsia="宋体" w:cs="Times New Roman"/>
          <w:color w:val="auto"/>
          <w:spacing w:val="8"/>
          <w:sz w:val="24"/>
          <w:szCs w:val="24"/>
          <w:lang w:eastAsia="zh-CN"/>
        </w:rPr>
        <w:t>；</w:t>
      </w:r>
      <w:r>
        <w:rPr>
          <w:rFonts w:hint="default" w:ascii="Times New Roman" w:hAnsi="Times New Roman" w:eastAsia="宋体" w:cs="Times New Roman"/>
          <w:color w:val="auto"/>
          <w:spacing w:val="8"/>
          <w:sz w:val="24"/>
          <w:szCs w:val="24"/>
        </w:rPr>
        <w:t>雨期、冬期或遇大风、高温天气</w:t>
      </w:r>
      <w:r>
        <w:rPr>
          <w:rFonts w:hint="default" w:ascii="Times New Roman" w:hAnsi="Times New Roman" w:eastAsia="宋体" w:cs="Times New Roman"/>
          <w:color w:val="auto"/>
          <w:spacing w:val="-1"/>
          <w:sz w:val="24"/>
          <w:szCs w:val="24"/>
        </w:rPr>
        <w:t>时，施工应采取可靠应对措施。</w:t>
      </w:r>
    </w:p>
    <w:p w14:paraId="27271893">
      <w:pPr>
        <w:spacing w:before="120" w:after="12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rPr>
        <w:t>IV</w:t>
      </w:r>
      <w:r>
        <w:rPr>
          <w:rFonts w:hint="default" w:ascii="Times New Roman" w:hAnsi="Times New Roman" w:eastAsia="宋体" w:cs="Times New Roman"/>
          <w:color w:val="auto"/>
          <w:sz w:val="24"/>
          <w:szCs w:val="24"/>
          <w:highlight w:val="none"/>
        </w:rPr>
        <w:t xml:space="preserve"> 增砌砌体抗震墙加固法</w:t>
      </w:r>
      <w:bookmarkEnd w:id="82"/>
    </w:p>
    <w:p w14:paraId="28C13B74">
      <w:pPr>
        <w:spacing w:line="36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rPr>
        <w:t>.3.1</w:t>
      </w: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color w:val="auto"/>
          <w:sz w:val="24"/>
          <w:szCs w:val="24"/>
          <w:highlight w:val="none"/>
        </w:rPr>
        <w:t xml:space="preserve"> 当砌体结构房屋抗震承载力不能满足要求时，可采取拆砌或增设砌体抗震墙的方法进行加固。</w:t>
      </w:r>
    </w:p>
    <w:p w14:paraId="2524A8AF">
      <w:pPr>
        <w:spacing w:line="36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rPr>
        <w:t>.3.1</w:t>
      </w:r>
      <w:r>
        <w:rPr>
          <w:rFonts w:hint="default"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color w:val="auto"/>
          <w:sz w:val="24"/>
          <w:szCs w:val="24"/>
          <w:highlight w:val="none"/>
        </w:rPr>
        <w:t xml:space="preserve"> 采取拆砌或增设砌体抗震墙方法进行加固时，其材料性能指标应符合下列要求：</w:t>
      </w:r>
    </w:p>
    <w:p w14:paraId="186B4AAA">
      <w:pPr>
        <w:pStyle w:val="12"/>
        <w:ind w:firstLine="422"/>
        <w:rPr>
          <w:rFonts w:hint="default" w:ascii="Times New Roman" w:hAnsi="Times New Roman" w:eastAsia="宋体" w:cs="Times New Roman"/>
          <w:color w:val="auto"/>
          <w:sz w:val="24"/>
          <w:szCs w:val="24"/>
          <w:highlight w:val="none"/>
          <w:lang w:eastAsia="zh-CN"/>
        </w:rPr>
      </w:pPr>
      <w:bookmarkStart w:id="83" w:name="_Toc17773"/>
      <w:r>
        <w:rPr>
          <w:rFonts w:hint="default" w:ascii="Times New Roman" w:hAnsi="Times New Roman" w:eastAsia="宋体" w:cs="Times New Roman"/>
          <w:b/>
          <w:bCs/>
          <w:color w:val="auto"/>
          <w:sz w:val="24"/>
          <w:szCs w:val="24"/>
          <w:highlight w:val="none"/>
          <w:lang w:eastAsia="zh-CN"/>
        </w:rPr>
        <w:t>1</w:t>
      </w:r>
      <w:r>
        <w:rPr>
          <w:rFonts w:hint="default" w:ascii="Times New Roman" w:hAnsi="Times New Roman" w:eastAsia="宋体" w:cs="Times New Roman"/>
          <w:color w:val="auto"/>
          <w:sz w:val="24"/>
          <w:szCs w:val="24"/>
          <w:highlight w:val="none"/>
          <w:lang w:eastAsia="zh-CN"/>
        </w:rPr>
        <w:t xml:space="preserve"> 烧结普通砖和烧结多孔砖的强度等级不应低于MU10。</w:t>
      </w:r>
      <w:bookmarkEnd w:id="83"/>
    </w:p>
    <w:p w14:paraId="300B704A">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2</w:t>
      </w:r>
      <w:r>
        <w:rPr>
          <w:rFonts w:hint="default" w:ascii="Times New Roman" w:hAnsi="Times New Roman" w:eastAsia="宋体" w:cs="Times New Roman"/>
          <w:color w:val="auto"/>
          <w:sz w:val="24"/>
          <w:szCs w:val="24"/>
          <w:highlight w:val="none"/>
          <w:lang w:eastAsia="zh-CN"/>
        </w:rPr>
        <w:t xml:space="preserve"> 砌筑砂浆的强度等级应比原墙体的砂浆强度等级提高一级，且不应低于M5。</w:t>
      </w:r>
    </w:p>
    <w:p w14:paraId="6A08B158">
      <w:pPr>
        <w:pStyle w:val="12"/>
        <w:ind w:firstLine="422"/>
        <w:rPr>
          <w:rFonts w:hint="default" w:ascii="Times New Roman" w:hAnsi="Times New Roman" w:eastAsia="宋体" w:cs="Times New Roman"/>
          <w:color w:val="auto"/>
          <w:sz w:val="24"/>
          <w:szCs w:val="24"/>
          <w:highlight w:val="none"/>
          <w:lang w:eastAsia="zh-CN"/>
        </w:rPr>
      </w:pPr>
      <w:bookmarkStart w:id="84" w:name="_Toc14517"/>
      <w:r>
        <w:rPr>
          <w:rFonts w:hint="default" w:ascii="Times New Roman" w:hAnsi="Times New Roman" w:eastAsia="宋体" w:cs="Times New Roman"/>
          <w:b/>
          <w:bCs/>
          <w:color w:val="auto"/>
          <w:sz w:val="24"/>
          <w:szCs w:val="24"/>
          <w:highlight w:val="none"/>
          <w:lang w:eastAsia="zh-CN"/>
        </w:rPr>
        <w:t>3</w:t>
      </w:r>
      <w:r>
        <w:rPr>
          <w:rFonts w:hint="default" w:ascii="Times New Roman" w:hAnsi="Times New Roman" w:eastAsia="宋体" w:cs="Times New Roman"/>
          <w:color w:val="auto"/>
          <w:sz w:val="24"/>
          <w:szCs w:val="24"/>
          <w:highlight w:val="none"/>
          <w:lang w:eastAsia="zh-CN"/>
        </w:rPr>
        <w:t xml:space="preserve"> 普通钢筋的强度等级宜优先选用HPB300钢筋。</w:t>
      </w:r>
      <w:bookmarkEnd w:id="84"/>
    </w:p>
    <w:p w14:paraId="65CCFAB4">
      <w:pPr>
        <w:spacing w:line="36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rPr>
        <w:t>.3.1</w:t>
      </w:r>
      <w:r>
        <w:rPr>
          <w:rFonts w:hint="default" w:ascii="Times New Roman" w:hAnsi="Times New Roman" w:eastAsia="宋体" w:cs="Times New Roman"/>
          <w:b/>
          <w:bCs/>
          <w:color w:val="auto"/>
          <w:sz w:val="24"/>
          <w:szCs w:val="24"/>
          <w:highlight w:val="none"/>
          <w:lang w:val="en-US" w:eastAsia="zh-CN"/>
        </w:rPr>
        <w:t>5</w:t>
      </w:r>
      <w:r>
        <w:rPr>
          <w:rFonts w:hint="default" w:ascii="Times New Roman" w:hAnsi="Times New Roman" w:eastAsia="宋体" w:cs="Times New Roman"/>
          <w:color w:val="auto"/>
          <w:sz w:val="24"/>
          <w:szCs w:val="24"/>
          <w:highlight w:val="none"/>
        </w:rPr>
        <w:t xml:space="preserve"> 对于A类砌体房屋，加固后，横墙间距的体系影响系数应作相应改变；楼层抗震能力的增强系数可按下式计算：</w:t>
      </w:r>
    </w:p>
    <w:p w14:paraId="4AD7D938">
      <w:pPr>
        <w:spacing w:line="0" w:lineRule="atLeast"/>
        <w:ind w:firstLine="3600" w:firstLineChars="1500"/>
        <w:jc w:val="righ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position w:val="-30"/>
          <w:sz w:val="24"/>
          <w:szCs w:val="24"/>
          <w:highlight w:val="none"/>
        </w:rPr>
        <w:object>
          <v:shape id="_x0000_i1132" o:spt="75" type="#_x0000_t75" style="height:52.5pt;width:83.5pt;" o:ole="t" filled="f" o:preferrelative="t" stroked="f" coordsize="21600,21600">
            <v:path/>
            <v:fill on="f" focussize="0,0"/>
            <v:stroke on="f" joinstyle="miter"/>
            <v:imagedata r:id="rId206" o:title=""/>
            <o:lock v:ext="edit" aspectratio="t"/>
            <w10:wrap type="none"/>
            <w10:anchorlock/>
          </v:shape>
          <o:OLEObject Type="Embed" ProgID="Equation.DSMT4" ShapeID="_x0000_i1132" DrawAspect="Content" ObjectID="_1468075832" r:id="rId205">
            <o:LockedField>false</o:LockedField>
          </o:OLEObject>
        </w:objec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.1</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w:t>
      </w:r>
    </w:p>
    <w:p w14:paraId="1E94B657">
      <w:pPr>
        <w:pStyle w:val="12"/>
        <w:ind w:firstLine="0" w:firstLineChars="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 xml:space="preserve">式中 </w:t>
      </w:r>
      <w:r>
        <w:rPr>
          <w:rFonts w:hint="default" w:ascii="Times New Roman" w:hAnsi="Times New Roman" w:eastAsia="宋体" w:cs="Times New Roman"/>
          <w:color w:val="auto"/>
          <w:position w:val="-12"/>
          <w:sz w:val="24"/>
          <w:szCs w:val="24"/>
          <w:highlight w:val="none"/>
        </w:rPr>
        <w:object>
          <v:shape id="_x0000_i1133" o:spt="75" type="#_x0000_t75" style="height:18pt;width:16.5pt;" o:ole="t" filled="f" o:preferrelative="t" stroked="f" coordsize="21600,21600">
            <v:path/>
            <v:fill on="f" focussize="0,0"/>
            <v:stroke on="f" joinstyle="miter"/>
            <v:imagedata r:id="rId208" o:title=""/>
            <o:lock v:ext="edit" aspectratio="t"/>
            <w10:wrap type="none"/>
            <w10:anchorlock/>
          </v:shape>
          <o:OLEObject Type="Embed" ProgID="Equation.DSMT4" ShapeID="_x0000_i1133" DrawAspect="Content" ObjectID="_1468075833" r:id="rId207">
            <o:LockedField>false</o:LockedField>
          </o:OLEObject>
        </w:object>
      </w:r>
      <w:r>
        <w:rPr>
          <w:rFonts w:hint="default" w:ascii="Times New Roman" w:hAnsi="Times New Roman" w:eastAsia="宋体" w:cs="Times New Roman"/>
          <w:color w:val="auto"/>
          <w:sz w:val="24"/>
          <w:szCs w:val="24"/>
          <w:highlight w:val="none"/>
          <w:lang w:eastAsia="zh-CN"/>
        </w:rPr>
        <w:t>——增设砌体抗震墙体后第</w:t>
      </w:r>
      <w:r>
        <w:rPr>
          <w:rFonts w:hint="default" w:ascii="Times New Roman" w:hAnsi="Times New Roman" w:eastAsia="宋体" w:cs="Times New Roman"/>
          <w:i/>
          <w:iCs/>
          <w:color w:val="auto"/>
          <w:sz w:val="24"/>
          <w:szCs w:val="24"/>
          <w:highlight w:val="none"/>
          <w:lang w:eastAsia="zh-CN"/>
        </w:rPr>
        <w:t>i</w:t>
      </w:r>
      <w:r>
        <w:rPr>
          <w:rFonts w:hint="default" w:ascii="Times New Roman" w:hAnsi="Times New Roman" w:eastAsia="宋体" w:cs="Times New Roman"/>
          <w:color w:val="auto"/>
          <w:sz w:val="24"/>
          <w:szCs w:val="24"/>
          <w:highlight w:val="none"/>
          <w:lang w:eastAsia="zh-CN"/>
        </w:rPr>
        <w:t>楼层抗震能力的增强系数；</w:t>
      </w:r>
    </w:p>
    <w:p w14:paraId="2752E749">
      <w:pPr>
        <w:pStyle w:val="12"/>
        <w:ind w:left="648" w:leftChars="270" w:firstLine="0" w:firstLineChars="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position w:val="-14"/>
          <w:sz w:val="24"/>
          <w:szCs w:val="24"/>
          <w:highlight w:val="none"/>
        </w:rPr>
        <w:object>
          <v:shape id="_x0000_i1134" o:spt="75" type="#_x0000_t75" style="height:19.5pt;width:14.5pt;" o:ole="t" filled="f" o:preferrelative="t" stroked="f" coordsize="21600,21600">
            <v:path/>
            <v:fill on="f" focussize="0,0"/>
            <v:stroke on="f" joinstyle="miter"/>
            <v:imagedata r:id="rId210" o:title=""/>
            <o:lock v:ext="edit" aspectratio="t"/>
            <w10:wrap type="none"/>
            <w10:anchorlock/>
          </v:shape>
          <o:OLEObject Type="Embed" ProgID="Equation.DSMT4" ShapeID="_x0000_i1134" DrawAspect="Content" ObjectID="_1468075834" r:id="rId209">
            <o:LockedField>false</o:LockedField>
          </o:OLEObject>
        </w:object>
      </w:r>
      <w:r>
        <w:rPr>
          <w:rFonts w:hint="default" w:ascii="Times New Roman" w:hAnsi="Times New Roman" w:eastAsia="宋体" w:cs="Times New Roman"/>
          <w:color w:val="auto"/>
          <w:sz w:val="24"/>
          <w:szCs w:val="24"/>
          <w:highlight w:val="none"/>
          <w:lang w:eastAsia="zh-CN"/>
        </w:rPr>
        <w:t>——第</w:t>
      </w:r>
      <w:r>
        <w:rPr>
          <w:rFonts w:hint="default" w:ascii="Times New Roman" w:hAnsi="Times New Roman" w:eastAsia="宋体" w:cs="Times New Roman"/>
          <w:i/>
          <w:iCs/>
          <w:color w:val="auto"/>
          <w:sz w:val="24"/>
          <w:szCs w:val="24"/>
          <w:highlight w:val="none"/>
          <w:lang w:eastAsia="zh-CN"/>
        </w:rPr>
        <w:t>i</w:t>
      </w:r>
      <w:r>
        <w:rPr>
          <w:rFonts w:hint="default" w:ascii="Times New Roman" w:hAnsi="Times New Roman" w:eastAsia="宋体" w:cs="Times New Roman"/>
          <w:color w:val="auto"/>
          <w:sz w:val="24"/>
          <w:szCs w:val="24"/>
          <w:highlight w:val="none"/>
          <w:lang w:eastAsia="zh-CN"/>
        </w:rPr>
        <w:t>楼层第</w:t>
      </w:r>
      <w:r>
        <w:rPr>
          <w:rFonts w:hint="default" w:ascii="Times New Roman" w:hAnsi="Times New Roman" w:eastAsia="宋体" w:cs="Times New Roman"/>
          <w:i/>
          <w:iCs/>
          <w:color w:val="auto"/>
          <w:sz w:val="24"/>
          <w:szCs w:val="24"/>
          <w:highlight w:val="none"/>
          <w:lang w:eastAsia="zh-CN"/>
        </w:rPr>
        <w:t>j</w:t>
      </w:r>
      <w:r>
        <w:rPr>
          <w:rFonts w:hint="default" w:ascii="Times New Roman" w:hAnsi="Times New Roman" w:eastAsia="宋体" w:cs="Times New Roman"/>
          <w:color w:val="auto"/>
          <w:sz w:val="24"/>
          <w:szCs w:val="24"/>
          <w:highlight w:val="none"/>
          <w:lang w:eastAsia="zh-CN"/>
        </w:rPr>
        <w:t>墙段的增强系数，对黏土砖墙，无筋时取1.0；有混凝土带时取1.12；有钢筋网片时，240mm厚的墙取1.10，370mm厚的墙取1.08；</w:t>
      </w:r>
    </w:p>
    <w:p w14:paraId="44396AF1">
      <w:pPr>
        <w:pStyle w:val="12"/>
        <w:ind w:left="648" w:leftChars="270" w:firstLine="0" w:firstLineChars="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position w:val="-14"/>
          <w:sz w:val="24"/>
          <w:szCs w:val="24"/>
          <w:highlight w:val="none"/>
        </w:rPr>
        <w:object>
          <v:shape id="_x0000_i1135" o:spt="75" type="#_x0000_t75" style="height:19.5pt;width:15pt;" o:ole="t" filled="f" o:preferrelative="t" stroked="f" coordsize="21600,21600">
            <v:path/>
            <v:fill on="f" focussize="0,0"/>
            <v:stroke on="f" joinstyle="miter"/>
            <v:imagedata r:id="rId212" o:title=""/>
            <o:lock v:ext="edit" aspectratio="t"/>
            <w10:wrap type="none"/>
            <w10:anchorlock/>
          </v:shape>
          <o:OLEObject Type="Embed" ProgID="Equation.DSMT4" ShapeID="_x0000_i1135" DrawAspect="Content" ObjectID="_1468075835" r:id="rId211">
            <o:LockedField>false</o:LockedField>
          </o:OLEObject>
        </w:object>
      </w:r>
      <w:r>
        <w:rPr>
          <w:rFonts w:hint="default" w:ascii="Times New Roman" w:hAnsi="Times New Roman" w:eastAsia="宋体" w:cs="Times New Roman"/>
          <w:color w:val="auto"/>
          <w:sz w:val="24"/>
          <w:szCs w:val="24"/>
          <w:highlight w:val="none"/>
          <w:lang w:eastAsia="zh-CN"/>
        </w:rPr>
        <w:t>——第</w:t>
      </w:r>
      <w:r>
        <w:rPr>
          <w:rFonts w:hint="default" w:ascii="Times New Roman" w:hAnsi="Times New Roman" w:eastAsia="宋体" w:cs="Times New Roman"/>
          <w:i/>
          <w:iCs/>
          <w:color w:val="auto"/>
          <w:sz w:val="24"/>
          <w:szCs w:val="24"/>
          <w:highlight w:val="none"/>
          <w:lang w:eastAsia="zh-CN"/>
        </w:rPr>
        <w:t>i</w:t>
      </w:r>
      <w:r>
        <w:rPr>
          <w:rFonts w:hint="default" w:ascii="Times New Roman" w:hAnsi="Times New Roman" w:eastAsia="宋体" w:cs="Times New Roman"/>
          <w:color w:val="auto"/>
          <w:sz w:val="24"/>
          <w:szCs w:val="24"/>
          <w:highlight w:val="none"/>
          <w:lang w:eastAsia="zh-CN"/>
        </w:rPr>
        <w:t>楼层中验算方向上增设的抗震墙</w:t>
      </w:r>
      <w:r>
        <w:rPr>
          <w:rFonts w:hint="default" w:ascii="Times New Roman" w:hAnsi="Times New Roman" w:eastAsia="宋体" w:cs="Times New Roman"/>
          <w:i/>
          <w:iCs/>
          <w:color w:val="auto"/>
          <w:sz w:val="24"/>
          <w:szCs w:val="24"/>
          <w:highlight w:val="none"/>
          <w:lang w:eastAsia="zh-CN"/>
        </w:rPr>
        <w:t>j</w:t>
      </w:r>
      <w:r>
        <w:rPr>
          <w:rFonts w:hint="default" w:ascii="Times New Roman" w:hAnsi="Times New Roman" w:eastAsia="宋体" w:cs="Times New Roman"/>
          <w:color w:val="auto"/>
          <w:sz w:val="24"/>
          <w:szCs w:val="24"/>
          <w:highlight w:val="none"/>
          <w:lang w:eastAsia="zh-CN"/>
        </w:rPr>
        <w:t>墙段在1/2层高处的净截面面积；</w:t>
      </w:r>
    </w:p>
    <w:p w14:paraId="1252E896">
      <w:pPr>
        <w:pStyle w:val="12"/>
        <w:ind w:left="648" w:leftChars="270" w:firstLine="0" w:firstLineChars="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position w:val="-12"/>
          <w:sz w:val="24"/>
          <w:szCs w:val="24"/>
          <w:highlight w:val="none"/>
        </w:rPr>
        <w:object>
          <v:shape id="_x0000_i1136" o:spt="75" type="#_x0000_t75" style="height:18pt;width:16.5pt;" o:ole="t" filled="f" o:preferrelative="t" stroked="f" coordsize="21600,21600">
            <v:path/>
            <v:fill on="f" focussize="0,0"/>
            <v:stroke on="f" joinstyle="miter"/>
            <v:imagedata r:id="rId214" o:title=""/>
            <o:lock v:ext="edit" aspectratio="t"/>
            <w10:wrap type="none"/>
            <w10:anchorlock/>
          </v:shape>
          <o:OLEObject Type="Embed" ProgID="Equation.DSMT4" ShapeID="_x0000_i1136" DrawAspect="Content" ObjectID="_1468075836" r:id="rId213">
            <o:LockedField>false</o:LockedField>
          </o:OLEObject>
        </w:object>
      </w:r>
      <w:r>
        <w:rPr>
          <w:rFonts w:hint="default" w:ascii="Times New Roman" w:hAnsi="Times New Roman" w:eastAsia="宋体" w:cs="Times New Roman"/>
          <w:color w:val="auto"/>
          <w:sz w:val="24"/>
          <w:szCs w:val="24"/>
          <w:highlight w:val="none"/>
          <w:lang w:eastAsia="zh-CN"/>
        </w:rPr>
        <w:t>——第</w:t>
      </w:r>
      <w:r>
        <w:rPr>
          <w:rFonts w:hint="default" w:ascii="Times New Roman" w:hAnsi="Times New Roman" w:eastAsia="宋体" w:cs="Times New Roman"/>
          <w:i/>
          <w:iCs/>
          <w:color w:val="auto"/>
          <w:sz w:val="24"/>
          <w:szCs w:val="24"/>
          <w:highlight w:val="none"/>
          <w:lang w:eastAsia="zh-CN"/>
        </w:rPr>
        <w:t>i</w:t>
      </w:r>
      <w:r>
        <w:rPr>
          <w:rFonts w:hint="default" w:ascii="Times New Roman" w:hAnsi="Times New Roman" w:eastAsia="宋体" w:cs="Times New Roman"/>
          <w:color w:val="auto"/>
          <w:sz w:val="24"/>
          <w:szCs w:val="24"/>
          <w:highlight w:val="none"/>
          <w:lang w:eastAsia="zh-CN"/>
        </w:rPr>
        <w:t>楼层中验算方向上的原有抗震墙在1/2层高处净截面的总面积。</w:t>
      </w:r>
    </w:p>
    <w:p w14:paraId="2B092D4A">
      <w:pPr>
        <w:spacing w:line="360" w:lineRule="exact"/>
        <w:rPr>
          <w:rFonts w:hint="default" w:ascii="Times New Roman" w:hAnsi="Times New Roman" w:eastAsia="宋体" w:cs="Times New Roman"/>
          <w:color w:val="auto"/>
          <w:sz w:val="24"/>
          <w:szCs w:val="24"/>
          <w:highlight w:val="none"/>
        </w:rPr>
      </w:pPr>
      <w:bookmarkStart w:id="85" w:name="_Toc8791"/>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rPr>
        <w:t>.3.1</w:t>
      </w:r>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color w:val="auto"/>
          <w:sz w:val="24"/>
          <w:szCs w:val="24"/>
          <w:highlight w:val="none"/>
        </w:rPr>
        <w:t xml:space="preserve"> 增设砌体抗震墙加固设计应符合下列构造要求：</w:t>
      </w:r>
      <w:bookmarkEnd w:id="85"/>
    </w:p>
    <w:p w14:paraId="38710C81">
      <w:pPr>
        <w:pStyle w:val="12"/>
        <w:ind w:firstLine="422"/>
        <w:rPr>
          <w:rFonts w:hint="default" w:ascii="Times New Roman" w:hAnsi="Times New Roman" w:eastAsia="宋体" w:cs="Times New Roman"/>
          <w:color w:val="auto"/>
          <w:sz w:val="24"/>
          <w:szCs w:val="24"/>
          <w:highlight w:val="none"/>
          <w:lang w:eastAsia="zh-CN"/>
        </w:rPr>
      </w:pPr>
      <w:bookmarkStart w:id="86" w:name="_Toc25520"/>
      <w:r>
        <w:rPr>
          <w:rFonts w:hint="default" w:ascii="Times New Roman" w:hAnsi="Times New Roman" w:eastAsia="宋体" w:cs="Times New Roman"/>
          <w:b/>
          <w:bCs/>
          <w:color w:val="auto"/>
          <w:sz w:val="24"/>
          <w:szCs w:val="24"/>
          <w:highlight w:val="none"/>
          <w:lang w:eastAsia="zh-CN"/>
        </w:rPr>
        <w:t>1</w:t>
      </w:r>
      <w:r>
        <w:rPr>
          <w:rFonts w:hint="default" w:ascii="Times New Roman" w:hAnsi="Times New Roman" w:eastAsia="宋体" w:cs="Times New Roman"/>
          <w:color w:val="auto"/>
          <w:sz w:val="24"/>
          <w:szCs w:val="24"/>
          <w:highlight w:val="none"/>
          <w:lang w:eastAsia="zh-CN"/>
        </w:rPr>
        <w:t xml:space="preserve"> 墙厚不应小于190mm。</w:t>
      </w:r>
      <w:bookmarkEnd w:id="86"/>
    </w:p>
    <w:p w14:paraId="4790C77B">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2</w:t>
      </w:r>
      <w:r>
        <w:rPr>
          <w:rFonts w:hint="default" w:ascii="Times New Roman" w:hAnsi="Times New Roman" w:eastAsia="宋体" w:cs="Times New Roman"/>
          <w:color w:val="auto"/>
          <w:sz w:val="24"/>
          <w:szCs w:val="24"/>
          <w:highlight w:val="none"/>
          <w:lang w:eastAsia="zh-CN"/>
        </w:rPr>
        <w:t xml:space="preserve"> 墙体中宜设置现浇带或钢筋网片加强；墙体中沿墙体高度每隔0.7～1.0m可设置与墙等宽、高60mm的细石混凝土现浇带，其纵向钢筋可采用3</w:t>
      </w:r>
      <w:r>
        <w:rPr>
          <w:rFonts w:hint="default" w:ascii="Times New Roman" w:hAnsi="Times New Roman" w:eastAsia="宋体" w:cs="Times New Roman"/>
          <w:color w:val="auto"/>
          <w:sz w:val="24"/>
          <w:szCs w:val="24"/>
          <w:highlight w:val="none"/>
        </w:rPr>
        <w:t>φ</w:t>
      </w:r>
      <w:r>
        <w:rPr>
          <w:rFonts w:hint="default" w:ascii="Times New Roman" w:hAnsi="Times New Roman" w:eastAsia="宋体" w:cs="Times New Roman"/>
          <w:color w:val="auto"/>
          <w:sz w:val="24"/>
          <w:szCs w:val="24"/>
          <w:highlight w:val="none"/>
          <w:lang w:eastAsia="zh-CN"/>
        </w:rPr>
        <w:t>6，横向系筋可采用</w:t>
      </w:r>
      <w:r>
        <w:rPr>
          <w:rFonts w:hint="default" w:ascii="Times New Roman" w:hAnsi="Times New Roman" w:eastAsia="宋体" w:cs="Times New Roman"/>
          <w:color w:val="auto"/>
          <w:sz w:val="24"/>
          <w:szCs w:val="24"/>
          <w:highlight w:val="none"/>
        </w:rPr>
        <w:t>φ</w:t>
      </w:r>
      <w:r>
        <w:rPr>
          <w:rFonts w:hint="default" w:ascii="Times New Roman" w:hAnsi="Times New Roman" w:eastAsia="宋体" w:cs="Times New Roman"/>
          <w:color w:val="auto"/>
          <w:sz w:val="24"/>
          <w:szCs w:val="24"/>
          <w:highlight w:val="none"/>
          <w:lang w:eastAsia="zh-CN"/>
        </w:rPr>
        <w:t>6，其间距宜为200mm；当墙厚为240mm或370mm时，可沿墙体高度每隔300～700mm设置一层焊接钢筋网片，钢筋网片的纵向钢筋可采用3</w:t>
      </w:r>
      <w:r>
        <w:rPr>
          <w:rFonts w:hint="default" w:ascii="Times New Roman" w:hAnsi="Times New Roman" w:eastAsia="宋体" w:cs="Times New Roman"/>
          <w:color w:val="auto"/>
          <w:sz w:val="24"/>
          <w:szCs w:val="24"/>
          <w:highlight w:val="none"/>
        </w:rPr>
        <w:t>φ</w:t>
      </w:r>
      <w:r>
        <w:rPr>
          <w:rFonts w:hint="default" w:ascii="Times New Roman" w:hAnsi="Times New Roman" w:eastAsia="宋体" w:cs="Times New Roman"/>
          <w:color w:val="auto"/>
          <w:sz w:val="24"/>
          <w:szCs w:val="24"/>
          <w:highlight w:val="none"/>
          <w:lang w:eastAsia="zh-CN"/>
        </w:rPr>
        <w:t>4，横向系筋可采用</w:t>
      </w:r>
      <w:r>
        <w:rPr>
          <w:rFonts w:hint="default" w:ascii="Times New Roman" w:hAnsi="Times New Roman" w:eastAsia="宋体" w:cs="Times New Roman"/>
          <w:color w:val="auto"/>
          <w:sz w:val="24"/>
          <w:szCs w:val="24"/>
          <w:highlight w:val="none"/>
        </w:rPr>
        <w:t>φ</w:t>
      </w:r>
      <w:r>
        <w:rPr>
          <w:rFonts w:hint="default" w:ascii="Times New Roman" w:hAnsi="Times New Roman" w:eastAsia="宋体" w:cs="Times New Roman"/>
          <w:color w:val="auto"/>
          <w:sz w:val="24"/>
          <w:szCs w:val="24"/>
          <w:highlight w:val="none"/>
          <w:lang w:eastAsia="zh-CN"/>
        </w:rPr>
        <w:t>4，其间距宜为150mm。</w:t>
      </w:r>
    </w:p>
    <w:p w14:paraId="0BBB63F2">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3</w:t>
      </w:r>
      <w:r>
        <w:rPr>
          <w:rFonts w:hint="default" w:ascii="Times New Roman" w:hAnsi="Times New Roman" w:eastAsia="宋体" w:cs="Times New Roman"/>
          <w:color w:val="auto"/>
          <w:sz w:val="24"/>
          <w:szCs w:val="24"/>
          <w:highlight w:val="none"/>
          <w:lang w:eastAsia="zh-CN"/>
        </w:rPr>
        <w:t xml:space="preserve"> 墙顶应设置与墙等宽的现浇钢筋混凝土压顶梁，并与楼、屋盖的梁（板）可靠连接，可每隔500～700mm设置</w:t>
      </w:r>
      <w:r>
        <w:rPr>
          <w:rFonts w:hint="default" w:ascii="Times New Roman" w:hAnsi="Times New Roman" w:eastAsia="宋体" w:cs="Times New Roman"/>
          <w:color w:val="auto"/>
          <w:sz w:val="24"/>
          <w:szCs w:val="24"/>
          <w:highlight w:val="none"/>
        </w:rPr>
        <w:t>φ</w:t>
      </w:r>
      <w:r>
        <w:rPr>
          <w:rFonts w:hint="default" w:ascii="Times New Roman" w:hAnsi="Times New Roman" w:eastAsia="宋体" w:cs="Times New Roman"/>
          <w:color w:val="auto"/>
          <w:sz w:val="24"/>
          <w:szCs w:val="24"/>
          <w:highlight w:val="none"/>
          <w:lang w:eastAsia="zh-CN"/>
        </w:rPr>
        <w:t>12的锚筋或M12的锚栓连接；压顶梁高不应小于120mm，纵筋不宜少于4</w:t>
      </w:r>
      <w:r>
        <w:rPr>
          <w:rFonts w:hint="default" w:ascii="Times New Roman" w:hAnsi="Times New Roman" w:eastAsia="宋体" w:cs="Times New Roman"/>
          <w:color w:val="auto"/>
          <w:sz w:val="24"/>
          <w:szCs w:val="24"/>
          <w:highlight w:val="none"/>
        </w:rPr>
        <w:t>φ</w:t>
      </w:r>
      <w:r>
        <w:rPr>
          <w:rFonts w:hint="default" w:ascii="Times New Roman" w:hAnsi="Times New Roman" w:eastAsia="宋体" w:cs="Times New Roman"/>
          <w:color w:val="auto"/>
          <w:sz w:val="24"/>
          <w:szCs w:val="24"/>
          <w:highlight w:val="none"/>
          <w:lang w:eastAsia="zh-CN"/>
        </w:rPr>
        <w:t>12，箍筋可采用</w:t>
      </w:r>
      <w:r>
        <w:rPr>
          <w:rFonts w:hint="default" w:ascii="Times New Roman" w:hAnsi="Times New Roman" w:eastAsia="宋体" w:cs="Times New Roman"/>
          <w:color w:val="auto"/>
          <w:sz w:val="24"/>
          <w:szCs w:val="24"/>
          <w:highlight w:val="none"/>
        </w:rPr>
        <w:t>φ</w:t>
      </w:r>
      <w:r>
        <w:rPr>
          <w:rFonts w:hint="default" w:ascii="Times New Roman" w:hAnsi="Times New Roman" w:eastAsia="宋体" w:cs="Times New Roman"/>
          <w:color w:val="auto"/>
          <w:sz w:val="24"/>
          <w:szCs w:val="24"/>
          <w:highlight w:val="none"/>
          <w:lang w:eastAsia="zh-CN"/>
        </w:rPr>
        <w:t>6，其间距宜为150mm。</w:t>
      </w:r>
    </w:p>
    <w:p w14:paraId="33081156">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4</w:t>
      </w:r>
      <w:r>
        <w:rPr>
          <w:rFonts w:hint="default" w:ascii="Times New Roman" w:hAnsi="Times New Roman" w:eastAsia="宋体" w:cs="Times New Roman"/>
          <w:color w:val="auto"/>
          <w:sz w:val="24"/>
          <w:szCs w:val="24"/>
          <w:highlight w:val="none"/>
          <w:lang w:eastAsia="zh-CN"/>
        </w:rPr>
        <w:t xml:space="preserve"> 抗震墙应与原有墙体可靠连接，可沿墙体高度每隔500～600mm设置2</w:t>
      </w:r>
      <w:r>
        <w:rPr>
          <w:rFonts w:hint="default" w:ascii="Times New Roman" w:hAnsi="Times New Roman" w:eastAsia="宋体" w:cs="Times New Roman"/>
          <w:color w:val="auto"/>
          <w:sz w:val="24"/>
          <w:szCs w:val="24"/>
          <w:highlight w:val="none"/>
        </w:rPr>
        <w:t>φ</w:t>
      </w:r>
      <w:r>
        <w:rPr>
          <w:rFonts w:hint="default" w:ascii="Times New Roman" w:hAnsi="Times New Roman" w:eastAsia="宋体" w:cs="Times New Roman"/>
          <w:color w:val="auto"/>
          <w:sz w:val="24"/>
          <w:szCs w:val="24"/>
          <w:highlight w:val="none"/>
          <w:lang w:eastAsia="zh-CN"/>
        </w:rPr>
        <w:t>6且长度不小于1m的钢筋与原有墙体用锚栓或植筋连接；当墙体内有混凝土带或钢筋网片时，可在相应位置处加2</w:t>
      </w:r>
      <w:r>
        <w:rPr>
          <w:rFonts w:hint="default" w:ascii="Times New Roman" w:hAnsi="Times New Roman" w:eastAsia="宋体" w:cs="Times New Roman"/>
          <w:color w:val="auto"/>
          <w:sz w:val="24"/>
          <w:szCs w:val="24"/>
          <w:highlight w:val="none"/>
        </w:rPr>
        <w:t>φ</w:t>
      </w:r>
      <w:r>
        <w:rPr>
          <w:rFonts w:hint="default" w:ascii="Times New Roman" w:hAnsi="Times New Roman" w:eastAsia="宋体" w:cs="Times New Roman"/>
          <w:color w:val="auto"/>
          <w:sz w:val="24"/>
          <w:szCs w:val="24"/>
          <w:highlight w:val="none"/>
          <w:lang w:eastAsia="zh-CN"/>
        </w:rPr>
        <w:t>12拉筋，锚入混凝土带内长度不宜小于500mm，另一端锚在原墙体或增设构造柱内，亦可在新砌墙与原墙间加现浇钢筋混凝土内柱，柱顶与压顶梁连接，柱与原墙应采用锚筋、销键或锚栓连接。</w:t>
      </w:r>
    </w:p>
    <w:p w14:paraId="5010CB4D">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5</w:t>
      </w:r>
      <w:r>
        <w:rPr>
          <w:rFonts w:hint="default" w:ascii="Times New Roman" w:hAnsi="Times New Roman" w:eastAsia="宋体" w:cs="Times New Roman"/>
          <w:color w:val="auto"/>
          <w:sz w:val="24"/>
          <w:szCs w:val="24"/>
          <w:highlight w:val="none"/>
          <w:lang w:eastAsia="zh-CN"/>
        </w:rPr>
        <w:t xml:space="preserve"> 抗震墙应设基础，基础埋深宜与相邻抗震墙相同，宽度不应小于计算确定的宽度的1.15倍。</w:t>
      </w:r>
    </w:p>
    <w:p w14:paraId="3163A719">
      <w:pPr>
        <w:spacing w:line="36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rPr>
        <w:t>.3.1</w:t>
      </w:r>
      <w:r>
        <w:rPr>
          <w:rFonts w:hint="default" w:ascii="Times New Roman" w:hAnsi="Times New Roman" w:eastAsia="宋体" w:cs="Times New Roman"/>
          <w:b/>
          <w:bCs/>
          <w:color w:val="auto"/>
          <w:sz w:val="24"/>
          <w:szCs w:val="24"/>
          <w:highlight w:val="none"/>
          <w:lang w:val="en-US" w:eastAsia="zh-CN"/>
        </w:rPr>
        <w:t>7</w:t>
      </w:r>
      <w:r>
        <w:rPr>
          <w:rFonts w:hint="default" w:ascii="Times New Roman" w:hAnsi="Times New Roman" w:eastAsia="宋体" w:cs="Times New Roman"/>
          <w:color w:val="auto"/>
          <w:sz w:val="24"/>
          <w:szCs w:val="24"/>
          <w:highlight w:val="none"/>
        </w:rPr>
        <w:t xml:space="preserve"> 砌体抗震墙中配筋的细石混凝土带，可在砌到设计标高时浇筑，混凝土终凝后方可在其上砌砖。</w:t>
      </w:r>
    </w:p>
    <w:p w14:paraId="08B93B67">
      <w:pPr>
        <w:spacing w:before="120" w:after="120"/>
        <w:jc w:val="center"/>
        <w:rPr>
          <w:rFonts w:hint="default" w:ascii="Times New Roman" w:hAnsi="Times New Roman" w:eastAsia="宋体" w:cs="Times New Roman"/>
          <w:color w:val="auto"/>
          <w:sz w:val="24"/>
          <w:szCs w:val="24"/>
          <w:highlight w:val="none"/>
        </w:rPr>
      </w:pPr>
      <w:bookmarkStart w:id="87" w:name="_Toc2772"/>
      <w:r>
        <w:rPr>
          <w:rFonts w:hint="default" w:ascii="Times New Roman" w:hAnsi="Times New Roman" w:eastAsia="宋体" w:cs="Times New Roman"/>
          <w:b/>
          <w:bCs/>
          <w:color w:val="auto"/>
          <w:sz w:val="24"/>
          <w:szCs w:val="24"/>
          <w:highlight w:val="none"/>
        </w:rPr>
        <w:t>V</w:t>
      </w:r>
      <w:r>
        <w:rPr>
          <w:rFonts w:hint="default" w:ascii="Times New Roman" w:hAnsi="Times New Roman" w:eastAsia="宋体" w:cs="Times New Roman"/>
          <w:color w:val="auto"/>
          <w:sz w:val="24"/>
          <w:szCs w:val="24"/>
          <w:highlight w:val="none"/>
        </w:rPr>
        <w:t xml:space="preserve"> 增设钢筋混凝土抗震墙加固法</w:t>
      </w:r>
      <w:bookmarkEnd w:id="87"/>
    </w:p>
    <w:p w14:paraId="0A941ECE">
      <w:pPr>
        <w:spacing w:line="36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rPr>
        <w:t>.3.1</w:t>
      </w:r>
      <w:r>
        <w:rPr>
          <w:rFonts w:hint="default" w:ascii="Times New Roman" w:hAnsi="Times New Roman" w:eastAsia="宋体" w:cs="Times New Roman"/>
          <w:b/>
          <w:bCs/>
          <w:color w:val="auto"/>
          <w:sz w:val="24"/>
          <w:szCs w:val="24"/>
          <w:highlight w:val="none"/>
          <w:lang w:val="en-US" w:eastAsia="zh-CN"/>
        </w:rPr>
        <w:t>8</w:t>
      </w:r>
      <w:r>
        <w:rPr>
          <w:rFonts w:hint="default" w:ascii="Times New Roman" w:hAnsi="Times New Roman" w:eastAsia="宋体" w:cs="Times New Roman"/>
          <w:color w:val="auto"/>
          <w:sz w:val="24"/>
          <w:szCs w:val="24"/>
          <w:highlight w:val="none"/>
        </w:rPr>
        <w:t xml:space="preserve"> 当砌体结构房屋的抗震承载力不能满足要求时，可采取增设钢筋混凝土抗震墙的方法进行加固。</w:t>
      </w:r>
    </w:p>
    <w:p w14:paraId="09E5EE29">
      <w:pPr>
        <w:spacing w:line="360" w:lineRule="exact"/>
        <w:rPr>
          <w:rFonts w:hint="default" w:ascii="Times New Roman" w:hAnsi="Times New Roman" w:eastAsia="宋体" w:cs="Times New Roman"/>
          <w:color w:val="auto"/>
          <w:sz w:val="24"/>
          <w:szCs w:val="24"/>
          <w:highlight w:val="none"/>
        </w:rPr>
      </w:pPr>
      <w:bookmarkStart w:id="88" w:name="_Toc25102"/>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rPr>
        <w:t>.3.1</w:t>
      </w:r>
      <w:r>
        <w:rPr>
          <w:rFonts w:hint="default" w:ascii="Times New Roman" w:hAnsi="Times New Roman" w:eastAsia="宋体" w:cs="Times New Roman"/>
          <w:b/>
          <w:bCs/>
          <w:color w:val="auto"/>
          <w:sz w:val="24"/>
          <w:szCs w:val="24"/>
          <w:highlight w:val="none"/>
          <w:lang w:val="en-US" w:eastAsia="zh-CN"/>
        </w:rPr>
        <w:t>9</w:t>
      </w:r>
      <w:r>
        <w:rPr>
          <w:rFonts w:hint="default" w:ascii="Times New Roman" w:hAnsi="Times New Roman" w:eastAsia="宋体" w:cs="Times New Roman"/>
          <w:color w:val="auto"/>
          <w:sz w:val="24"/>
          <w:szCs w:val="24"/>
          <w:highlight w:val="none"/>
        </w:rPr>
        <w:t xml:space="preserve"> 增设的混凝土墙体材料性能指标应符合下列要求：</w:t>
      </w:r>
      <w:bookmarkEnd w:id="88"/>
    </w:p>
    <w:p w14:paraId="41F4609A">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1</w:t>
      </w:r>
      <w:r>
        <w:rPr>
          <w:rFonts w:hint="default" w:ascii="Times New Roman" w:hAnsi="Times New Roman" w:eastAsia="宋体" w:cs="Times New Roman"/>
          <w:color w:val="auto"/>
          <w:sz w:val="24"/>
          <w:szCs w:val="24"/>
          <w:highlight w:val="none"/>
          <w:lang w:eastAsia="zh-CN"/>
        </w:rPr>
        <w:t xml:space="preserve"> 混凝土的强度等级不应低于C25。</w:t>
      </w:r>
    </w:p>
    <w:p w14:paraId="02647FDF">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2</w:t>
      </w:r>
      <w:r>
        <w:rPr>
          <w:rFonts w:hint="default" w:ascii="Times New Roman" w:hAnsi="Times New Roman" w:eastAsia="宋体" w:cs="Times New Roman"/>
          <w:color w:val="auto"/>
          <w:sz w:val="24"/>
          <w:szCs w:val="24"/>
          <w:highlight w:val="none"/>
          <w:lang w:eastAsia="zh-CN"/>
        </w:rPr>
        <w:t xml:space="preserve"> 普通钢筋的强度等级宜选用HRB400和HPB300钢筋。</w:t>
      </w:r>
    </w:p>
    <w:p w14:paraId="06DB2D62">
      <w:pPr>
        <w:rPr>
          <w:rFonts w:hint="default" w:ascii="Times New Roman" w:hAnsi="Times New Roman" w:eastAsia="宋体" w:cs="Times New Roman"/>
          <w:color w:val="auto"/>
          <w:sz w:val="24"/>
          <w:szCs w:val="24"/>
          <w:highlight w:val="none"/>
        </w:rPr>
      </w:pPr>
      <w:bookmarkStart w:id="89" w:name="_Toc3038"/>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rPr>
        <w:t>.3.</w:t>
      </w:r>
      <w:r>
        <w:rPr>
          <w:rFonts w:hint="default" w:ascii="Times New Roman" w:hAnsi="Times New Roman" w:eastAsia="宋体" w:cs="Times New Roman"/>
          <w:b/>
          <w:bCs/>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 xml:space="preserve"> 当增设现浇钢筋混凝土抗震墙加固砌体结构房屋时，应符合下列要求：</w:t>
      </w:r>
      <w:bookmarkEnd w:id="89"/>
    </w:p>
    <w:p w14:paraId="2A1516A3">
      <w:pPr>
        <w:pStyle w:val="12"/>
        <w:ind w:firstLine="422"/>
        <w:rPr>
          <w:rFonts w:hint="default" w:ascii="Times New Roman" w:hAnsi="Times New Roman" w:eastAsia="宋体" w:cs="Times New Roman"/>
          <w:color w:val="auto"/>
          <w:sz w:val="24"/>
          <w:szCs w:val="24"/>
          <w:highlight w:val="none"/>
          <w:lang w:eastAsia="zh-CN"/>
        </w:rPr>
      </w:pPr>
      <w:bookmarkStart w:id="90" w:name="_Toc32682"/>
      <w:r>
        <w:rPr>
          <w:rFonts w:hint="default" w:ascii="Times New Roman" w:hAnsi="Times New Roman" w:eastAsia="宋体" w:cs="Times New Roman"/>
          <w:b/>
          <w:bCs/>
          <w:color w:val="auto"/>
          <w:sz w:val="24"/>
          <w:szCs w:val="24"/>
          <w:highlight w:val="none"/>
          <w:lang w:eastAsia="zh-CN"/>
        </w:rPr>
        <w:t>1</w:t>
      </w:r>
      <w:r>
        <w:rPr>
          <w:rFonts w:hint="default" w:ascii="Times New Roman" w:hAnsi="Times New Roman" w:eastAsia="宋体" w:cs="Times New Roman"/>
          <w:color w:val="auto"/>
          <w:sz w:val="24"/>
          <w:szCs w:val="24"/>
          <w:highlight w:val="none"/>
          <w:lang w:eastAsia="zh-CN"/>
        </w:rPr>
        <w:t xml:space="preserve"> 原墙体的砌筑砂浆强度等级不应低于M2.5。</w:t>
      </w:r>
      <w:bookmarkEnd w:id="90"/>
    </w:p>
    <w:p w14:paraId="26553B44">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2</w:t>
      </w:r>
      <w:r>
        <w:rPr>
          <w:rFonts w:hint="default" w:ascii="Times New Roman" w:hAnsi="Times New Roman" w:eastAsia="宋体" w:cs="Times New Roman"/>
          <w:color w:val="auto"/>
          <w:sz w:val="24"/>
          <w:szCs w:val="24"/>
          <w:highlight w:val="none"/>
          <w:lang w:eastAsia="zh-CN"/>
        </w:rPr>
        <w:t xml:space="preserve"> 现浇混凝土墙沿平面宜对称布置，沿高度宜连续布置，其厚度可为120～150mm。</w:t>
      </w:r>
    </w:p>
    <w:p w14:paraId="3E2F1564">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3</w:t>
      </w:r>
      <w:r>
        <w:rPr>
          <w:rFonts w:hint="default" w:ascii="Times New Roman" w:hAnsi="Times New Roman" w:eastAsia="宋体" w:cs="Times New Roman"/>
          <w:color w:val="auto"/>
          <w:sz w:val="24"/>
          <w:szCs w:val="24"/>
          <w:highlight w:val="none"/>
          <w:lang w:eastAsia="zh-CN"/>
        </w:rPr>
        <w:t>可采用现行国家标准《建筑抗震设计标准》GB/T 50011关于四级抗震墙的构造要求。</w:t>
      </w:r>
    </w:p>
    <w:p w14:paraId="15CB01EE">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4</w:t>
      </w:r>
      <w:r>
        <w:rPr>
          <w:rFonts w:hint="default" w:ascii="Times New Roman" w:hAnsi="Times New Roman" w:eastAsia="宋体" w:cs="Times New Roman"/>
          <w:color w:val="auto"/>
          <w:sz w:val="24"/>
          <w:szCs w:val="24"/>
          <w:highlight w:val="none"/>
          <w:lang w:eastAsia="zh-CN"/>
        </w:rPr>
        <w:t xml:space="preserve"> 抗震墙应设基础。</w:t>
      </w:r>
    </w:p>
    <w:p w14:paraId="34852656">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5</w:t>
      </w:r>
      <w:r>
        <w:rPr>
          <w:rFonts w:hint="default" w:ascii="Times New Roman" w:hAnsi="Times New Roman" w:eastAsia="宋体" w:cs="Times New Roman"/>
          <w:color w:val="auto"/>
          <w:sz w:val="24"/>
          <w:szCs w:val="24"/>
          <w:highlight w:val="none"/>
          <w:lang w:eastAsia="zh-CN"/>
        </w:rPr>
        <w:t xml:space="preserve"> 增设的混凝土墙与原墙、柱和梁板均应有可靠连接。</w:t>
      </w:r>
    </w:p>
    <w:p w14:paraId="73A3BAE9">
      <w:pPr>
        <w:spacing w:line="36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rPr>
        <w:t>.3.</w:t>
      </w:r>
      <w:r>
        <w:rPr>
          <w:rFonts w:hint="default" w:ascii="Times New Roman" w:hAnsi="Times New Roman" w:eastAsia="宋体" w:cs="Times New Roman"/>
          <w:b/>
          <w:bCs/>
          <w:color w:val="auto"/>
          <w:sz w:val="24"/>
          <w:szCs w:val="24"/>
          <w:highlight w:val="none"/>
          <w:lang w:val="en-US" w:eastAsia="zh-CN"/>
        </w:rPr>
        <w:t>21</w:t>
      </w:r>
      <w:r>
        <w:rPr>
          <w:rFonts w:hint="default" w:ascii="Times New Roman" w:hAnsi="Times New Roman" w:eastAsia="宋体" w:cs="Times New Roman"/>
          <w:color w:val="auto"/>
          <w:sz w:val="24"/>
          <w:szCs w:val="24"/>
          <w:highlight w:val="none"/>
        </w:rPr>
        <w:t xml:space="preserve"> 对于A类砌体结构房屋，加固后，横墙间距的影响系数应作相应改变；楼层抗震能力的增强系数可按本规程公式（</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.1</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）计算，其中，增设墙段的厚度可按240mm计算，增强系数，原墙体砌筑砂浆等级不高于M7.5时可取为2.8，M10时可取2.5。</w:t>
      </w:r>
    </w:p>
    <w:p w14:paraId="77B6DCA4">
      <w:pPr>
        <w:spacing w:before="120" w:after="120"/>
        <w:jc w:val="center"/>
        <w:rPr>
          <w:rFonts w:hint="default" w:ascii="Times New Roman" w:hAnsi="Times New Roman" w:eastAsia="宋体" w:cs="Times New Roman"/>
          <w:b/>
          <w:bCs/>
          <w:color w:val="auto"/>
          <w:sz w:val="24"/>
          <w:szCs w:val="24"/>
          <w:highlight w:val="none"/>
        </w:rPr>
      </w:pPr>
      <w:bookmarkStart w:id="91" w:name="_Toc4483"/>
    </w:p>
    <w:p w14:paraId="39AFDF4C">
      <w:pPr>
        <w:spacing w:before="120" w:after="12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Ⅵ</w:t>
      </w:r>
      <w:r>
        <w:rPr>
          <w:rFonts w:hint="default" w:ascii="Times New Roman" w:hAnsi="Times New Roman" w:eastAsia="宋体" w:cs="Times New Roman"/>
          <w:color w:val="auto"/>
          <w:sz w:val="24"/>
          <w:szCs w:val="24"/>
          <w:highlight w:val="none"/>
        </w:rPr>
        <w:t xml:space="preserve"> 增设构造柱加固法</w:t>
      </w:r>
      <w:bookmarkEnd w:id="91"/>
    </w:p>
    <w:p w14:paraId="68F7F24B">
      <w:pPr>
        <w:rPr>
          <w:rFonts w:hint="default" w:ascii="Times New Roman" w:hAnsi="Times New Roman" w:eastAsia="宋体" w:cs="Times New Roman"/>
          <w:color w:val="auto"/>
          <w:sz w:val="24"/>
          <w:szCs w:val="24"/>
          <w:highlight w:val="none"/>
        </w:rPr>
      </w:pPr>
      <w:bookmarkStart w:id="92" w:name="_Toc4463"/>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rPr>
        <w:t>.3.</w:t>
      </w:r>
      <w:r>
        <w:rPr>
          <w:rFonts w:hint="default" w:ascii="Times New Roman" w:hAnsi="Times New Roman" w:eastAsia="宋体" w:cs="Times New Roman"/>
          <w:b/>
          <w:bCs/>
          <w:color w:val="auto"/>
          <w:sz w:val="24"/>
          <w:szCs w:val="24"/>
          <w:highlight w:val="none"/>
          <w:lang w:val="en-US" w:eastAsia="zh-CN"/>
        </w:rPr>
        <w:t>22</w:t>
      </w:r>
      <w:r>
        <w:rPr>
          <w:rFonts w:hint="default" w:ascii="Times New Roman" w:hAnsi="Times New Roman" w:eastAsia="宋体" w:cs="Times New Roman"/>
          <w:color w:val="auto"/>
          <w:sz w:val="24"/>
          <w:szCs w:val="24"/>
          <w:highlight w:val="none"/>
        </w:rPr>
        <w:t xml:space="preserve"> 当采用增设钢筋混凝土构造柱加固房屋时，构造柱的设置应符合下列要求：</w:t>
      </w:r>
      <w:bookmarkEnd w:id="92"/>
    </w:p>
    <w:p w14:paraId="7AD8DFA7">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1</w:t>
      </w:r>
      <w:r>
        <w:rPr>
          <w:rFonts w:hint="default" w:ascii="Times New Roman" w:hAnsi="Times New Roman" w:eastAsia="宋体" w:cs="Times New Roman"/>
          <w:color w:val="auto"/>
          <w:sz w:val="24"/>
          <w:szCs w:val="24"/>
          <w:highlight w:val="none"/>
          <w:lang w:eastAsia="zh-CN"/>
        </w:rPr>
        <w:t xml:space="preserve"> 构造柱应在房屋四角、楼梯间和不规则平面的转角处设置，并可根据房屋的现状在内外墙交接处隔开间或每开间设置。</w:t>
      </w:r>
    </w:p>
    <w:p w14:paraId="2E7660B9">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2</w:t>
      </w:r>
      <w:r>
        <w:rPr>
          <w:rFonts w:hint="default" w:ascii="Times New Roman" w:hAnsi="Times New Roman" w:eastAsia="宋体" w:cs="Times New Roman"/>
          <w:color w:val="auto"/>
          <w:sz w:val="24"/>
          <w:szCs w:val="24"/>
          <w:highlight w:val="none"/>
          <w:lang w:eastAsia="zh-CN"/>
        </w:rPr>
        <w:t xml:space="preserve"> 构造柱宜在平面内对称布置，应由底层设起，并应沿房屋高度贯通，不得错位。</w:t>
      </w:r>
    </w:p>
    <w:p w14:paraId="6759871B">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3</w:t>
      </w:r>
      <w:r>
        <w:rPr>
          <w:rFonts w:hint="default" w:ascii="Times New Roman" w:hAnsi="Times New Roman" w:eastAsia="宋体" w:cs="Times New Roman"/>
          <w:color w:val="auto"/>
          <w:sz w:val="24"/>
          <w:szCs w:val="24"/>
          <w:highlight w:val="none"/>
          <w:lang w:eastAsia="zh-CN"/>
        </w:rPr>
        <w:t xml:space="preserve"> 构造柱应与圈梁或钢拉杆连成闭合系统；内墙圈梁可用墙（梁）两侧的钢拉杆代替，拉杆直径不应小于14mm，增设构造柱必须与现浇钢筋混凝土楼、屋盖或原有圈梁可靠连接。</w:t>
      </w:r>
    </w:p>
    <w:p w14:paraId="1AD5DD4D">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4</w:t>
      </w:r>
      <w:r>
        <w:rPr>
          <w:rFonts w:hint="default" w:ascii="Times New Roman" w:hAnsi="Times New Roman" w:eastAsia="宋体" w:cs="Times New Roman"/>
          <w:color w:val="auto"/>
          <w:sz w:val="24"/>
          <w:szCs w:val="24"/>
          <w:highlight w:val="none"/>
          <w:lang w:eastAsia="zh-CN"/>
        </w:rPr>
        <w:t xml:space="preserve"> 当采用增设构造柱增强砌体墙的抗震能力时，钢拉杆不宜少于2</w:t>
      </w:r>
      <w:r>
        <w:rPr>
          <w:rFonts w:hint="default" w:ascii="Times New Roman" w:hAnsi="Times New Roman" w:eastAsia="宋体" w:cs="Times New Roman"/>
          <w:color w:val="auto"/>
          <w:sz w:val="24"/>
          <w:szCs w:val="24"/>
          <w:highlight w:val="none"/>
        </w:rPr>
        <w:t>φ</w:t>
      </w:r>
      <w:r>
        <w:rPr>
          <w:rFonts w:hint="default" w:ascii="Times New Roman" w:hAnsi="Times New Roman" w:eastAsia="宋体" w:cs="Times New Roman"/>
          <w:color w:val="auto"/>
          <w:sz w:val="24"/>
          <w:szCs w:val="24"/>
          <w:highlight w:val="none"/>
          <w:lang w:eastAsia="zh-CN"/>
        </w:rPr>
        <w:t>16的钢筋，其在圈梁内的锚固长度应符合受拉钢筋的要求。</w:t>
      </w:r>
    </w:p>
    <w:p w14:paraId="44ACAE03">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5</w:t>
      </w:r>
      <w:r>
        <w:rPr>
          <w:rFonts w:hint="default" w:ascii="Times New Roman" w:hAnsi="Times New Roman" w:eastAsia="宋体" w:cs="Times New Roman"/>
          <w:color w:val="auto"/>
          <w:sz w:val="24"/>
          <w:szCs w:val="24"/>
          <w:highlight w:val="none"/>
          <w:lang w:eastAsia="zh-CN"/>
        </w:rPr>
        <w:t xml:space="preserve"> 内廊房屋的内廊在增设构造柱的轴线处无连系梁时，应在内廊两侧的内纵墙加柱，或在内廊的楼、屋盖板下增设现浇钢筋混凝土梁或组合钢梁；钢筋混凝土梁的截面高度不应小于层高的1/10，梁两端应与原有的梁板可靠连接。</w:t>
      </w:r>
    </w:p>
    <w:p w14:paraId="034CC57B">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6</w:t>
      </w:r>
      <w:r>
        <w:rPr>
          <w:rFonts w:hint="default" w:ascii="Times New Roman" w:hAnsi="Times New Roman" w:eastAsia="宋体" w:cs="Times New Roman"/>
          <w:color w:val="auto"/>
          <w:sz w:val="24"/>
          <w:szCs w:val="24"/>
          <w:highlight w:val="none"/>
          <w:lang w:eastAsia="zh-CN"/>
        </w:rPr>
        <w:t xml:space="preserve"> 构造柱的设置部位和数量不满足本规程要求时，可采用增设钢筋混凝土柱的方法在相应位置增设构造柱。</w:t>
      </w:r>
    </w:p>
    <w:p w14:paraId="221DF969">
      <w:pPr>
        <w:rPr>
          <w:rFonts w:hint="default" w:ascii="Times New Roman" w:hAnsi="Times New Roman" w:eastAsia="宋体" w:cs="Times New Roman"/>
          <w:color w:val="auto"/>
          <w:sz w:val="24"/>
          <w:szCs w:val="24"/>
          <w:highlight w:val="none"/>
        </w:rPr>
      </w:pPr>
      <w:bookmarkStart w:id="93" w:name="_Toc14771"/>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rPr>
        <w:t>.3.2</w:t>
      </w: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color w:val="auto"/>
          <w:sz w:val="24"/>
          <w:szCs w:val="24"/>
          <w:highlight w:val="none"/>
        </w:rPr>
        <w:t xml:space="preserve"> 构造柱的材料性能指标应符合下列要求：</w:t>
      </w:r>
      <w:bookmarkEnd w:id="93"/>
    </w:p>
    <w:p w14:paraId="3FF7FF20">
      <w:pPr>
        <w:pStyle w:val="12"/>
        <w:ind w:firstLine="422"/>
        <w:rPr>
          <w:rFonts w:hint="default" w:ascii="Times New Roman" w:hAnsi="Times New Roman" w:eastAsia="宋体" w:cs="Times New Roman"/>
          <w:color w:val="auto"/>
          <w:sz w:val="24"/>
          <w:szCs w:val="24"/>
          <w:highlight w:val="none"/>
          <w:lang w:eastAsia="zh-CN"/>
        </w:rPr>
      </w:pPr>
      <w:bookmarkStart w:id="94" w:name="_Toc12154"/>
      <w:r>
        <w:rPr>
          <w:rFonts w:hint="default" w:ascii="Times New Roman" w:hAnsi="Times New Roman" w:eastAsia="宋体" w:cs="Times New Roman"/>
          <w:b/>
          <w:bCs/>
          <w:color w:val="auto"/>
          <w:sz w:val="24"/>
          <w:szCs w:val="24"/>
          <w:highlight w:val="none"/>
          <w:lang w:eastAsia="zh-CN"/>
        </w:rPr>
        <w:t>1</w:t>
      </w:r>
      <w:r>
        <w:rPr>
          <w:rFonts w:hint="default" w:ascii="Times New Roman" w:hAnsi="Times New Roman" w:eastAsia="宋体" w:cs="Times New Roman"/>
          <w:color w:val="auto"/>
          <w:sz w:val="24"/>
          <w:szCs w:val="24"/>
          <w:highlight w:val="none"/>
          <w:lang w:eastAsia="zh-CN"/>
        </w:rPr>
        <w:t xml:space="preserve"> 混凝土的强度等级不应低于C25。</w:t>
      </w:r>
      <w:bookmarkEnd w:id="94"/>
    </w:p>
    <w:p w14:paraId="5F1B7CD9">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2</w:t>
      </w:r>
      <w:r>
        <w:rPr>
          <w:rFonts w:hint="default" w:ascii="Times New Roman" w:hAnsi="Times New Roman" w:eastAsia="宋体" w:cs="Times New Roman"/>
          <w:color w:val="auto"/>
          <w:sz w:val="24"/>
          <w:szCs w:val="24"/>
          <w:highlight w:val="none"/>
          <w:lang w:eastAsia="zh-CN"/>
        </w:rPr>
        <w:t xml:space="preserve"> 增设钢筋混凝土柱的普通钢筋的强度等级宜选用HRB400和HPB300级钢筋。</w:t>
      </w:r>
    </w:p>
    <w:p w14:paraId="0F555E54">
      <w:pPr>
        <w:spacing w:line="36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rPr>
        <w:t>.3.2</w:t>
      </w:r>
      <w:r>
        <w:rPr>
          <w:rFonts w:hint="default"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color w:val="auto"/>
          <w:sz w:val="24"/>
          <w:szCs w:val="24"/>
          <w:highlight w:val="none"/>
        </w:rPr>
        <w:t xml:space="preserve"> 对于A类砌体结构房屋，加固后，墙体连接的构造影响系数和有关墙垛局部尺寸的影响系数应取1.0，楼层抗震能力的增强系数应按下式计算：</w:t>
      </w:r>
    </w:p>
    <w:p w14:paraId="184ADF93">
      <w:pPr>
        <w:tabs>
          <w:tab w:val="left" w:pos="3686"/>
        </w:tabs>
        <w:spacing w:line="300" w:lineRule="auto"/>
        <w:ind w:firstLine="3120" w:firstLineChars="1300"/>
        <w:jc w:val="righ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position w:val="-30"/>
          <w:sz w:val="24"/>
          <w:szCs w:val="24"/>
          <w:highlight w:val="none"/>
        </w:rPr>
        <w:object>
          <v:shape id="_x0000_i1137" o:spt="75" type="#_x0000_t75" style="height:52.5pt;width:114.5pt;" o:ole="t" filled="f" o:preferrelative="t" stroked="f" coordsize="21600,21600">
            <v:path/>
            <v:fill on="f" focussize="0,0"/>
            <v:stroke on="f" joinstyle="miter"/>
            <v:imagedata r:id="rId216" o:title=""/>
            <o:lock v:ext="edit" aspectratio="t"/>
            <w10:wrap type="none"/>
            <w10:anchorlock/>
          </v:shape>
          <o:OLEObject Type="Embed" ProgID="Equation.DSMT4" ShapeID="_x0000_i1137" DrawAspect="Content" ObjectID="_1468075837" r:id="rId215">
            <o:LockedField>false</o:LockedField>
          </o:OLEObject>
        </w:objec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.2</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w:t>
      </w:r>
    </w:p>
    <w:p w14:paraId="1E15796D">
      <w:pPr>
        <w:pStyle w:val="12"/>
        <w:ind w:firstLine="0" w:firstLineChars="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 xml:space="preserve">式中  </w:t>
      </w:r>
      <w:r>
        <w:rPr>
          <w:rFonts w:hint="default" w:ascii="Times New Roman" w:hAnsi="Times New Roman" w:eastAsia="宋体" w:cs="Times New Roman"/>
          <w:color w:val="auto"/>
          <w:position w:val="-12"/>
          <w:sz w:val="24"/>
          <w:szCs w:val="24"/>
          <w:highlight w:val="none"/>
        </w:rPr>
        <w:object>
          <v:shape id="_x0000_i1138" o:spt="75" type="#_x0000_t75" style="height:18pt;width:15pt;" o:ole="t" filled="f" o:preferrelative="t" stroked="f" coordsize="21600,21600">
            <v:path/>
            <v:fill on="f" focussize="0,0"/>
            <v:stroke on="f" joinstyle="miter"/>
            <v:imagedata r:id="rId218" o:title=""/>
            <o:lock v:ext="edit" aspectratio="t"/>
            <w10:wrap type="none"/>
            <w10:anchorlock/>
          </v:shape>
          <o:OLEObject Type="Embed" ProgID="Equation.DSMT4" ShapeID="_x0000_i1138" DrawAspect="Content" ObjectID="_1468075838" r:id="rId217">
            <o:LockedField>false</o:LockedField>
          </o:OLEObject>
        </w:object>
      </w:r>
      <w:r>
        <w:rPr>
          <w:rFonts w:hint="default" w:ascii="Times New Roman" w:hAnsi="Times New Roman" w:eastAsia="宋体" w:cs="Times New Roman"/>
          <w:color w:val="auto"/>
          <w:sz w:val="24"/>
          <w:szCs w:val="24"/>
          <w:highlight w:val="none"/>
          <w:lang w:eastAsia="zh-CN"/>
        </w:rPr>
        <w:t>——增设构造柱加固后第</w:t>
      </w:r>
      <w:r>
        <w:rPr>
          <w:rFonts w:hint="default" w:ascii="Times New Roman" w:hAnsi="Times New Roman" w:eastAsia="宋体" w:cs="Times New Roman"/>
          <w:i/>
          <w:iCs/>
          <w:color w:val="auto"/>
          <w:sz w:val="24"/>
          <w:szCs w:val="24"/>
          <w:highlight w:val="none"/>
          <w:lang w:eastAsia="zh-CN"/>
        </w:rPr>
        <w:t>i</w:t>
      </w:r>
      <w:r>
        <w:rPr>
          <w:rFonts w:hint="default" w:ascii="Times New Roman" w:hAnsi="Times New Roman" w:eastAsia="宋体" w:cs="Times New Roman"/>
          <w:color w:val="auto"/>
          <w:sz w:val="24"/>
          <w:szCs w:val="24"/>
          <w:highlight w:val="none"/>
          <w:lang w:eastAsia="zh-CN"/>
        </w:rPr>
        <w:t>楼层抗震能力的增强系数；</w:t>
      </w:r>
    </w:p>
    <w:p w14:paraId="3CE3A73F">
      <w:pPr>
        <w:pStyle w:val="12"/>
        <w:ind w:firstLine="42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 xml:space="preserve">  </w:t>
      </w:r>
      <w:r>
        <w:rPr>
          <w:rFonts w:hint="default" w:ascii="Times New Roman" w:hAnsi="Times New Roman" w:eastAsia="宋体" w:cs="Times New Roman"/>
          <w:color w:val="auto"/>
          <w:position w:val="-14"/>
          <w:sz w:val="24"/>
          <w:szCs w:val="24"/>
          <w:highlight w:val="none"/>
        </w:rPr>
        <w:object>
          <v:shape id="_x0000_i1139" o:spt="75" type="#_x0000_t75" style="height:19.5pt;width:16.5pt;" o:ole="t" filled="f" o:preferrelative="t" stroked="f" coordsize="21600,21600">
            <v:path/>
            <v:fill on="f" focussize="0,0"/>
            <v:stroke on="f" joinstyle="miter"/>
            <v:imagedata r:id="rId220" o:title=""/>
            <o:lock v:ext="edit" aspectratio="t"/>
            <w10:wrap type="none"/>
            <w10:anchorlock/>
          </v:shape>
          <o:OLEObject Type="Embed" ProgID="Equation.DSMT4" ShapeID="_x0000_i1139" DrawAspect="Content" ObjectID="_1468075839" r:id="rId219">
            <o:LockedField>false</o:LockedField>
          </o:OLEObject>
        </w:object>
      </w:r>
      <w:r>
        <w:rPr>
          <w:rFonts w:hint="default" w:ascii="Times New Roman" w:hAnsi="Times New Roman" w:eastAsia="宋体" w:cs="Times New Roman"/>
          <w:color w:val="auto"/>
          <w:sz w:val="24"/>
          <w:szCs w:val="24"/>
          <w:highlight w:val="none"/>
          <w:lang w:eastAsia="zh-CN"/>
        </w:rPr>
        <w:t>——第</w:t>
      </w:r>
      <w:r>
        <w:rPr>
          <w:rFonts w:hint="default" w:ascii="Times New Roman" w:hAnsi="Times New Roman" w:eastAsia="宋体" w:cs="Times New Roman"/>
          <w:i/>
          <w:iCs/>
          <w:color w:val="auto"/>
          <w:sz w:val="24"/>
          <w:szCs w:val="24"/>
          <w:highlight w:val="none"/>
          <w:lang w:eastAsia="zh-CN"/>
        </w:rPr>
        <w:t>i</w:t>
      </w:r>
      <w:r>
        <w:rPr>
          <w:rFonts w:hint="default" w:ascii="Times New Roman" w:hAnsi="Times New Roman" w:eastAsia="宋体" w:cs="Times New Roman"/>
          <w:color w:val="auto"/>
          <w:sz w:val="24"/>
          <w:szCs w:val="24"/>
          <w:highlight w:val="none"/>
          <w:lang w:eastAsia="zh-CN"/>
        </w:rPr>
        <w:t>楼层第</w:t>
      </w:r>
      <w:r>
        <w:rPr>
          <w:rFonts w:hint="default" w:ascii="Times New Roman" w:hAnsi="Times New Roman" w:eastAsia="宋体" w:cs="Times New Roman"/>
          <w:i/>
          <w:iCs/>
          <w:color w:val="auto"/>
          <w:sz w:val="24"/>
          <w:szCs w:val="24"/>
          <w:highlight w:val="none"/>
          <w:lang w:eastAsia="zh-CN"/>
        </w:rPr>
        <w:t>j</w:t>
      </w:r>
      <w:r>
        <w:rPr>
          <w:rFonts w:hint="default" w:ascii="Times New Roman" w:hAnsi="Times New Roman" w:eastAsia="宋体" w:cs="Times New Roman"/>
          <w:color w:val="auto"/>
          <w:sz w:val="24"/>
          <w:szCs w:val="24"/>
          <w:highlight w:val="none"/>
          <w:lang w:eastAsia="zh-CN"/>
        </w:rPr>
        <w:t>墙段增设构造柱加固的增强系数，对黏土砖墙可按表</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eastAsia="zh-CN"/>
        </w:rPr>
        <w:t>.3.2</w:t>
      </w:r>
      <w:r>
        <w:rPr>
          <w:rFonts w:hint="eastAsia"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eastAsia="zh-CN"/>
        </w:rPr>
        <w:t>采用；</w:t>
      </w:r>
    </w:p>
    <w:p w14:paraId="297CF4AD">
      <w:pPr>
        <w:pStyle w:val="12"/>
        <w:ind w:firstLine="42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 xml:space="preserve">  </w:t>
      </w:r>
      <w:r>
        <w:rPr>
          <w:rFonts w:hint="default" w:ascii="Times New Roman" w:hAnsi="Times New Roman" w:eastAsia="宋体" w:cs="Times New Roman"/>
          <w:i/>
          <w:iCs/>
          <w:color w:val="auto"/>
          <w:sz w:val="24"/>
          <w:szCs w:val="24"/>
          <w:highlight w:val="none"/>
          <w:lang w:eastAsia="zh-CN"/>
        </w:rPr>
        <w:t>n</w:t>
      </w:r>
      <w:r>
        <w:rPr>
          <w:rFonts w:hint="default" w:ascii="Times New Roman" w:hAnsi="Times New Roman" w:eastAsia="宋体" w:cs="Times New Roman"/>
          <w:color w:val="auto"/>
          <w:sz w:val="24"/>
          <w:szCs w:val="24"/>
          <w:highlight w:val="none"/>
          <w:lang w:eastAsia="zh-CN"/>
        </w:rPr>
        <w:t>——第</w:t>
      </w:r>
      <w:r>
        <w:rPr>
          <w:rFonts w:hint="default" w:ascii="Times New Roman" w:hAnsi="Times New Roman" w:eastAsia="宋体" w:cs="Times New Roman"/>
          <w:i/>
          <w:iCs/>
          <w:color w:val="auto"/>
          <w:sz w:val="24"/>
          <w:szCs w:val="24"/>
          <w:highlight w:val="none"/>
          <w:lang w:eastAsia="zh-CN"/>
        </w:rPr>
        <w:t>i</w:t>
      </w:r>
      <w:r>
        <w:rPr>
          <w:rFonts w:hint="default" w:ascii="Times New Roman" w:hAnsi="Times New Roman" w:eastAsia="宋体" w:cs="Times New Roman"/>
          <w:color w:val="auto"/>
          <w:sz w:val="24"/>
          <w:szCs w:val="24"/>
          <w:highlight w:val="none"/>
          <w:lang w:eastAsia="zh-CN"/>
        </w:rPr>
        <w:t>楼层中验算方向有增设构造柱的抗震墙道数。</w:t>
      </w:r>
    </w:p>
    <w:p w14:paraId="365A8F98">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default" w:ascii="宋体" w:hAnsi="宋体" w:eastAsia="宋体" w:cs="宋体"/>
          <w:color w:val="auto"/>
          <w:spacing w:val="-2"/>
          <w:sz w:val="28"/>
          <w:szCs w:val="28"/>
          <w:lang w:val="en-US" w:eastAsia="zh-CN"/>
        </w:rPr>
      </w:pPr>
      <w:r>
        <w:rPr>
          <w:rFonts w:hint="default" w:ascii="宋体" w:hAnsi="宋体" w:eastAsia="宋体" w:cs="宋体"/>
          <w:color w:val="auto"/>
          <w:spacing w:val="-2"/>
          <w:sz w:val="28"/>
          <w:szCs w:val="28"/>
          <w:lang w:val="en-US" w:eastAsia="zh-CN"/>
        </w:rPr>
        <w:t>表6.3.24 增设构造柱加固黏土砖墙的增强系数</w:t>
      </w:r>
    </w:p>
    <w:tbl>
      <w:tblPr>
        <w:tblStyle w:val="50"/>
        <w:tblW w:w="612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19"/>
        <w:gridCol w:w="1037"/>
        <w:gridCol w:w="1221"/>
        <w:gridCol w:w="1221"/>
        <w:gridCol w:w="1230"/>
      </w:tblGrid>
      <w:tr w14:paraId="602A42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jc w:val="center"/>
        </w:trPr>
        <w:tc>
          <w:tcPr>
            <w:tcW w:w="1419" w:type="dxa"/>
            <w:vMerge w:val="restart"/>
            <w:tcBorders>
              <w:top w:val="single" w:color="000000" w:sz="6" w:space="0"/>
              <w:left w:val="single" w:color="000000" w:sz="6" w:space="0"/>
              <w:bottom w:val="nil"/>
            </w:tcBorders>
            <w:vAlign w:val="center"/>
          </w:tcPr>
          <w:p w14:paraId="71FECE5F">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砌筑砂浆</w:t>
            </w:r>
          </w:p>
          <w:p w14:paraId="4D3AAB21">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强度等级</w:t>
            </w:r>
          </w:p>
        </w:tc>
        <w:tc>
          <w:tcPr>
            <w:tcW w:w="4709" w:type="dxa"/>
            <w:gridSpan w:val="4"/>
            <w:tcBorders>
              <w:top w:val="single" w:color="000000" w:sz="6" w:space="0"/>
              <w:right w:val="single" w:color="000000" w:sz="6" w:space="0"/>
            </w:tcBorders>
            <w:vAlign w:val="center"/>
          </w:tcPr>
          <w:p w14:paraId="6B295A9F">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构造柱在加固墙体的位置</w:t>
            </w:r>
          </w:p>
        </w:tc>
      </w:tr>
      <w:tr w14:paraId="41F144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jc w:val="center"/>
        </w:trPr>
        <w:tc>
          <w:tcPr>
            <w:tcW w:w="1419" w:type="dxa"/>
            <w:vMerge w:val="continue"/>
            <w:tcBorders>
              <w:top w:val="nil"/>
              <w:left w:val="single" w:color="000000" w:sz="6" w:space="0"/>
              <w:bottom w:val="nil"/>
            </w:tcBorders>
            <w:vAlign w:val="center"/>
          </w:tcPr>
          <w:p w14:paraId="2D3A7679">
            <w:pPr>
              <w:pStyle w:val="57"/>
              <w:spacing w:after="0" w:line="240" w:lineRule="auto"/>
              <w:rPr>
                <w:rFonts w:hint="default" w:ascii="Times New Roman" w:hAnsi="Times New Roman" w:eastAsia="宋体" w:cs="Times New Roman"/>
                <w:snapToGrid w:val="0"/>
                <w:color w:val="auto"/>
                <w:sz w:val="24"/>
                <w:szCs w:val="24"/>
                <w:highlight w:val="none"/>
                <w:lang w:eastAsia="en-US"/>
              </w:rPr>
            </w:pPr>
          </w:p>
        </w:tc>
        <w:tc>
          <w:tcPr>
            <w:tcW w:w="1037" w:type="dxa"/>
            <w:vMerge w:val="restart"/>
            <w:tcBorders>
              <w:bottom w:val="nil"/>
            </w:tcBorders>
            <w:vAlign w:val="center"/>
          </w:tcPr>
          <w:p w14:paraId="628D4CD7">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一端</w:t>
            </w:r>
          </w:p>
        </w:tc>
        <w:tc>
          <w:tcPr>
            <w:tcW w:w="2442" w:type="dxa"/>
            <w:gridSpan w:val="2"/>
            <w:vAlign w:val="center"/>
          </w:tcPr>
          <w:p w14:paraId="143A7A3C">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两端</w:t>
            </w:r>
          </w:p>
        </w:tc>
        <w:tc>
          <w:tcPr>
            <w:tcW w:w="1230" w:type="dxa"/>
            <w:vMerge w:val="restart"/>
            <w:tcBorders>
              <w:bottom w:val="nil"/>
              <w:right w:val="single" w:color="000000" w:sz="6" w:space="0"/>
            </w:tcBorders>
            <w:vAlign w:val="center"/>
          </w:tcPr>
          <w:p w14:paraId="5F5CB64C">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窗间墙中部</w:t>
            </w:r>
          </w:p>
        </w:tc>
      </w:tr>
      <w:tr w14:paraId="75CD7E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jc w:val="center"/>
        </w:trPr>
        <w:tc>
          <w:tcPr>
            <w:tcW w:w="1419" w:type="dxa"/>
            <w:vMerge w:val="continue"/>
            <w:tcBorders>
              <w:top w:val="nil"/>
              <w:left w:val="single" w:color="000000" w:sz="6" w:space="0"/>
            </w:tcBorders>
            <w:vAlign w:val="center"/>
          </w:tcPr>
          <w:p w14:paraId="45258D07">
            <w:pPr>
              <w:pStyle w:val="57"/>
              <w:spacing w:after="0" w:line="240" w:lineRule="auto"/>
              <w:rPr>
                <w:rFonts w:hint="default" w:ascii="Times New Roman" w:hAnsi="Times New Roman" w:eastAsia="宋体" w:cs="Times New Roman"/>
                <w:snapToGrid w:val="0"/>
                <w:color w:val="auto"/>
                <w:sz w:val="24"/>
                <w:szCs w:val="24"/>
                <w:highlight w:val="none"/>
                <w:lang w:eastAsia="en-US"/>
              </w:rPr>
            </w:pPr>
          </w:p>
        </w:tc>
        <w:tc>
          <w:tcPr>
            <w:tcW w:w="1037" w:type="dxa"/>
            <w:vMerge w:val="continue"/>
            <w:tcBorders>
              <w:top w:val="nil"/>
            </w:tcBorders>
            <w:vAlign w:val="center"/>
          </w:tcPr>
          <w:p w14:paraId="1B6536F9">
            <w:pPr>
              <w:pStyle w:val="57"/>
              <w:spacing w:after="0" w:line="240" w:lineRule="auto"/>
              <w:rPr>
                <w:rFonts w:hint="default" w:ascii="Times New Roman" w:hAnsi="Times New Roman" w:eastAsia="宋体" w:cs="Times New Roman"/>
                <w:snapToGrid w:val="0"/>
                <w:color w:val="auto"/>
                <w:sz w:val="24"/>
                <w:szCs w:val="24"/>
                <w:highlight w:val="none"/>
                <w:lang w:eastAsia="en-US"/>
              </w:rPr>
            </w:pPr>
          </w:p>
        </w:tc>
        <w:tc>
          <w:tcPr>
            <w:tcW w:w="1221" w:type="dxa"/>
            <w:vAlign w:val="center"/>
          </w:tcPr>
          <w:p w14:paraId="3BED7029">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墙体无洞</w:t>
            </w:r>
          </w:p>
        </w:tc>
        <w:tc>
          <w:tcPr>
            <w:tcW w:w="1221" w:type="dxa"/>
            <w:vAlign w:val="center"/>
          </w:tcPr>
          <w:p w14:paraId="597A9AA0">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墙体有一洞</w:t>
            </w:r>
          </w:p>
        </w:tc>
        <w:tc>
          <w:tcPr>
            <w:tcW w:w="1230" w:type="dxa"/>
            <w:vMerge w:val="continue"/>
            <w:tcBorders>
              <w:top w:val="nil"/>
              <w:right w:val="single" w:color="000000" w:sz="6" w:space="0"/>
            </w:tcBorders>
            <w:vAlign w:val="center"/>
          </w:tcPr>
          <w:p w14:paraId="044D598B">
            <w:pPr>
              <w:pStyle w:val="57"/>
              <w:spacing w:after="0" w:line="240" w:lineRule="auto"/>
              <w:rPr>
                <w:rFonts w:hint="default" w:ascii="Times New Roman" w:hAnsi="Times New Roman" w:eastAsia="宋体" w:cs="Times New Roman"/>
                <w:snapToGrid w:val="0"/>
                <w:color w:val="auto"/>
                <w:sz w:val="24"/>
                <w:szCs w:val="24"/>
                <w:highlight w:val="none"/>
                <w:lang w:eastAsia="en-US"/>
              </w:rPr>
            </w:pPr>
          </w:p>
        </w:tc>
      </w:tr>
      <w:tr w14:paraId="521466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jc w:val="center"/>
        </w:trPr>
        <w:tc>
          <w:tcPr>
            <w:tcW w:w="1419" w:type="dxa"/>
            <w:tcBorders>
              <w:left w:val="single" w:color="000000" w:sz="6" w:space="0"/>
            </w:tcBorders>
            <w:vAlign w:val="center"/>
          </w:tcPr>
          <w:p w14:paraId="4654EFA0">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≤M2.5</w:t>
            </w:r>
          </w:p>
        </w:tc>
        <w:tc>
          <w:tcPr>
            <w:tcW w:w="1037" w:type="dxa"/>
            <w:vAlign w:val="center"/>
          </w:tcPr>
          <w:p w14:paraId="3E010995">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1.1</w:t>
            </w:r>
          </w:p>
        </w:tc>
        <w:tc>
          <w:tcPr>
            <w:tcW w:w="1221" w:type="dxa"/>
            <w:vAlign w:val="center"/>
          </w:tcPr>
          <w:p w14:paraId="61418585">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1.3</w:t>
            </w:r>
          </w:p>
        </w:tc>
        <w:tc>
          <w:tcPr>
            <w:tcW w:w="1221" w:type="dxa"/>
            <w:vAlign w:val="center"/>
          </w:tcPr>
          <w:p w14:paraId="4E63B5EC">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1.2</w:t>
            </w:r>
          </w:p>
        </w:tc>
        <w:tc>
          <w:tcPr>
            <w:tcW w:w="1230" w:type="dxa"/>
            <w:tcBorders>
              <w:right w:val="single" w:color="000000" w:sz="6" w:space="0"/>
            </w:tcBorders>
            <w:vAlign w:val="center"/>
          </w:tcPr>
          <w:p w14:paraId="57FB0263">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1.2</w:t>
            </w:r>
          </w:p>
        </w:tc>
      </w:tr>
      <w:tr w14:paraId="429B2F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jc w:val="center"/>
        </w:trPr>
        <w:tc>
          <w:tcPr>
            <w:tcW w:w="1419" w:type="dxa"/>
            <w:tcBorders>
              <w:left w:val="single" w:color="000000" w:sz="6" w:space="0"/>
              <w:bottom w:val="single" w:color="000000" w:sz="6" w:space="0"/>
            </w:tcBorders>
            <w:vAlign w:val="center"/>
          </w:tcPr>
          <w:p w14:paraId="57841BAD">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≥M5</w:t>
            </w:r>
          </w:p>
        </w:tc>
        <w:tc>
          <w:tcPr>
            <w:tcW w:w="1037" w:type="dxa"/>
            <w:tcBorders>
              <w:bottom w:val="single" w:color="000000" w:sz="6" w:space="0"/>
            </w:tcBorders>
            <w:vAlign w:val="center"/>
          </w:tcPr>
          <w:p w14:paraId="3526EC80">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1.0</w:t>
            </w:r>
          </w:p>
        </w:tc>
        <w:tc>
          <w:tcPr>
            <w:tcW w:w="1221" w:type="dxa"/>
            <w:tcBorders>
              <w:bottom w:val="single" w:color="000000" w:sz="6" w:space="0"/>
            </w:tcBorders>
            <w:vAlign w:val="center"/>
          </w:tcPr>
          <w:p w14:paraId="65EC2C80">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1.1</w:t>
            </w:r>
          </w:p>
        </w:tc>
        <w:tc>
          <w:tcPr>
            <w:tcW w:w="1221" w:type="dxa"/>
            <w:tcBorders>
              <w:bottom w:val="single" w:color="000000" w:sz="6" w:space="0"/>
            </w:tcBorders>
            <w:vAlign w:val="center"/>
          </w:tcPr>
          <w:p w14:paraId="56ABD3BC">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1.1</w:t>
            </w:r>
          </w:p>
        </w:tc>
        <w:tc>
          <w:tcPr>
            <w:tcW w:w="1230" w:type="dxa"/>
            <w:tcBorders>
              <w:bottom w:val="single" w:color="000000" w:sz="6" w:space="0"/>
              <w:right w:val="single" w:color="000000" w:sz="6" w:space="0"/>
            </w:tcBorders>
            <w:vAlign w:val="center"/>
          </w:tcPr>
          <w:p w14:paraId="018F9BED">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1.1</w:t>
            </w:r>
          </w:p>
        </w:tc>
      </w:tr>
    </w:tbl>
    <w:p w14:paraId="6737812B">
      <w:pPr>
        <w:spacing w:before="120" w:beforeLines="50"/>
        <w:rPr>
          <w:rFonts w:hint="default" w:ascii="Times New Roman" w:hAnsi="Times New Roman" w:eastAsia="宋体" w:cs="Times New Roman"/>
          <w:color w:val="auto"/>
          <w:sz w:val="24"/>
          <w:szCs w:val="24"/>
          <w:highlight w:val="none"/>
        </w:rPr>
      </w:pPr>
      <w:bookmarkStart w:id="95" w:name="_Toc3678"/>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rPr>
        <w:t>.3.2</w:t>
      </w:r>
      <w:r>
        <w:rPr>
          <w:rFonts w:hint="default" w:ascii="Times New Roman" w:hAnsi="Times New Roman" w:eastAsia="宋体" w:cs="Times New Roman"/>
          <w:b/>
          <w:bCs/>
          <w:color w:val="auto"/>
          <w:sz w:val="24"/>
          <w:szCs w:val="24"/>
          <w:highlight w:val="none"/>
          <w:lang w:val="en-US" w:eastAsia="zh-CN"/>
        </w:rPr>
        <w:t>5</w:t>
      </w:r>
      <w:r>
        <w:rPr>
          <w:rFonts w:hint="default" w:ascii="Times New Roman" w:hAnsi="Times New Roman" w:eastAsia="宋体" w:cs="Times New Roman"/>
          <w:color w:val="auto"/>
          <w:sz w:val="24"/>
          <w:szCs w:val="24"/>
          <w:highlight w:val="none"/>
        </w:rPr>
        <w:t xml:space="preserve"> 增设构造柱加固砌体结构的构造，应符合下列要求：</w:t>
      </w:r>
      <w:bookmarkEnd w:id="95"/>
    </w:p>
    <w:p w14:paraId="322FB164">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1</w:t>
      </w:r>
      <w:r>
        <w:rPr>
          <w:rFonts w:hint="default" w:ascii="Times New Roman" w:hAnsi="Times New Roman" w:eastAsia="宋体" w:cs="Times New Roman"/>
          <w:color w:val="auto"/>
          <w:sz w:val="24"/>
          <w:szCs w:val="24"/>
          <w:highlight w:val="none"/>
          <w:lang w:eastAsia="zh-CN"/>
        </w:rPr>
        <w:t xml:space="preserve"> 构造柱截面可采用240mm×180mm或300mm×150mm；扁柱的截面面积不宜小于36000mm</w:t>
      </w:r>
      <w:r>
        <w:rPr>
          <w:rFonts w:hint="default" w:ascii="Times New Roman" w:hAnsi="Times New Roman" w:eastAsia="宋体" w:cs="Times New Roman"/>
          <w:color w:val="auto"/>
          <w:sz w:val="24"/>
          <w:szCs w:val="24"/>
          <w:highlight w:val="none"/>
          <w:vertAlign w:val="superscript"/>
          <w:lang w:eastAsia="zh-CN"/>
        </w:rPr>
        <w:t>2</w:t>
      </w:r>
      <w:r>
        <w:rPr>
          <w:rFonts w:hint="default" w:ascii="Times New Roman" w:hAnsi="Times New Roman" w:eastAsia="宋体" w:cs="Times New Roman"/>
          <w:color w:val="auto"/>
          <w:sz w:val="24"/>
          <w:szCs w:val="24"/>
          <w:highlight w:val="none"/>
          <w:lang w:eastAsia="zh-CN"/>
        </w:rPr>
        <w:t>，宽度不宜大于700mm，厚度不宜小于70mm；外墙转角可采用边长为600mm的Ｌ形等边角柱，厚度不应小于120mm。</w:t>
      </w:r>
    </w:p>
    <w:p w14:paraId="110DF8BF">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2</w:t>
      </w:r>
      <w:r>
        <w:rPr>
          <w:rFonts w:hint="default" w:ascii="Times New Roman" w:hAnsi="Times New Roman" w:eastAsia="宋体" w:cs="Times New Roman"/>
          <w:color w:val="auto"/>
          <w:sz w:val="24"/>
          <w:szCs w:val="24"/>
          <w:highlight w:val="none"/>
          <w:lang w:eastAsia="zh-CN"/>
        </w:rPr>
        <w:t xml:space="preserve"> 纵向钢筋不宜少于4</w:t>
      </w:r>
      <w:r>
        <w:rPr>
          <w:rFonts w:hint="default" w:ascii="Times New Roman" w:hAnsi="Times New Roman" w:eastAsia="宋体" w:cs="Times New Roman"/>
          <w:color w:val="auto"/>
          <w:sz w:val="24"/>
          <w:szCs w:val="24"/>
          <w:highlight w:val="none"/>
        </w:rPr>
        <w:t>φ</w:t>
      </w:r>
      <w:r>
        <w:rPr>
          <w:rFonts w:hint="default" w:ascii="Times New Roman" w:hAnsi="Times New Roman" w:eastAsia="宋体" w:cs="Times New Roman"/>
          <w:color w:val="auto"/>
          <w:sz w:val="24"/>
          <w:szCs w:val="24"/>
          <w:highlight w:val="none"/>
          <w:lang w:eastAsia="zh-CN"/>
        </w:rPr>
        <w:t>12，转角处纵向钢筋不宜少于12</w:t>
      </w:r>
      <w:r>
        <w:rPr>
          <w:rFonts w:hint="default" w:ascii="Times New Roman" w:hAnsi="Times New Roman" w:eastAsia="宋体" w:cs="Times New Roman"/>
          <w:color w:val="auto"/>
          <w:sz w:val="24"/>
          <w:szCs w:val="24"/>
          <w:highlight w:val="none"/>
        </w:rPr>
        <w:t>φ</w:t>
      </w:r>
      <w:r>
        <w:rPr>
          <w:rFonts w:hint="default" w:ascii="Times New Roman" w:hAnsi="Times New Roman" w:eastAsia="宋体" w:cs="Times New Roman"/>
          <w:color w:val="auto"/>
          <w:sz w:val="24"/>
          <w:szCs w:val="24"/>
          <w:highlight w:val="none"/>
          <w:lang w:eastAsia="zh-CN"/>
        </w:rPr>
        <w:t>12，并宜双排布置；箍筋可采用</w:t>
      </w:r>
      <w:r>
        <w:rPr>
          <w:rFonts w:hint="default" w:ascii="Times New Roman" w:hAnsi="Times New Roman" w:eastAsia="宋体" w:cs="Times New Roman"/>
          <w:color w:val="auto"/>
          <w:sz w:val="24"/>
          <w:szCs w:val="24"/>
          <w:highlight w:val="none"/>
        </w:rPr>
        <w:t>φ</w:t>
      </w:r>
      <w:r>
        <w:rPr>
          <w:rFonts w:hint="default" w:ascii="Times New Roman" w:hAnsi="Times New Roman" w:eastAsia="宋体" w:cs="Times New Roman"/>
          <w:color w:val="auto"/>
          <w:sz w:val="24"/>
          <w:szCs w:val="24"/>
          <w:highlight w:val="none"/>
          <w:lang w:eastAsia="zh-CN"/>
        </w:rPr>
        <w:t>6，其间距宜为150～200mm；在楼、屋盖上下各500mm范围内的箍筋间距不应大于100mm。</w:t>
      </w:r>
    </w:p>
    <w:p w14:paraId="309A1ECC">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3</w:t>
      </w:r>
      <w:r>
        <w:rPr>
          <w:rFonts w:hint="default" w:ascii="Times New Roman" w:hAnsi="Times New Roman" w:eastAsia="宋体" w:cs="Times New Roman"/>
          <w:color w:val="auto"/>
          <w:sz w:val="24"/>
          <w:szCs w:val="24"/>
          <w:highlight w:val="none"/>
          <w:lang w:eastAsia="zh-CN"/>
        </w:rPr>
        <w:t xml:space="preserve"> 构造柱应与墙体可靠连接，宜在楼层1/3和2/3层高处同时设置拉结钢筋和销键与墙体连接，亦可沿墙体高度每隔500mm设置压浆锚杆、锚栓或植筋与墙体连接；在室外地坪标高和外墙基础的大方角处应设销键、压浆锚杆、锚栓或植筋与墙体连接。</w:t>
      </w:r>
    </w:p>
    <w:p w14:paraId="796CBE45">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4</w:t>
      </w:r>
      <w:r>
        <w:rPr>
          <w:rFonts w:hint="default" w:ascii="Times New Roman" w:hAnsi="Times New Roman" w:eastAsia="宋体" w:cs="Times New Roman"/>
          <w:color w:val="auto"/>
          <w:sz w:val="24"/>
          <w:szCs w:val="24"/>
          <w:highlight w:val="none"/>
          <w:lang w:eastAsia="zh-CN"/>
        </w:rPr>
        <w:t xml:space="preserve"> 构造柱应做基础，埋深宜与外墙基础相同，基础截面应由设计人员根据实际受力情况和地基情况验算确定。</w:t>
      </w:r>
    </w:p>
    <w:p w14:paraId="3B4ADCD7">
      <w:pPr>
        <w:spacing w:line="360" w:lineRule="exact"/>
        <w:rPr>
          <w:rFonts w:hint="default" w:ascii="Times New Roman" w:hAnsi="Times New Roman" w:eastAsia="宋体" w:cs="Times New Roman"/>
          <w:color w:val="auto"/>
          <w:sz w:val="24"/>
          <w:szCs w:val="24"/>
          <w:highlight w:val="none"/>
        </w:rPr>
      </w:pPr>
      <w:bookmarkStart w:id="96" w:name="_Toc19767"/>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rPr>
        <w:t>.3.2</w:t>
      </w:r>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color w:val="auto"/>
          <w:sz w:val="24"/>
          <w:szCs w:val="24"/>
          <w:highlight w:val="none"/>
        </w:rPr>
        <w:t xml:space="preserve"> 拉结钢筋、销键、压浆锚杆和锚筋应符合下列要求：</w:t>
      </w:r>
      <w:bookmarkEnd w:id="96"/>
    </w:p>
    <w:p w14:paraId="3F0B2FA3">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1</w:t>
      </w:r>
      <w:r>
        <w:rPr>
          <w:rFonts w:hint="default" w:ascii="Times New Roman" w:hAnsi="Times New Roman" w:eastAsia="宋体" w:cs="Times New Roman"/>
          <w:color w:val="auto"/>
          <w:sz w:val="24"/>
          <w:szCs w:val="24"/>
          <w:highlight w:val="none"/>
          <w:lang w:eastAsia="zh-CN"/>
        </w:rPr>
        <w:t xml:space="preserve"> 拉结钢筋可采用2</w:t>
      </w:r>
      <w:r>
        <w:rPr>
          <w:rFonts w:hint="default" w:ascii="Times New Roman" w:hAnsi="Times New Roman" w:eastAsia="宋体" w:cs="Times New Roman"/>
          <w:color w:val="auto"/>
          <w:sz w:val="24"/>
          <w:szCs w:val="24"/>
          <w:highlight w:val="none"/>
        </w:rPr>
        <w:t>φ</w:t>
      </w:r>
      <w:r>
        <w:rPr>
          <w:rFonts w:hint="default" w:ascii="Times New Roman" w:hAnsi="Times New Roman" w:eastAsia="宋体" w:cs="Times New Roman"/>
          <w:color w:val="auto"/>
          <w:sz w:val="24"/>
          <w:szCs w:val="24"/>
          <w:highlight w:val="none"/>
          <w:lang w:eastAsia="zh-CN"/>
        </w:rPr>
        <w:t>12的钢筋，长度不应小于1.5m，应紧贴横墙布置；其一端应锚在增设的构造柱内，另一端应锚入横墙的孔洞内；孔洞尺寸宜采用120mm×120mm，拉结钢筋的锚固长度不应小于其直径的15倍，并用混凝土填实。</w:t>
      </w:r>
    </w:p>
    <w:p w14:paraId="2F16E7B8">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2</w:t>
      </w:r>
      <w:r>
        <w:rPr>
          <w:rFonts w:hint="default" w:ascii="Times New Roman" w:hAnsi="Times New Roman" w:eastAsia="宋体" w:cs="Times New Roman"/>
          <w:color w:val="auto"/>
          <w:sz w:val="24"/>
          <w:szCs w:val="24"/>
          <w:highlight w:val="none"/>
          <w:lang w:eastAsia="zh-CN"/>
        </w:rPr>
        <w:t xml:space="preserve"> 销键截面宜为240mm×180mm，入墙深度可为180mm，销键应配4</w:t>
      </w:r>
      <w:r>
        <w:rPr>
          <w:rFonts w:hint="default" w:ascii="Times New Roman" w:hAnsi="Times New Roman" w:eastAsia="宋体" w:cs="Times New Roman"/>
          <w:color w:val="auto"/>
          <w:sz w:val="24"/>
          <w:szCs w:val="24"/>
          <w:highlight w:val="none"/>
        </w:rPr>
        <w:t>φ</w:t>
      </w:r>
      <w:r>
        <w:rPr>
          <w:rFonts w:hint="default" w:ascii="Times New Roman" w:hAnsi="Times New Roman" w:eastAsia="宋体" w:cs="Times New Roman"/>
          <w:color w:val="auto"/>
          <w:sz w:val="24"/>
          <w:szCs w:val="24"/>
          <w:highlight w:val="none"/>
          <w:lang w:eastAsia="zh-CN"/>
        </w:rPr>
        <w:t>18钢筋和2</w:t>
      </w:r>
      <w:r>
        <w:rPr>
          <w:rFonts w:hint="default" w:ascii="Times New Roman" w:hAnsi="Times New Roman" w:eastAsia="宋体" w:cs="Times New Roman"/>
          <w:color w:val="auto"/>
          <w:sz w:val="24"/>
          <w:szCs w:val="24"/>
          <w:highlight w:val="none"/>
        </w:rPr>
        <w:t>φ</w:t>
      </w:r>
      <w:r>
        <w:rPr>
          <w:rFonts w:hint="default" w:ascii="Times New Roman" w:hAnsi="Times New Roman" w:eastAsia="宋体" w:cs="Times New Roman"/>
          <w:color w:val="auto"/>
          <w:sz w:val="24"/>
          <w:szCs w:val="24"/>
          <w:highlight w:val="none"/>
          <w:lang w:eastAsia="zh-CN"/>
        </w:rPr>
        <w:t>6箍筋，销键与增设的构造柱必须同时浇筑。</w:t>
      </w:r>
    </w:p>
    <w:p w14:paraId="047BA778">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3</w:t>
      </w:r>
      <w:r>
        <w:rPr>
          <w:rFonts w:hint="default" w:ascii="Times New Roman" w:hAnsi="Times New Roman" w:eastAsia="宋体" w:cs="Times New Roman"/>
          <w:color w:val="auto"/>
          <w:sz w:val="24"/>
          <w:szCs w:val="24"/>
          <w:highlight w:val="none"/>
          <w:lang w:eastAsia="zh-CN"/>
        </w:rPr>
        <w:t xml:space="preserve"> 压浆锚杆可用1</w:t>
      </w:r>
      <w:r>
        <w:rPr>
          <w:rFonts w:hint="default" w:ascii="Times New Roman" w:hAnsi="Times New Roman" w:eastAsia="宋体" w:cs="Times New Roman"/>
          <w:color w:val="auto"/>
          <w:sz w:val="24"/>
          <w:szCs w:val="24"/>
          <w:highlight w:val="none"/>
        </w:rPr>
        <w:t>φ</w:t>
      </w:r>
      <w:r>
        <w:rPr>
          <w:rFonts w:hint="default" w:ascii="Times New Roman" w:hAnsi="Times New Roman" w:eastAsia="宋体" w:cs="Times New Roman"/>
          <w:color w:val="auto"/>
          <w:sz w:val="24"/>
          <w:szCs w:val="24"/>
          <w:highlight w:val="none"/>
          <w:lang w:eastAsia="zh-CN"/>
        </w:rPr>
        <w:t>14的钢筋，在柱与横墙内锚固长度均不应小于锚杆直径的35倍，锚浆可采用水玻璃砂浆或专用锚固材料，锚杆应先在墙面固定后，再浇筑构造柱混凝土，墙体锚孔压浆前应用压力水将孔洞冲刷干净。</w:t>
      </w:r>
    </w:p>
    <w:p w14:paraId="094B102A">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4</w:t>
      </w:r>
      <w:r>
        <w:rPr>
          <w:rFonts w:hint="default" w:ascii="Times New Roman" w:hAnsi="Times New Roman" w:eastAsia="宋体" w:cs="Times New Roman"/>
          <w:color w:val="auto"/>
          <w:sz w:val="24"/>
          <w:szCs w:val="24"/>
          <w:highlight w:val="none"/>
          <w:lang w:eastAsia="zh-CN"/>
        </w:rPr>
        <w:t xml:space="preserve"> 锚筋适用于砌筑砂浆强度等级不低于M2.5的实心砖墙体，并可采用</w:t>
      </w:r>
      <w:r>
        <w:rPr>
          <w:rFonts w:hint="default" w:ascii="Times New Roman" w:hAnsi="Times New Roman" w:eastAsia="宋体" w:cs="Times New Roman"/>
          <w:color w:val="auto"/>
          <w:sz w:val="24"/>
          <w:szCs w:val="24"/>
          <w:highlight w:val="none"/>
        </w:rPr>
        <w:t>φ</w:t>
      </w:r>
      <w:r>
        <w:rPr>
          <w:rFonts w:hint="default" w:ascii="Times New Roman" w:hAnsi="Times New Roman" w:eastAsia="宋体" w:cs="Times New Roman"/>
          <w:color w:val="auto"/>
          <w:sz w:val="24"/>
          <w:szCs w:val="24"/>
          <w:highlight w:val="none"/>
          <w:lang w:eastAsia="zh-CN"/>
        </w:rPr>
        <w:t>12钢筋；锚孔直径可取25mm，锚入深度可采用150～200mm。</w:t>
      </w:r>
    </w:p>
    <w:p w14:paraId="67FDC27F">
      <w:pPr>
        <w:spacing w:before="120" w:after="120"/>
        <w:jc w:val="center"/>
        <w:rPr>
          <w:rFonts w:hint="default" w:ascii="Times New Roman" w:hAnsi="Times New Roman" w:eastAsia="宋体" w:cs="Times New Roman"/>
          <w:color w:val="auto"/>
          <w:sz w:val="24"/>
          <w:szCs w:val="24"/>
          <w:highlight w:val="none"/>
        </w:rPr>
      </w:pPr>
      <w:bookmarkStart w:id="97" w:name="_Toc27022"/>
      <w:r>
        <w:rPr>
          <w:rFonts w:hint="default" w:ascii="Times New Roman" w:hAnsi="Times New Roman" w:eastAsia="宋体" w:cs="Times New Roman"/>
          <w:b/>
          <w:color w:val="auto"/>
          <w:sz w:val="24"/>
          <w:szCs w:val="24"/>
          <w:highlight w:val="none"/>
        </w:rPr>
        <w:t xml:space="preserve">Ⅶ </w:t>
      </w:r>
      <w:r>
        <w:rPr>
          <w:rFonts w:hint="default" w:ascii="Times New Roman" w:hAnsi="Times New Roman" w:eastAsia="宋体" w:cs="Times New Roman"/>
          <w:color w:val="auto"/>
          <w:sz w:val="24"/>
          <w:szCs w:val="24"/>
          <w:highlight w:val="none"/>
        </w:rPr>
        <w:t>增设圈梁-钢拉杆加固法</w:t>
      </w:r>
      <w:bookmarkEnd w:id="97"/>
    </w:p>
    <w:p w14:paraId="4FDA94CC">
      <w:pPr>
        <w:rPr>
          <w:rFonts w:hint="default" w:ascii="Times New Roman" w:hAnsi="Times New Roman" w:eastAsia="宋体" w:cs="Times New Roman"/>
          <w:color w:val="auto"/>
          <w:sz w:val="24"/>
          <w:szCs w:val="24"/>
          <w:highlight w:val="none"/>
        </w:rPr>
      </w:pPr>
      <w:bookmarkStart w:id="98" w:name="_Toc1935"/>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rPr>
        <w:t>.3.2</w:t>
      </w:r>
      <w:r>
        <w:rPr>
          <w:rFonts w:hint="default" w:ascii="Times New Roman" w:hAnsi="Times New Roman" w:eastAsia="宋体" w:cs="Times New Roman"/>
          <w:b/>
          <w:bCs/>
          <w:color w:val="auto"/>
          <w:sz w:val="24"/>
          <w:szCs w:val="24"/>
          <w:highlight w:val="none"/>
          <w:lang w:val="en-US" w:eastAsia="zh-CN"/>
        </w:rPr>
        <w:t>7</w:t>
      </w:r>
      <w:r>
        <w:rPr>
          <w:rFonts w:hint="default" w:ascii="Times New Roman" w:hAnsi="Times New Roman" w:eastAsia="宋体" w:cs="Times New Roman"/>
          <w:color w:val="auto"/>
          <w:sz w:val="24"/>
          <w:szCs w:val="24"/>
          <w:highlight w:val="none"/>
        </w:rPr>
        <w:t xml:space="preserve"> 圈梁和钢拉杆的材料性能指标，应符合下列要求：</w:t>
      </w:r>
      <w:bookmarkEnd w:id="98"/>
    </w:p>
    <w:p w14:paraId="79A0D699">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1</w:t>
      </w:r>
      <w:r>
        <w:rPr>
          <w:rFonts w:hint="default" w:ascii="Times New Roman" w:hAnsi="Times New Roman" w:eastAsia="宋体" w:cs="Times New Roman"/>
          <w:color w:val="auto"/>
          <w:sz w:val="24"/>
          <w:szCs w:val="24"/>
          <w:highlight w:val="none"/>
          <w:lang w:eastAsia="zh-CN"/>
        </w:rPr>
        <w:t xml:space="preserve"> 混凝土的强度等级不应低于C25。</w:t>
      </w:r>
    </w:p>
    <w:p w14:paraId="36566B4E">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2</w:t>
      </w:r>
      <w:r>
        <w:rPr>
          <w:rFonts w:hint="default" w:ascii="Times New Roman" w:hAnsi="Times New Roman" w:eastAsia="宋体" w:cs="Times New Roman"/>
          <w:color w:val="auto"/>
          <w:sz w:val="24"/>
          <w:szCs w:val="24"/>
          <w:highlight w:val="none"/>
          <w:lang w:eastAsia="zh-CN"/>
        </w:rPr>
        <w:t xml:space="preserve"> 普通钢筋的强度等级宜选用HRB400和HPB300钢筋。</w:t>
      </w:r>
    </w:p>
    <w:p w14:paraId="195F6293">
      <w:pPr>
        <w:rPr>
          <w:rFonts w:hint="default" w:ascii="Times New Roman" w:hAnsi="Times New Roman" w:eastAsia="宋体" w:cs="Times New Roman"/>
          <w:color w:val="auto"/>
          <w:sz w:val="24"/>
          <w:szCs w:val="24"/>
          <w:highlight w:val="none"/>
        </w:rPr>
      </w:pPr>
      <w:bookmarkStart w:id="99" w:name="_Toc7021"/>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rPr>
        <w:t>.3.2</w:t>
      </w:r>
      <w:r>
        <w:rPr>
          <w:rFonts w:hint="default" w:ascii="Times New Roman" w:hAnsi="Times New Roman" w:eastAsia="宋体" w:cs="Times New Roman"/>
          <w:b/>
          <w:bCs/>
          <w:color w:val="auto"/>
          <w:sz w:val="24"/>
          <w:szCs w:val="24"/>
          <w:highlight w:val="none"/>
          <w:lang w:val="en-US" w:eastAsia="zh-CN"/>
        </w:rPr>
        <w:t>8</w:t>
      </w:r>
      <w:r>
        <w:rPr>
          <w:rFonts w:hint="default" w:ascii="Times New Roman" w:hAnsi="Times New Roman" w:eastAsia="宋体" w:cs="Times New Roman"/>
          <w:color w:val="auto"/>
          <w:sz w:val="24"/>
          <w:szCs w:val="24"/>
          <w:highlight w:val="none"/>
        </w:rPr>
        <w:t xml:space="preserve"> 圈梁的布置和构造应符合下列要求：</w:t>
      </w:r>
      <w:bookmarkEnd w:id="99"/>
    </w:p>
    <w:p w14:paraId="0D513B8F">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1</w:t>
      </w:r>
      <w:r>
        <w:rPr>
          <w:rFonts w:hint="default" w:ascii="Times New Roman" w:hAnsi="Times New Roman" w:eastAsia="宋体" w:cs="Times New Roman"/>
          <w:color w:val="auto"/>
          <w:sz w:val="24"/>
          <w:szCs w:val="24"/>
          <w:highlight w:val="none"/>
          <w:lang w:eastAsia="zh-CN"/>
        </w:rPr>
        <w:t xml:space="preserve"> 增设的圈梁宜在楼、屋盖标高的同一平面内闭合；在阳台、楼梯间等圈梁标高变换处，应有局部加强措施；变形缝两侧的圈梁应分别闭合。</w:t>
      </w:r>
    </w:p>
    <w:p w14:paraId="3A88A7E9">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2</w:t>
      </w:r>
      <w:r>
        <w:rPr>
          <w:rFonts w:hint="default" w:ascii="Times New Roman" w:hAnsi="Times New Roman" w:eastAsia="宋体" w:cs="Times New Roman"/>
          <w:color w:val="auto"/>
          <w:sz w:val="24"/>
          <w:szCs w:val="24"/>
          <w:highlight w:val="none"/>
          <w:lang w:eastAsia="zh-CN"/>
        </w:rPr>
        <w:t xml:space="preserve"> 圈梁应现浇，圈梁截面高度不应小于180mm，宽度不应小于120mm；设防烈度7、8度时层数不超过3层的房屋，顶层可采用型钢圈梁，当采用槽钢时不应小于［8，当采用角钢时不应小于∟75×6。</w:t>
      </w:r>
    </w:p>
    <w:p w14:paraId="6291D4CE">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3</w:t>
      </w:r>
      <w:r>
        <w:rPr>
          <w:rFonts w:hint="default" w:ascii="Times New Roman" w:hAnsi="Times New Roman" w:eastAsia="宋体" w:cs="Times New Roman"/>
          <w:color w:val="auto"/>
          <w:sz w:val="24"/>
          <w:szCs w:val="24"/>
          <w:highlight w:val="none"/>
          <w:lang w:eastAsia="zh-CN"/>
        </w:rPr>
        <w:t xml:space="preserve"> 圈梁的纵向钢筋，设防烈度7、8、9度时可分别采用4</w:t>
      </w:r>
      <w:r>
        <w:rPr>
          <w:rFonts w:hint="default" w:ascii="Times New Roman" w:hAnsi="Times New Roman" w:eastAsia="宋体" w:cs="Times New Roman"/>
          <w:color w:val="auto"/>
          <w:sz w:val="24"/>
          <w:szCs w:val="24"/>
          <w:highlight w:val="none"/>
        </w:rPr>
        <w:t>φ</w:t>
      </w:r>
      <w:r>
        <w:rPr>
          <w:rFonts w:hint="default" w:ascii="Times New Roman" w:hAnsi="Times New Roman" w:eastAsia="宋体" w:cs="Times New Roman"/>
          <w:color w:val="auto"/>
          <w:sz w:val="24"/>
          <w:szCs w:val="24"/>
          <w:highlight w:val="none"/>
          <w:lang w:eastAsia="zh-CN"/>
        </w:rPr>
        <w:t>10、4</w:t>
      </w:r>
      <w:r>
        <w:rPr>
          <w:rFonts w:hint="default" w:ascii="Times New Roman" w:hAnsi="Times New Roman" w:eastAsia="宋体" w:cs="Times New Roman"/>
          <w:color w:val="auto"/>
          <w:sz w:val="24"/>
          <w:szCs w:val="24"/>
          <w:highlight w:val="none"/>
        </w:rPr>
        <w:t>φ</w:t>
      </w:r>
      <w:r>
        <w:rPr>
          <w:rFonts w:hint="default" w:ascii="Times New Roman" w:hAnsi="Times New Roman" w:eastAsia="宋体" w:cs="Times New Roman"/>
          <w:color w:val="auto"/>
          <w:sz w:val="24"/>
          <w:szCs w:val="24"/>
          <w:highlight w:val="none"/>
          <w:lang w:eastAsia="zh-CN"/>
        </w:rPr>
        <w:t>12和4</w:t>
      </w:r>
      <w:r>
        <w:rPr>
          <w:rFonts w:hint="default" w:ascii="Times New Roman" w:hAnsi="Times New Roman" w:eastAsia="宋体" w:cs="Times New Roman"/>
          <w:color w:val="auto"/>
          <w:sz w:val="24"/>
          <w:szCs w:val="24"/>
          <w:highlight w:val="none"/>
        </w:rPr>
        <w:t>φ</w:t>
      </w:r>
      <w:r>
        <w:rPr>
          <w:rFonts w:hint="default" w:ascii="Times New Roman" w:hAnsi="Times New Roman" w:eastAsia="宋体" w:cs="Times New Roman"/>
          <w:color w:val="auto"/>
          <w:sz w:val="24"/>
          <w:szCs w:val="24"/>
          <w:highlight w:val="none"/>
          <w:lang w:eastAsia="zh-CN"/>
        </w:rPr>
        <w:t>14；箍筋可采用</w:t>
      </w:r>
      <w:r>
        <w:rPr>
          <w:rFonts w:hint="default" w:ascii="Times New Roman" w:hAnsi="Times New Roman" w:eastAsia="宋体" w:cs="Times New Roman"/>
          <w:color w:val="auto"/>
          <w:sz w:val="24"/>
          <w:szCs w:val="24"/>
          <w:highlight w:val="none"/>
        </w:rPr>
        <w:t>φ</w:t>
      </w:r>
      <w:r>
        <w:rPr>
          <w:rFonts w:hint="default" w:ascii="Times New Roman" w:hAnsi="Times New Roman" w:eastAsia="宋体" w:cs="Times New Roman"/>
          <w:color w:val="auto"/>
          <w:sz w:val="24"/>
          <w:szCs w:val="24"/>
          <w:highlight w:val="none"/>
          <w:lang w:eastAsia="zh-CN"/>
        </w:rPr>
        <w:t>6，其间距不宜大于200mm；增设构造柱和钢拉杆锚固点两侧各500mm范围内的箍筋应加密。</w:t>
      </w:r>
    </w:p>
    <w:p w14:paraId="68F279E2">
      <w:pPr>
        <w:spacing w:line="36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rPr>
        <w:t>.3.2</w:t>
      </w:r>
      <w:r>
        <w:rPr>
          <w:rFonts w:hint="default" w:ascii="Times New Roman" w:hAnsi="Times New Roman" w:eastAsia="宋体" w:cs="Times New Roman"/>
          <w:b/>
          <w:bCs/>
          <w:color w:val="auto"/>
          <w:sz w:val="24"/>
          <w:szCs w:val="24"/>
          <w:highlight w:val="none"/>
          <w:lang w:val="en-US" w:eastAsia="zh-CN"/>
        </w:rPr>
        <w:t>9</w:t>
      </w:r>
      <w:r>
        <w:rPr>
          <w:rFonts w:hint="default" w:ascii="Times New Roman" w:hAnsi="Times New Roman" w:eastAsia="宋体" w:cs="Times New Roman"/>
          <w:color w:val="auto"/>
          <w:sz w:val="24"/>
          <w:szCs w:val="24"/>
          <w:highlight w:val="none"/>
        </w:rPr>
        <w:t xml:space="preserve"> 增设的圈梁应与砌体墙可靠连接；钢筋混凝土圈梁可采用销键、锚筋或锚栓连接；型钢圈梁宜采用普通螺栓连接。采用的销键、锚筋、锚栓和螺栓应符合下列要求：</w:t>
      </w:r>
    </w:p>
    <w:p w14:paraId="3AD299B6">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1</w:t>
      </w:r>
      <w:r>
        <w:rPr>
          <w:rFonts w:hint="default" w:ascii="Times New Roman" w:hAnsi="Times New Roman" w:eastAsia="宋体" w:cs="Times New Roman"/>
          <w:color w:val="auto"/>
          <w:sz w:val="24"/>
          <w:szCs w:val="24"/>
          <w:highlight w:val="none"/>
          <w:lang w:eastAsia="zh-CN"/>
        </w:rPr>
        <w:t xml:space="preserve"> 销键的高度宜与圈梁相同，宽度和锚入墙内的深度均不应小于180mm，主筋可采用4</w:t>
      </w:r>
      <w:r>
        <w:rPr>
          <w:rFonts w:hint="default" w:ascii="Times New Roman" w:hAnsi="Times New Roman" w:eastAsia="宋体" w:cs="Times New Roman"/>
          <w:color w:val="auto"/>
          <w:sz w:val="24"/>
          <w:szCs w:val="24"/>
          <w:highlight w:val="none"/>
        </w:rPr>
        <w:t>φ</w:t>
      </w:r>
      <w:r>
        <w:rPr>
          <w:rFonts w:hint="default" w:ascii="Times New Roman" w:hAnsi="Times New Roman" w:eastAsia="宋体" w:cs="Times New Roman"/>
          <w:color w:val="auto"/>
          <w:sz w:val="24"/>
          <w:szCs w:val="24"/>
          <w:highlight w:val="none"/>
          <w:lang w:eastAsia="zh-CN"/>
        </w:rPr>
        <w:t>8，箍筋可采用</w:t>
      </w:r>
      <w:r>
        <w:rPr>
          <w:rFonts w:hint="default" w:ascii="Times New Roman" w:hAnsi="Times New Roman" w:eastAsia="宋体" w:cs="Times New Roman"/>
          <w:color w:val="auto"/>
          <w:sz w:val="24"/>
          <w:szCs w:val="24"/>
          <w:highlight w:val="none"/>
        </w:rPr>
        <w:t>φ</w:t>
      </w:r>
      <w:r>
        <w:rPr>
          <w:rFonts w:hint="default" w:ascii="Times New Roman" w:hAnsi="Times New Roman" w:eastAsia="宋体" w:cs="Times New Roman"/>
          <w:color w:val="auto"/>
          <w:sz w:val="24"/>
          <w:szCs w:val="24"/>
          <w:highlight w:val="none"/>
          <w:lang w:eastAsia="zh-CN"/>
        </w:rPr>
        <w:t>6。销键宜设在窗口两侧，其水平间距可采用1～2m。</w:t>
      </w:r>
    </w:p>
    <w:p w14:paraId="081F92F2">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2</w:t>
      </w:r>
      <w:r>
        <w:rPr>
          <w:rFonts w:hint="default" w:ascii="Times New Roman" w:hAnsi="Times New Roman" w:eastAsia="宋体" w:cs="Times New Roman"/>
          <w:color w:val="auto"/>
          <w:sz w:val="24"/>
          <w:szCs w:val="24"/>
          <w:highlight w:val="none"/>
          <w:lang w:eastAsia="zh-CN"/>
        </w:rPr>
        <w:t xml:space="preserve"> 锚栓和锚筋的直径不应小于12mm，锚入圈梁内的垫板尺寸可采用60mm×60mm×6mm，间距可采用1～1.2m。</w:t>
      </w:r>
    </w:p>
    <w:p w14:paraId="2C472C9C">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3</w:t>
      </w:r>
      <w:r>
        <w:rPr>
          <w:rFonts w:hint="default" w:ascii="Times New Roman" w:hAnsi="Times New Roman" w:eastAsia="宋体" w:cs="Times New Roman"/>
          <w:color w:val="auto"/>
          <w:sz w:val="24"/>
          <w:szCs w:val="24"/>
          <w:highlight w:val="none"/>
          <w:lang w:eastAsia="zh-CN"/>
        </w:rPr>
        <w:t xml:space="preserve"> 型钢圈梁与墙体连接采用普通螺栓拉结时，螺杆直径不应小于12mm，间距可采用1～1.2m。</w:t>
      </w:r>
    </w:p>
    <w:p w14:paraId="3E06DFFB">
      <w:pPr>
        <w:spacing w:line="36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rPr>
        <w:t>.3.</w:t>
      </w:r>
      <w:r>
        <w:rPr>
          <w:rFonts w:hint="default" w:ascii="Times New Roman" w:hAnsi="Times New Roman" w:eastAsia="宋体" w:cs="Times New Roman"/>
          <w:b/>
          <w:bCs/>
          <w:color w:val="auto"/>
          <w:sz w:val="24"/>
          <w:szCs w:val="24"/>
          <w:highlight w:val="none"/>
          <w:lang w:val="en-US" w:eastAsia="zh-CN"/>
        </w:rPr>
        <w:t>30</w:t>
      </w:r>
      <w:r>
        <w:rPr>
          <w:rFonts w:hint="default" w:ascii="Times New Roman" w:hAnsi="Times New Roman" w:eastAsia="宋体" w:cs="Times New Roman"/>
          <w:color w:val="auto"/>
          <w:sz w:val="24"/>
          <w:szCs w:val="24"/>
          <w:highlight w:val="none"/>
        </w:rPr>
        <w:t xml:space="preserve"> 对于A类砌体结构房屋，加固后，圈梁布置和构造的体系影响系数应取1.0。</w:t>
      </w:r>
    </w:p>
    <w:p w14:paraId="35487903">
      <w:pPr>
        <w:spacing w:line="360" w:lineRule="exact"/>
        <w:rPr>
          <w:rFonts w:hint="default" w:ascii="Times New Roman" w:hAnsi="Times New Roman" w:eastAsia="宋体" w:cs="Times New Roman"/>
          <w:color w:val="auto"/>
          <w:sz w:val="24"/>
          <w:szCs w:val="24"/>
          <w:highlight w:val="none"/>
        </w:rPr>
      </w:pPr>
      <w:bookmarkStart w:id="100" w:name="_Toc352"/>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rPr>
        <w:t>.3.</w:t>
      </w:r>
      <w:r>
        <w:rPr>
          <w:rFonts w:hint="default" w:ascii="Times New Roman" w:hAnsi="Times New Roman" w:eastAsia="宋体" w:cs="Times New Roman"/>
          <w:b/>
          <w:bCs/>
          <w:color w:val="auto"/>
          <w:sz w:val="24"/>
          <w:szCs w:val="24"/>
          <w:highlight w:val="none"/>
          <w:lang w:val="en-US" w:eastAsia="zh-CN"/>
        </w:rPr>
        <w:t>31</w:t>
      </w:r>
      <w:r>
        <w:rPr>
          <w:rFonts w:hint="default" w:ascii="Times New Roman" w:hAnsi="Times New Roman" w:eastAsia="宋体" w:cs="Times New Roman"/>
          <w:color w:val="auto"/>
          <w:sz w:val="24"/>
          <w:szCs w:val="24"/>
          <w:highlight w:val="none"/>
        </w:rPr>
        <w:t xml:space="preserve"> 代替内墙圈梁的钢拉杆应符合下列要求：</w:t>
      </w:r>
      <w:bookmarkEnd w:id="100"/>
    </w:p>
    <w:p w14:paraId="4EACE7D2">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1</w:t>
      </w:r>
      <w:r>
        <w:rPr>
          <w:rFonts w:hint="default" w:ascii="Times New Roman" w:hAnsi="Times New Roman" w:eastAsia="宋体" w:cs="Times New Roman"/>
          <w:color w:val="auto"/>
          <w:sz w:val="24"/>
          <w:szCs w:val="24"/>
          <w:highlight w:val="none"/>
          <w:lang w:eastAsia="zh-CN"/>
        </w:rPr>
        <w:t xml:space="preserve"> 当每开间均有横墙时应至少隔开间采用2</w:t>
      </w:r>
      <w:r>
        <w:rPr>
          <w:rFonts w:hint="default" w:ascii="Times New Roman" w:hAnsi="Times New Roman" w:eastAsia="宋体" w:cs="Times New Roman"/>
          <w:color w:val="auto"/>
          <w:sz w:val="24"/>
          <w:szCs w:val="24"/>
          <w:highlight w:val="none"/>
        </w:rPr>
        <w:t>φ</w:t>
      </w:r>
      <w:r>
        <w:rPr>
          <w:rFonts w:hint="default" w:ascii="Times New Roman" w:hAnsi="Times New Roman" w:eastAsia="宋体" w:cs="Times New Roman"/>
          <w:color w:val="auto"/>
          <w:sz w:val="24"/>
          <w:szCs w:val="24"/>
          <w:highlight w:val="none"/>
          <w:lang w:eastAsia="zh-CN"/>
        </w:rPr>
        <w:t>14的钢筋，多开间有横墙时在横墙两侧的钢拉杆直径不应小于16mm。</w:t>
      </w:r>
    </w:p>
    <w:p w14:paraId="28823866">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2</w:t>
      </w:r>
      <w:r>
        <w:rPr>
          <w:rFonts w:hint="default" w:ascii="Times New Roman" w:hAnsi="Times New Roman" w:eastAsia="宋体" w:cs="Times New Roman"/>
          <w:color w:val="auto"/>
          <w:sz w:val="24"/>
          <w:szCs w:val="24"/>
          <w:highlight w:val="none"/>
          <w:lang w:eastAsia="zh-CN"/>
        </w:rPr>
        <w:t xml:space="preserve"> 沿内纵墙端部布置的钢拉杆长度不得小于两开间；沿横墙布置的钢拉杆两端应锚入增设构造柱、圈梁内或与原墙体锚固，但不得直接锚固在外廊柱头上；单面走廊的钢拉杆在走廊两侧墙体上都应锚固。</w:t>
      </w:r>
    </w:p>
    <w:p w14:paraId="16092F6A">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3</w:t>
      </w:r>
      <w:r>
        <w:rPr>
          <w:rFonts w:hint="default" w:ascii="Times New Roman" w:hAnsi="Times New Roman" w:eastAsia="宋体" w:cs="Times New Roman"/>
          <w:color w:val="auto"/>
          <w:sz w:val="24"/>
          <w:szCs w:val="24"/>
          <w:highlight w:val="none"/>
          <w:lang w:eastAsia="zh-CN"/>
        </w:rPr>
        <w:t xml:space="preserve"> 钢拉杆在增设圈梁内锚固时，可采用弯钩，其长度不得小于拉杆直径的35倍；或加焊80mm×80mm×8mm的垫板埋入圈梁内，其垫板与墙面的间隙不应小于50mm。</w:t>
      </w:r>
    </w:p>
    <w:p w14:paraId="6FAD5D2A">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4</w:t>
      </w:r>
      <w:r>
        <w:rPr>
          <w:rFonts w:hint="default" w:ascii="Times New Roman" w:hAnsi="Times New Roman" w:eastAsia="宋体" w:cs="Times New Roman"/>
          <w:color w:val="auto"/>
          <w:sz w:val="24"/>
          <w:szCs w:val="24"/>
          <w:highlight w:val="none"/>
          <w:lang w:eastAsia="zh-CN"/>
        </w:rPr>
        <w:t xml:space="preserve"> 钢拉杆在原墙体锚固时，应采用钢垫板，拉杆端部应加焊相应的螺栓。钢拉杆方形垫板的尺寸可按表</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31</w:t>
      </w:r>
      <w:r>
        <w:rPr>
          <w:rFonts w:hint="default" w:ascii="Times New Roman" w:hAnsi="Times New Roman" w:eastAsia="宋体" w:cs="Times New Roman"/>
          <w:color w:val="auto"/>
          <w:sz w:val="24"/>
          <w:szCs w:val="24"/>
          <w:highlight w:val="none"/>
          <w:lang w:eastAsia="zh-CN"/>
        </w:rPr>
        <w:t>采用。</w:t>
      </w:r>
    </w:p>
    <w:p w14:paraId="07A1A251">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default" w:ascii="宋体" w:hAnsi="宋体" w:eastAsia="宋体" w:cs="宋体"/>
          <w:color w:val="auto"/>
          <w:spacing w:val="-2"/>
          <w:sz w:val="28"/>
          <w:szCs w:val="28"/>
          <w:lang w:val="en-US" w:eastAsia="zh-CN"/>
        </w:rPr>
      </w:pPr>
      <w:r>
        <w:rPr>
          <w:rFonts w:hint="default" w:ascii="宋体" w:hAnsi="宋体" w:eastAsia="宋体" w:cs="宋体"/>
          <w:color w:val="auto"/>
          <w:spacing w:val="-2"/>
          <w:sz w:val="28"/>
          <w:szCs w:val="28"/>
          <w:lang w:val="en-US" w:eastAsia="zh-CN"/>
        </w:rPr>
        <w:t>表6.3.31 钢拉杆方形垫板尺寸（边长×厚度，mm）</w:t>
      </w:r>
    </w:p>
    <w:tbl>
      <w:tblPr>
        <w:tblStyle w:val="50"/>
        <w:tblW w:w="652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5"/>
        <w:gridCol w:w="851"/>
        <w:gridCol w:w="850"/>
        <w:gridCol w:w="993"/>
        <w:gridCol w:w="850"/>
        <w:gridCol w:w="851"/>
        <w:gridCol w:w="992"/>
      </w:tblGrid>
      <w:tr w14:paraId="5B0900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8" w:hRule="atLeast"/>
          <w:jc w:val="center"/>
        </w:trPr>
        <w:tc>
          <w:tcPr>
            <w:tcW w:w="1135" w:type="dxa"/>
            <w:vMerge w:val="restart"/>
            <w:tcBorders>
              <w:top w:val="single" w:color="000000" w:sz="6" w:space="0"/>
              <w:left w:val="single" w:color="000000" w:sz="6" w:space="0"/>
              <w:bottom w:val="nil"/>
            </w:tcBorders>
            <w:vAlign w:val="center"/>
          </w:tcPr>
          <w:p w14:paraId="2F8132CE">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pacing w:val="10"/>
                <w:sz w:val="24"/>
                <w:szCs w:val="24"/>
                <w:highlight w:val="none"/>
                <w:lang w:eastAsia="en-US"/>
              </w:rPr>
              <w:t>钢拉杆</w:t>
            </w:r>
          </w:p>
          <w:p w14:paraId="3DD459E6">
            <w:pPr>
              <w:pStyle w:val="57"/>
              <w:spacing w:after="0" w:line="240" w:lineRule="auto"/>
              <w:rPr>
                <w:rFonts w:hint="default" w:ascii="Times New Roman" w:hAnsi="Times New Roman" w:eastAsia="宋体" w:cs="Times New Roman"/>
                <w:snapToGrid w:val="0"/>
                <w:color w:val="auto"/>
                <w:spacing w:val="11"/>
                <w:sz w:val="24"/>
                <w:szCs w:val="24"/>
                <w:highlight w:val="none"/>
                <w:lang w:eastAsia="en-US"/>
              </w:rPr>
            </w:pPr>
            <w:r>
              <w:rPr>
                <w:rFonts w:hint="default" w:ascii="Times New Roman" w:hAnsi="Times New Roman" w:eastAsia="宋体" w:cs="Times New Roman"/>
                <w:snapToGrid w:val="0"/>
                <w:color w:val="auto"/>
                <w:spacing w:val="11"/>
                <w:sz w:val="24"/>
                <w:szCs w:val="24"/>
                <w:highlight w:val="none"/>
                <w:lang w:eastAsia="en-US"/>
              </w:rPr>
              <w:t>直径</w:t>
            </w:r>
          </w:p>
          <w:p w14:paraId="464AC1A6">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pacing w:val="11"/>
                <w:sz w:val="24"/>
                <w:szCs w:val="24"/>
                <w:highlight w:val="none"/>
                <w:lang w:eastAsia="en-US"/>
              </w:rPr>
              <w:t>(</w:t>
            </w:r>
            <w:r>
              <w:rPr>
                <w:rFonts w:hint="default" w:ascii="Times New Roman" w:hAnsi="Times New Roman" w:eastAsia="宋体" w:cs="Times New Roman"/>
                <w:snapToGrid w:val="0"/>
                <w:color w:val="auto"/>
                <w:sz w:val="24"/>
                <w:szCs w:val="24"/>
                <w:highlight w:val="none"/>
                <w:lang w:eastAsia="en-US"/>
              </w:rPr>
              <w:t>mm</w:t>
            </w:r>
            <w:r>
              <w:rPr>
                <w:rFonts w:hint="default" w:ascii="Times New Roman" w:hAnsi="Times New Roman" w:eastAsia="宋体" w:cs="Times New Roman"/>
                <w:snapToGrid w:val="0"/>
                <w:color w:val="auto"/>
                <w:spacing w:val="11"/>
                <w:sz w:val="24"/>
                <w:szCs w:val="24"/>
                <w:highlight w:val="none"/>
                <w:lang w:eastAsia="en-US"/>
              </w:rPr>
              <w:t>)</w:t>
            </w:r>
          </w:p>
        </w:tc>
        <w:tc>
          <w:tcPr>
            <w:tcW w:w="5387" w:type="dxa"/>
            <w:gridSpan w:val="6"/>
            <w:tcBorders>
              <w:top w:val="single" w:color="000000" w:sz="6" w:space="0"/>
              <w:right w:val="single" w:color="000000" w:sz="6" w:space="0"/>
            </w:tcBorders>
            <w:vAlign w:val="center"/>
          </w:tcPr>
          <w:p w14:paraId="667AC460">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pacing w:val="11"/>
                <w:sz w:val="24"/>
                <w:szCs w:val="24"/>
                <w:highlight w:val="none"/>
                <w:lang w:eastAsia="en-US"/>
              </w:rPr>
              <w:t>原墙体厚度(</w:t>
            </w:r>
            <w:r>
              <w:rPr>
                <w:rFonts w:hint="default" w:ascii="Times New Roman" w:hAnsi="Times New Roman" w:eastAsia="宋体" w:cs="Times New Roman"/>
                <w:snapToGrid w:val="0"/>
                <w:color w:val="auto"/>
                <w:sz w:val="24"/>
                <w:szCs w:val="24"/>
                <w:highlight w:val="none"/>
                <w:lang w:eastAsia="en-US"/>
              </w:rPr>
              <w:t>mm</w:t>
            </w:r>
            <w:r>
              <w:rPr>
                <w:rFonts w:hint="default" w:ascii="Times New Roman" w:hAnsi="Times New Roman" w:eastAsia="宋体" w:cs="Times New Roman"/>
                <w:snapToGrid w:val="0"/>
                <w:color w:val="auto"/>
                <w:spacing w:val="11"/>
                <w:sz w:val="24"/>
                <w:szCs w:val="24"/>
                <w:highlight w:val="none"/>
                <w:lang w:eastAsia="en-US"/>
              </w:rPr>
              <w:t>)</w:t>
            </w:r>
          </w:p>
        </w:tc>
      </w:tr>
      <w:tr w14:paraId="1FE63F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jc w:val="center"/>
        </w:trPr>
        <w:tc>
          <w:tcPr>
            <w:tcW w:w="1135" w:type="dxa"/>
            <w:vMerge w:val="continue"/>
            <w:tcBorders>
              <w:top w:val="nil"/>
              <w:left w:val="single" w:color="000000" w:sz="6" w:space="0"/>
              <w:bottom w:val="nil"/>
            </w:tcBorders>
            <w:vAlign w:val="center"/>
          </w:tcPr>
          <w:p w14:paraId="3605BF5C">
            <w:pPr>
              <w:pStyle w:val="57"/>
              <w:spacing w:after="0" w:line="240" w:lineRule="auto"/>
              <w:rPr>
                <w:rFonts w:hint="default" w:ascii="Times New Roman" w:hAnsi="Times New Roman" w:eastAsia="宋体" w:cs="Times New Roman"/>
                <w:snapToGrid w:val="0"/>
                <w:color w:val="auto"/>
                <w:sz w:val="24"/>
                <w:szCs w:val="24"/>
                <w:highlight w:val="none"/>
                <w:lang w:eastAsia="en-US"/>
              </w:rPr>
            </w:pPr>
          </w:p>
        </w:tc>
        <w:tc>
          <w:tcPr>
            <w:tcW w:w="2694" w:type="dxa"/>
            <w:gridSpan w:val="3"/>
            <w:vAlign w:val="center"/>
          </w:tcPr>
          <w:p w14:paraId="66C4606E">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pacing w:val="-3"/>
                <w:sz w:val="24"/>
                <w:szCs w:val="24"/>
                <w:highlight w:val="none"/>
                <w:lang w:eastAsia="en-US"/>
              </w:rPr>
              <w:t>370</w:t>
            </w:r>
          </w:p>
        </w:tc>
        <w:tc>
          <w:tcPr>
            <w:tcW w:w="2693" w:type="dxa"/>
            <w:gridSpan w:val="3"/>
            <w:tcBorders>
              <w:right w:val="single" w:color="000000" w:sz="6" w:space="0"/>
            </w:tcBorders>
            <w:vAlign w:val="center"/>
          </w:tcPr>
          <w:p w14:paraId="5CD76910">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pacing w:val="-4"/>
                <w:sz w:val="24"/>
                <w:szCs w:val="24"/>
                <w:highlight w:val="none"/>
                <w:lang w:eastAsia="en-US"/>
              </w:rPr>
              <w:t>180～240</w:t>
            </w:r>
          </w:p>
        </w:tc>
      </w:tr>
      <w:tr w14:paraId="47FB61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1135" w:type="dxa"/>
            <w:vMerge w:val="continue"/>
            <w:tcBorders>
              <w:top w:val="nil"/>
              <w:left w:val="single" w:color="000000" w:sz="6" w:space="0"/>
              <w:bottom w:val="nil"/>
            </w:tcBorders>
            <w:vAlign w:val="center"/>
          </w:tcPr>
          <w:p w14:paraId="7E9CE038">
            <w:pPr>
              <w:pStyle w:val="57"/>
              <w:spacing w:after="0" w:line="240" w:lineRule="auto"/>
              <w:rPr>
                <w:rFonts w:hint="default" w:ascii="Times New Roman" w:hAnsi="Times New Roman" w:eastAsia="宋体" w:cs="Times New Roman"/>
                <w:snapToGrid w:val="0"/>
                <w:color w:val="auto"/>
                <w:sz w:val="24"/>
                <w:szCs w:val="24"/>
                <w:highlight w:val="none"/>
                <w:lang w:eastAsia="en-US"/>
              </w:rPr>
            </w:pPr>
          </w:p>
        </w:tc>
        <w:tc>
          <w:tcPr>
            <w:tcW w:w="5387" w:type="dxa"/>
            <w:gridSpan w:val="6"/>
            <w:tcBorders>
              <w:right w:val="single" w:color="000000" w:sz="6" w:space="0"/>
            </w:tcBorders>
            <w:vAlign w:val="center"/>
          </w:tcPr>
          <w:p w14:paraId="25B299AC">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pacing w:val="16"/>
                <w:sz w:val="24"/>
                <w:szCs w:val="24"/>
                <w:highlight w:val="none"/>
                <w:lang w:eastAsia="en-US"/>
              </w:rPr>
              <w:t>墙体砂浆强度等级</w:t>
            </w:r>
          </w:p>
        </w:tc>
      </w:tr>
      <w:tr w14:paraId="16F97A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jc w:val="center"/>
        </w:trPr>
        <w:tc>
          <w:tcPr>
            <w:tcW w:w="1135" w:type="dxa"/>
            <w:vMerge w:val="continue"/>
            <w:tcBorders>
              <w:top w:val="nil"/>
              <w:left w:val="single" w:color="000000" w:sz="6" w:space="0"/>
            </w:tcBorders>
            <w:vAlign w:val="center"/>
          </w:tcPr>
          <w:p w14:paraId="148F6295">
            <w:pPr>
              <w:pStyle w:val="57"/>
              <w:spacing w:after="0" w:line="240" w:lineRule="auto"/>
              <w:rPr>
                <w:rFonts w:hint="default" w:ascii="Times New Roman" w:hAnsi="Times New Roman" w:eastAsia="宋体" w:cs="Times New Roman"/>
                <w:snapToGrid w:val="0"/>
                <w:color w:val="auto"/>
                <w:sz w:val="24"/>
                <w:szCs w:val="24"/>
                <w:highlight w:val="none"/>
                <w:lang w:eastAsia="en-US"/>
              </w:rPr>
            </w:pPr>
          </w:p>
        </w:tc>
        <w:tc>
          <w:tcPr>
            <w:tcW w:w="851" w:type="dxa"/>
            <w:vAlign w:val="center"/>
          </w:tcPr>
          <w:p w14:paraId="1CABDF83">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pacing w:val="3"/>
                <w:sz w:val="24"/>
                <w:szCs w:val="24"/>
                <w:highlight w:val="none"/>
                <w:lang w:eastAsia="en-US"/>
              </w:rPr>
              <w:t>M0.4</w:t>
            </w:r>
          </w:p>
        </w:tc>
        <w:tc>
          <w:tcPr>
            <w:tcW w:w="850" w:type="dxa"/>
            <w:vAlign w:val="center"/>
          </w:tcPr>
          <w:p w14:paraId="5248C1E4">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pacing w:val="3"/>
                <w:sz w:val="24"/>
                <w:szCs w:val="24"/>
                <w:highlight w:val="none"/>
                <w:lang w:eastAsia="en-US"/>
              </w:rPr>
              <w:t>M1.0</w:t>
            </w:r>
          </w:p>
        </w:tc>
        <w:tc>
          <w:tcPr>
            <w:tcW w:w="993" w:type="dxa"/>
            <w:vAlign w:val="center"/>
          </w:tcPr>
          <w:p w14:paraId="27FC2353">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pacing w:val="3"/>
                <w:sz w:val="24"/>
                <w:szCs w:val="24"/>
                <w:highlight w:val="none"/>
                <w:lang w:eastAsia="en-US"/>
              </w:rPr>
              <w:t>M2.5</w:t>
            </w:r>
          </w:p>
        </w:tc>
        <w:tc>
          <w:tcPr>
            <w:tcW w:w="850" w:type="dxa"/>
            <w:vAlign w:val="center"/>
          </w:tcPr>
          <w:p w14:paraId="1A674508">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pacing w:val="3"/>
                <w:sz w:val="24"/>
                <w:szCs w:val="24"/>
                <w:highlight w:val="none"/>
                <w:lang w:eastAsia="en-US"/>
              </w:rPr>
              <w:t>M0.4</w:t>
            </w:r>
          </w:p>
        </w:tc>
        <w:tc>
          <w:tcPr>
            <w:tcW w:w="851" w:type="dxa"/>
            <w:vAlign w:val="center"/>
          </w:tcPr>
          <w:p w14:paraId="11BD83CF">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pacing w:val="3"/>
                <w:sz w:val="24"/>
                <w:szCs w:val="24"/>
                <w:highlight w:val="none"/>
                <w:lang w:eastAsia="en-US"/>
              </w:rPr>
              <w:t>M1.0</w:t>
            </w:r>
          </w:p>
        </w:tc>
        <w:tc>
          <w:tcPr>
            <w:tcW w:w="992" w:type="dxa"/>
            <w:tcBorders>
              <w:right w:val="single" w:color="000000" w:sz="6" w:space="0"/>
            </w:tcBorders>
            <w:vAlign w:val="center"/>
          </w:tcPr>
          <w:p w14:paraId="558EF707">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pacing w:val="3"/>
                <w:sz w:val="24"/>
                <w:szCs w:val="24"/>
                <w:highlight w:val="none"/>
                <w:lang w:eastAsia="en-US"/>
              </w:rPr>
              <w:t>M2.5</w:t>
            </w:r>
          </w:p>
        </w:tc>
      </w:tr>
      <w:tr w14:paraId="28996E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jc w:val="center"/>
        </w:trPr>
        <w:tc>
          <w:tcPr>
            <w:tcW w:w="1135" w:type="dxa"/>
            <w:tcBorders>
              <w:left w:val="single" w:color="000000" w:sz="6" w:space="0"/>
            </w:tcBorders>
            <w:vAlign w:val="center"/>
          </w:tcPr>
          <w:p w14:paraId="0C0798BD">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pacing w:val="-7"/>
                <w:sz w:val="24"/>
                <w:szCs w:val="24"/>
                <w:highlight w:val="none"/>
                <w:lang w:eastAsia="en-US"/>
              </w:rPr>
              <w:t>12</w:t>
            </w:r>
          </w:p>
        </w:tc>
        <w:tc>
          <w:tcPr>
            <w:tcW w:w="851" w:type="dxa"/>
            <w:vAlign w:val="center"/>
          </w:tcPr>
          <w:p w14:paraId="3169D671">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pacing w:val="-11"/>
                <w:sz w:val="24"/>
                <w:szCs w:val="24"/>
                <w:highlight w:val="none"/>
                <w:lang w:eastAsia="en-US"/>
              </w:rPr>
              <w:t>200×10</w:t>
            </w:r>
          </w:p>
        </w:tc>
        <w:tc>
          <w:tcPr>
            <w:tcW w:w="850" w:type="dxa"/>
            <w:vAlign w:val="center"/>
          </w:tcPr>
          <w:p w14:paraId="38217D73">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pacing w:val="-13"/>
                <w:sz w:val="24"/>
                <w:szCs w:val="24"/>
                <w:highlight w:val="none"/>
                <w:lang w:eastAsia="en-US"/>
              </w:rPr>
              <w:t>100×10</w:t>
            </w:r>
          </w:p>
        </w:tc>
        <w:tc>
          <w:tcPr>
            <w:tcW w:w="993" w:type="dxa"/>
            <w:vAlign w:val="center"/>
          </w:tcPr>
          <w:p w14:paraId="09B29884">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pacing w:val="-13"/>
                <w:sz w:val="24"/>
                <w:szCs w:val="24"/>
                <w:highlight w:val="none"/>
                <w:lang w:eastAsia="en-US"/>
              </w:rPr>
              <w:t>100×14</w:t>
            </w:r>
          </w:p>
        </w:tc>
        <w:tc>
          <w:tcPr>
            <w:tcW w:w="850" w:type="dxa"/>
            <w:vAlign w:val="center"/>
          </w:tcPr>
          <w:p w14:paraId="48587F35">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pacing w:val="-11"/>
                <w:sz w:val="24"/>
                <w:szCs w:val="24"/>
                <w:highlight w:val="none"/>
                <w:lang w:eastAsia="en-US"/>
              </w:rPr>
              <w:t>200×10</w:t>
            </w:r>
          </w:p>
        </w:tc>
        <w:tc>
          <w:tcPr>
            <w:tcW w:w="851" w:type="dxa"/>
            <w:vAlign w:val="center"/>
          </w:tcPr>
          <w:p w14:paraId="4500DDA4">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pacing w:val="-13"/>
                <w:sz w:val="24"/>
                <w:szCs w:val="24"/>
                <w:highlight w:val="none"/>
                <w:lang w:eastAsia="en-US"/>
              </w:rPr>
              <w:t>150×10</w:t>
            </w:r>
          </w:p>
        </w:tc>
        <w:tc>
          <w:tcPr>
            <w:tcW w:w="992" w:type="dxa"/>
            <w:tcBorders>
              <w:right w:val="single" w:color="000000" w:sz="6" w:space="0"/>
            </w:tcBorders>
            <w:vAlign w:val="center"/>
          </w:tcPr>
          <w:p w14:paraId="67D35448">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pacing w:val="-13"/>
                <w:sz w:val="24"/>
                <w:szCs w:val="24"/>
                <w:highlight w:val="none"/>
                <w:lang w:eastAsia="en-US"/>
              </w:rPr>
              <w:t>100×12</w:t>
            </w:r>
          </w:p>
        </w:tc>
      </w:tr>
      <w:tr w14:paraId="62FC1E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1135" w:type="dxa"/>
            <w:tcBorders>
              <w:left w:val="single" w:color="000000" w:sz="6" w:space="0"/>
            </w:tcBorders>
            <w:vAlign w:val="center"/>
          </w:tcPr>
          <w:p w14:paraId="5D8C2E74">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pacing w:val="-7"/>
                <w:sz w:val="24"/>
                <w:szCs w:val="24"/>
                <w:highlight w:val="none"/>
                <w:lang w:eastAsia="en-US"/>
              </w:rPr>
              <w:t>14</w:t>
            </w:r>
          </w:p>
        </w:tc>
        <w:tc>
          <w:tcPr>
            <w:tcW w:w="851" w:type="dxa"/>
            <w:vAlign w:val="center"/>
          </w:tcPr>
          <w:p w14:paraId="50CA4BC0">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position w:val="-6"/>
                <w:sz w:val="24"/>
                <w:szCs w:val="24"/>
                <w:highlight w:val="none"/>
                <w:lang w:eastAsia="en-US"/>
              </w:rPr>
              <w:t>—</w:t>
            </w:r>
          </w:p>
        </w:tc>
        <w:tc>
          <w:tcPr>
            <w:tcW w:w="850" w:type="dxa"/>
            <w:vAlign w:val="center"/>
          </w:tcPr>
          <w:p w14:paraId="696CD103">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pacing w:val="-14"/>
                <w:sz w:val="24"/>
                <w:szCs w:val="24"/>
                <w:highlight w:val="none"/>
                <w:lang w:eastAsia="en-US"/>
              </w:rPr>
              <w:t>150×12</w:t>
            </w:r>
          </w:p>
        </w:tc>
        <w:tc>
          <w:tcPr>
            <w:tcW w:w="993" w:type="dxa"/>
            <w:vAlign w:val="center"/>
          </w:tcPr>
          <w:p w14:paraId="2123FF9F">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pacing w:val="-13"/>
                <w:sz w:val="24"/>
                <w:szCs w:val="24"/>
                <w:highlight w:val="none"/>
                <w:lang w:eastAsia="en-US"/>
              </w:rPr>
              <w:t>100×14</w:t>
            </w:r>
          </w:p>
        </w:tc>
        <w:tc>
          <w:tcPr>
            <w:tcW w:w="850" w:type="dxa"/>
            <w:vAlign w:val="center"/>
          </w:tcPr>
          <w:p w14:paraId="07107EDE">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position w:val="-6"/>
                <w:sz w:val="24"/>
                <w:szCs w:val="24"/>
                <w:highlight w:val="none"/>
                <w:lang w:eastAsia="en-US"/>
              </w:rPr>
              <w:t>—</w:t>
            </w:r>
          </w:p>
        </w:tc>
        <w:tc>
          <w:tcPr>
            <w:tcW w:w="851" w:type="dxa"/>
            <w:vAlign w:val="center"/>
          </w:tcPr>
          <w:p w14:paraId="2D161536">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pacing w:val="-11"/>
                <w:sz w:val="24"/>
                <w:szCs w:val="24"/>
                <w:highlight w:val="none"/>
                <w:lang w:eastAsia="en-US"/>
              </w:rPr>
              <w:t>250×10</w:t>
            </w:r>
          </w:p>
        </w:tc>
        <w:tc>
          <w:tcPr>
            <w:tcW w:w="992" w:type="dxa"/>
            <w:tcBorders>
              <w:right w:val="single" w:color="000000" w:sz="6" w:space="0"/>
            </w:tcBorders>
            <w:vAlign w:val="center"/>
          </w:tcPr>
          <w:p w14:paraId="4352ED1A">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pacing w:val="-13"/>
                <w:sz w:val="24"/>
                <w:szCs w:val="24"/>
                <w:highlight w:val="none"/>
                <w:lang w:eastAsia="en-US"/>
              </w:rPr>
              <w:t>100×12</w:t>
            </w:r>
          </w:p>
        </w:tc>
      </w:tr>
      <w:tr w14:paraId="4DD3C0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jc w:val="center"/>
        </w:trPr>
        <w:tc>
          <w:tcPr>
            <w:tcW w:w="1135" w:type="dxa"/>
            <w:tcBorders>
              <w:left w:val="single" w:color="000000" w:sz="6" w:space="0"/>
            </w:tcBorders>
            <w:vAlign w:val="center"/>
          </w:tcPr>
          <w:p w14:paraId="3563F08D">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pacing w:val="-7"/>
                <w:sz w:val="24"/>
                <w:szCs w:val="24"/>
                <w:highlight w:val="none"/>
                <w:lang w:eastAsia="en-US"/>
              </w:rPr>
              <w:t>16</w:t>
            </w:r>
          </w:p>
        </w:tc>
        <w:tc>
          <w:tcPr>
            <w:tcW w:w="851" w:type="dxa"/>
            <w:vAlign w:val="center"/>
          </w:tcPr>
          <w:p w14:paraId="74ED0288">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position w:val="-6"/>
                <w:sz w:val="24"/>
                <w:szCs w:val="24"/>
                <w:highlight w:val="none"/>
                <w:lang w:eastAsia="en-US"/>
              </w:rPr>
              <w:t>—</w:t>
            </w:r>
          </w:p>
        </w:tc>
        <w:tc>
          <w:tcPr>
            <w:tcW w:w="850" w:type="dxa"/>
            <w:vAlign w:val="center"/>
          </w:tcPr>
          <w:p w14:paraId="11A70281">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pacing w:val="-11"/>
                <w:sz w:val="24"/>
                <w:szCs w:val="24"/>
                <w:highlight w:val="none"/>
                <w:lang w:eastAsia="en-US"/>
              </w:rPr>
              <w:t>200×15</w:t>
            </w:r>
          </w:p>
        </w:tc>
        <w:tc>
          <w:tcPr>
            <w:tcW w:w="993" w:type="dxa"/>
            <w:vAlign w:val="center"/>
          </w:tcPr>
          <w:p w14:paraId="5FD8CE62">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pacing w:val="-13"/>
                <w:sz w:val="24"/>
                <w:szCs w:val="24"/>
                <w:highlight w:val="none"/>
                <w:lang w:eastAsia="en-US"/>
              </w:rPr>
              <w:t>100×14</w:t>
            </w:r>
          </w:p>
        </w:tc>
        <w:tc>
          <w:tcPr>
            <w:tcW w:w="850" w:type="dxa"/>
            <w:vAlign w:val="center"/>
          </w:tcPr>
          <w:p w14:paraId="1BD89258">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position w:val="-6"/>
                <w:sz w:val="24"/>
                <w:szCs w:val="24"/>
                <w:highlight w:val="none"/>
                <w:lang w:eastAsia="en-US"/>
              </w:rPr>
              <w:t>—</w:t>
            </w:r>
          </w:p>
        </w:tc>
        <w:tc>
          <w:tcPr>
            <w:tcW w:w="851" w:type="dxa"/>
            <w:vAlign w:val="center"/>
          </w:tcPr>
          <w:p w14:paraId="3EF95E44">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pacing w:val="-12"/>
                <w:sz w:val="24"/>
                <w:szCs w:val="24"/>
                <w:highlight w:val="none"/>
                <w:lang w:eastAsia="en-US"/>
              </w:rPr>
              <w:t>350×14</w:t>
            </w:r>
          </w:p>
        </w:tc>
        <w:tc>
          <w:tcPr>
            <w:tcW w:w="992" w:type="dxa"/>
            <w:tcBorders>
              <w:right w:val="single" w:color="000000" w:sz="6" w:space="0"/>
            </w:tcBorders>
            <w:vAlign w:val="center"/>
          </w:tcPr>
          <w:p w14:paraId="54AF752E">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pacing w:val="-11"/>
                <w:sz w:val="24"/>
                <w:szCs w:val="24"/>
                <w:highlight w:val="none"/>
                <w:lang w:eastAsia="en-US"/>
              </w:rPr>
              <w:t>200×14</w:t>
            </w:r>
          </w:p>
        </w:tc>
      </w:tr>
      <w:tr w14:paraId="7BAFA7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jc w:val="center"/>
        </w:trPr>
        <w:tc>
          <w:tcPr>
            <w:tcW w:w="1135" w:type="dxa"/>
            <w:tcBorders>
              <w:left w:val="single" w:color="000000" w:sz="6" w:space="0"/>
            </w:tcBorders>
            <w:vAlign w:val="center"/>
          </w:tcPr>
          <w:p w14:paraId="57502665">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pacing w:val="-7"/>
                <w:sz w:val="24"/>
                <w:szCs w:val="24"/>
                <w:highlight w:val="none"/>
                <w:lang w:eastAsia="en-US"/>
              </w:rPr>
              <w:t>18</w:t>
            </w:r>
          </w:p>
        </w:tc>
        <w:tc>
          <w:tcPr>
            <w:tcW w:w="851" w:type="dxa"/>
            <w:vAlign w:val="center"/>
          </w:tcPr>
          <w:p w14:paraId="7F567DA4">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position w:val="-6"/>
                <w:sz w:val="24"/>
                <w:szCs w:val="24"/>
                <w:highlight w:val="none"/>
                <w:lang w:eastAsia="en-US"/>
              </w:rPr>
              <w:t>—</w:t>
            </w:r>
          </w:p>
        </w:tc>
        <w:tc>
          <w:tcPr>
            <w:tcW w:w="850" w:type="dxa"/>
            <w:vAlign w:val="center"/>
          </w:tcPr>
          <w:p w14:paraId="4374EEDF">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pacing w:val="-11"/>
                <w:sz w:val="24"/>
                <w:szCs w:val="24"/>
                <w:highlight w:val="none"/>
                <w:lang w:eastAsia="en-US"/>
              </w:rPr>
              <w:t>200×15</w:t>
            </w:r>
          </w:p>
        </w:tc>
        <w:tc>
          <w:tcPr>
            <w:tcW w:w="993" w:type="dxa"/>
            <w:vAlign w:val="center"/>
          </w:tcPr>
          <w:p w14:paraId="04F1CC13">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pacing w:val="-13"/>
                <w:sz w:val="24"/>
                <w:szCs w:val="24"/>
                <w:highlight w:val="none"/>
                <w:lang w:eastAsia="en-US"/>
              </w:rPr>
              <w:t>150×16</w:t>
            </w:r>
          </w:p>
        </w:tc>
        <w:tc>
          <w:tcPr>
            <w:tcW w:w="850" w:type="dxa"/>
            <w:vAlign w:val="center"/>
          </w:tcPr>
          <w:p w14:paraId="2DBE73A8">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position w:val="-6"/>
                <w:sz w:val="24"/>
                <w:szCs w:val="24"/>
                <w:highlight w:val="none"/>
                <w:lang w:eastAsia="en-US"/>
              </w:rPr>
              <w:t>—</w:t>
            </w:r>
          </w:p>
        </w:tc>
        <w:tc>
          <w:tcPr>
            <w:tcW w:w="851" w:type="dxa"/>
            <w:vAlign w:val="center"/>
          </w:tcPr>
          <w:p w14:paraId="37009110">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position w:val="-6"/>
                <w:sz w:val="24"/>
                <w:szCs w:val="24"/>
                <w:highlight w:val="none"/>
                <w:lang w:eastAsia="en-US"/>
              </w:rPr>
              <w:t>—</w:t>
            </w:r>
          </w:p>
        </w:tc>
        <w:tc>
          <w:tcPr>
            <w:tcW w:w="992" w:type="dxa"/>
            <w:tcBorders>
              <w:right w:val="single" w:color="000000" w:sz="6" w:space="0"/>
            </w:tcBorders>
            <w:vAlign w:val="center"/>
          </w:tcPr>
          <w:p w14:paraId="1586ACD3">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pacing w:val="-11"/>
                <w:sz w:val="24"/>
                <w:szCs w:val="24"/>
                <w:highlight w:val="none"/>
                <w:lang w:eastAsia="en-US"/>
              </w:rPr>
              <w:t>250×15</w:t>
            </w:r>
          </w:p>
        </w:tc>
      </w:tr>
      <w:tr w14:paraId="086F40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jc w:val="center"/>
        </w:trPr>
        <w:tc>
          <w:tcPr>
            <w:tcW w:w="1135" w:type="dxa"/>
            <w:tcBorders>
              <w:left w:val="single" w:color="000000" w:sz="6" w:space="0"/>
              <w:bottom w:val="single" w:color="000000" w:sz="6" w:space="0"/>
            </w:tcBorders>
            <w:vAlign w:val="center"/>
          </w:tcPr>
          <w:p w14:paraId="24E1B0B8">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pacing w:val="-3"/>
                <w:sz w:val="24"/>
                <w:szCs w:val="24"/>
                <w:highlight w:val="none"/>
                <w:lang w:eastAsia="en-US"/>
              </w:rPr>
              <w:t>20</w:t>
            </w:r>
          </w:p>
        </w:tc>
        <w:tc>
          <w:tcPr>
            <w:tcW w:w="851" w:type="dxa"/>
            <w:tcBorders>
              <w:bottom w:val="single" w:color="000000" w:sz="6" w:space="0"/>
            </w:tcBorders>
            <w:vAlign w:val="center"/>
          </w:tcPr>
          <w:p w14:paraId="77121DEB">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position w:val="-6"/>
                <w:sz w:val="24"/>
                <w:szCs w:val="24"/>
                <w:highlight w:val="none"/>
                <w:lang w:eastAsia="en-US"/>
              </w:rPr>
              <w:t>—</w:t>
            </w:r>
          </w:p>
        </w:tc>
        <w:tc>
          <w:tcPr>
            <w:tcW w:w="850" w:type="dxa"/>
            <w:tcBorders>
              <w:bottom w:val="single" w:color="000000" w:sz="6" w:space="0"/>
            </w:tcBorders>
            <w:vAlign w:val="center"/>
          </w:tcPr>
          <w:p w14:paraId="6737D77D">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pacing w:val="-12"/>
                <w:sz w:val="24"/>
                <w:szCs w:val="24"/>
                <w:highlight w:val="none"/>
                <w:lang w:eastAsia="en-US"/>
              </w:rPr>
              <w:t>300×17</w:t>
            </w:r>
          </w:p>
        </w:tc>
        <w:tc>
          <w:tcPr>
            <w:tcW w:w="993" w:type="dxa"/>
            <w:tcBorders>
              <w:bottom w:val="single" w:color="000000" w:sz="6" w:space="0"/>
            </w:tcBorders>
            <w:vAlign w:val="center"/>
          </w:tcPr>
          <w:p w14:paraId="224EEEF6">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pacing w:val="-11"/>
                <w:sz w:val="24"/>
                <w:szCs w:val="24"/>
                <w:highlight w:val="none"/>
                <w:lang w:eastAsia="en-US"/>
              </w:rPr>
              <w:t>200×19</w:t>
            </w:r>
          </w:p>
        </w:tc>
        <w:tc>
          <w:tcPr>
            <w:tcW w:w="850" w:type="dxa"/>
            <w:tcBorders>
              <w:bottom w:val="single" w:color="000000" w:sz="6" w:space="0"/>
            </w:tcBorders>
          </w:tcPr>
          <w:p w14:paraId="7B9122FB">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position w:val="-6"/>
                <w:sz w:val="24"/>
                <w:szCs w:val="24"/>
                <w:highlight w:val="none"/>
                <w:lang w:eastAsia="en-US"/>
              </w:rPr>
              <w:t>—</w:t>
            </w:r>
          </w:p>
        </w:tc>
        <w:tc>
          <w:tcPr>
            <w:tcW w:w="851" w:type="dxa"/>
            <w:tcBorders>
              <w:bottom w:val="single" w:color="000000" w:sz="6" w:space="0"/>
            </w:tcBorders>
          </w:tcPr>
          <w:p w14:paraId="00AC34C2">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position w:val="-6"/>
                <w:sz w:val="24"/>
                <w:szCs w:val="24"/>
                <w:highlight w:val="none"/>
                <w:lang w:eastAsia="en-US"/>
              </w:rPr>
              <w:t>—</w:t>
            </w:r>
          </w:p>
        </w:tc>
        <w:tc>
          <w:tcPr>
            <w:tcW w:w="992" w:type="dxa"/>
            <w:tcBorders>
              <w:bottom w:val="single" w:color="000000" w:sz="6" w:space="0"/>
              <w:right w:val="single" w:color="000000" w:sz="6" w:space="0"/>
            </w:tcBorders>
            <w:vAlign w:val="center"/>
          </w:tcPr>
          <w:p w14:paraId="4E9399A7">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pacing w:val="-12"/>
                <w:sz w:val="24"/>
                <w:szCs w:val="24"/>
                <w:highlight w:val="none"/>
                <w:lang w:eastAsia="en-US"/>
              </w:rPr>
              <w:t>350×17</w:t>
            </w:r>
          </w:p>
        </w:tc>
      </w:tr>
    </w:tbl>
    <w:p w14:paraId="51BF6E9D">
      <w:pPr>
        <w:spacing w:before="120" w:beforeLines="50"/>
        <w:rPr>
          <w:rFonts w:hint="default" w:ascii="Times New Roman" w:hAnsi="Times New Roman" w:eastAsia="宋体" w:cs="Times New Roman"/>
          <w:color w:val="auto"/>
          <w:sz w:val="24"/>
          <w:szCs w:val="24"/>
          <w:highlight w:val="none"/>
        </w:rPr>
      </w:pPr>
      <w:bookmarkStart w:id="101" w:name="_Toc26960"/>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rPr>
        <w:t>.3.</w:t>
      </w:r>
      <w:r>
        <w:rPr>
          <w:rFonts w:hint="default" w:ascii="Times New Roman" w:hAnsi="Times New Roman" w:eastAsia="宋体" w:cs="Times New Roman"/>
          <w:b/>
          <w:bCs/>
          <w:color w:val="auto"/>
          <w:sz w:val="24"/>
          <w:szCs w:val="24"/>
          <w:highlight w:val="none"/>
          <w:lang w:val="en-US" w:eastAsia="zh-CN"/>
        </w:rPr>
        <w:t xml:space="preserve">32 </w:t>
      </w:r>
      <w:r>
        <w:rPr>
          <w:rFonts w:hint="default" w:ascii="Times New Roman" w:hAnsi="Times New Roman" w:eastAsia="宋体" w:cs="Times New Roman"/>
          <w:color w:val="auto"/>
          <w:sz w:val="24"/>
          <w:szCs w:val="24"/>
          <w:highlight w:val="none"/>
        </w:rPr>
        <w:t>用于增强纵、横墙连接的圈梁、钢拉杆，尚应符合下列要求：</w:t>
      </w:r>
      <w:bookmarkEnd w:id="101"/>
    </w:p>
    <w:p w14:paraId="6879542C">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1</w:t>
      </w:r>
      <w:r>
        <w:rPr>
          <w:rFonts w:hint="default" w:ascii="Times New Roman" w:hAnsi="Times New Roman" w:eastAsia="宋体" w:cs="Times New Roman"/>
          <w:color w:val="auto"/>
          <w:sz w:val="24"/>
          <w:szCs w:val="24"/>
          <w:highlight w:val="none"/>
          <w:lang w:eastAsia="zh-CN"/>
        </w:rPr>
        <w:t xml:space="preserve"> 圈梁应现浇；设防烈度7、8度且砌筑砂浆强度等级为M0.4时，圈梁截面高度不应小于200mm，宽度不应小于180mm。</w:t>
      </w:r>
    </w:p>
    <w:p w14:paraId="475B563D">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2</w:t>
      </w:r>
      <w:r>
        <w:rPr>
          <w:rFonts w:hint="default" w:ascii="Times New Roman" w:hAnsi="Times New Roman" w:eastAsia="宋体" w:cs="Times New Roman"/>
          <w:color w:val="auto"/>
          <w:sz w:val="24"/>
          <w:szCs w:val="24"/>
          <w:highlight w:val="none"/>
          <w:lang w:eastAsia="zh-CN"/>
        </w:rPr>
        <w:t xml:space="preserve"> 当楼层层高为3m、承重横墙间距不大于3.6m，且每开间外墙面洞口不小于1.2m×1.5m时，增设圈梁的纵向钢筋可按表</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32</w:t>
      </w:r>
      <w:r>
        <w:rPr>
          <w:rFonts w:hint="default" w:ascii="Times New Roman" w:hAnsi="Times New Roman" w:eastAsia="宋体" w:cs="Times New Roman"/>
          <w:color w:val="auto"/>
          <w:sz w:val="24"/>
          <w:szCs w:val="24"/>
          <w:highlight w:val="none"/>
          <w:lang w:eastAsia="zh-CN"/>
        </w:rPr>
        <w:t>-1采用。钢拉杆的直径可按表</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32</w:t>
      </w:r>
      <w:r>
        <w:rPr>
          <w:rFonts w:hint="default" w:ascii="Times New Roman" w:hAnsi="Times New Roman" w:eastAsia="宋体" w:cs="Times New Roman"/>
          <w:color w:val="auto"/>
          <w:sz w:val="24"/>
          <w:szCs w:val="24"/>
          <w:highlight w:val="none"/>
          <w:lang w:eastAsia="zh-CN"/>
        </w:rPr>
        <w:t>-2采用。单根拉杆直径过大时，可采用双拉杆，但其总有效截面面积应大于单根拉杆有效截面面积的1.25倍。</w:t>
      </w:r>
    </w:p>
    <w:p w14:paraId="5902D054">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3</w:t>
      </w:r>
      <w:r>
        <w:rPr>
          <w:rFonts w:hint="default" w:ascii="Times New Roman" w:hAnsi="Times New Roman" w:eastAsia="宋体" w:cs="Times New Roman"/>
          <w:color w:val="auto"/>
          <w:sz w:val="24"/>
          <w:szCs w:val="24"/>
          <w:highlight w:val="none"/>
          <w:lang w:eastAsia="zh-CN"/>
        </w:rPr>
        <w:t xml:space="preserve"> 房屋为纵墙或纵横墙承重时，无横墙处可不设置钢拉杆，但增设的圈梁应与楼、屋盖可靠连接。</w:t>
      </w:r>
    </w:p>
    <w:p w14:paraId="14D122F3">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default" w:ascii="宋体" w:hAnsi="宋体" w:eastAsia="宋体" w:cs="宋体"/>
          <w:color w:val="auto"/>
          <w:spacing w:val="-2"/>
          <w:sz w:val="28"/>
          <w:szCs w:val="28"/>
          <w:lang w:val="en-US" w:eastAsia="zh-CN"/>
        </w:rPr>
      </w:pPr>
      <w:r>
        <w:rPr>
          <w:rFonts w:hint="default" w:ascii="宋体" w:hAnsi="宋体" w:eastAsia="宋体" w:cs="宋体"/>
          <w:color w:val="auto"/>
          <w:spacing w:val="-2"/>
          <w:sz w:val="28"/>
          <w:szCs w:val="28"/>
          <w:lang w:val="en-US" w:eastAsia="zh-CN"/>
        </w:rPr>
        <w:t>表6.3.32-1 增强纵横墙连接的钢筋混凝土圈梁的纵向钢筋</w:t>
      </w:r>
    </w:p>
    <w:tbl>
      <w:tblPr>
        <w:tblStyle w:val="50"/>
        <w:tblW w:w="751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6"/>
        <w:gridCol w:w="721"/>
        <w:gridCol w:w="992"/>
        <w:gridCol w:w="567"/>
        <w:gridCol w:w="709"/>
        <w:gridCol w:w="342"/>
        <w:gridCol w:w="509"/>
        <w:gridCol w:w="567"/>
        <w:gridCol w:w="567"/>
        <w:gridCol w:w="708"/>
        <w:gridCol w:w="709"/>
        <w:gridCol w:w="567"/>
      </w:tblGrid>
      <w:tr w14:paraId="715C4E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556" w:type="dxa"/>
            <w:vMerge w:val="restart"/>
            <w:tcBorders>
              <w:top w:val="single" w:color="000000" w:sz="6" w:space="0"/>
              <w:left w:val="single" w:color="000000" w:sz="6" w:space="0"/>
              <w:bottom w:val="nil"/>
            </w:tcBorders>
            <w:vAlign w:val="center"/>
          </w:tcPr>
          <w:p w14:paraId="35C67F56">
            <w:pPr>
              <w:pStyle w:val="57"/>
              <w:spacing w:after="0" w:line="240" w:lineRule="auto"/>
              <w:rPr>
                <w:rFonts w:hint="default" w:ascii="Times New Roman" w:hAnsi="Times New Roman" w:eastAsia="宋体" w:cs="Times New Roman"/>
                <w:snapToGrid w:val="0"/>
                <w:color w:val="auto"/>
                <w:sz w:val="24"/>
                <w:szCs w:val="24"/>
                <w:highlight w:val="none"/>
                <w:lang w:eastAsia="zh-CN"/>
              </w:rPr>
            </w:pPr>
            <w:r>
              <w:rPr>
                <w:rFonts w:hint="default" w:ascii="Times New Roman" w:hAnsi="Times New Roman" w:eastAsia="宋体" w:cs="Times New Roman"/>
                <w:snapToGrid w:val="0"/>
                <w:color w:val="auto"/>
                <w:sz w:val="24"/>
                <w:szCs w:val="24"/>
                <w:highlight w:val="none"/>
                <w:lang w:eastAsia="en-US"/>
              </w:rPr>
              <w:t>总</w:t>
            </w:r>
          </w:p>
          <w:p w14:paraId="0F803A8D">
            <w:pPr>
              <w:pStyle w:val="57"/>
              <w:spacing w:after="0" w:line="240" w:lineRule="auto"/>
              <w:rPr>
                <w:rFonts w:hint="default" w:ascii="Times New Roman" w:hAnsi="Times New Roman" w:eastAsia="宋体" w:cs="Times New Roman"/>
                <w:snapToGrid w:val="0"/>
                <w:color w:val="auto"/>
                <w:sz w:val="24"/>
                <w:szCs w:val="24"/>
                <w:highlight w:val="none"/>
                <w:lang w:eastAsia="zh-CN"/>
              </w:rPr>
            </w:pPr>
            <w:r>
              <w:rPr>
                <w:rFonts w:hint="default" w:ascii="Times New Roman" w:hAnsi="Times New Roman" w:eastAsia="宋体" w:cs="Times New Roman"/>
                <w:snapToGrid w:val="0"/>
                <w:color w:val="auto"/>
                <w:sz w:val="24"/>
                <w:szCs w:val="24"/>
                <w:highlight w:val="none"/>
                <w:lang w:eastAsia="en-US"/>
              </w:rPr>
              <w:t>层</w:t>
            </w:r>
          </w:p>
          <w:p w14:paraId="58D1C386">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数</w:t>
            </w:r>
          </w:p>
        </w:tc>
        <w:tc>
          <w:tcPr>
            <w:tcW w:w="721" w:type="dxa"/>
            <w:vMerge w:val="restart"/>
            <w:tcBorders>
              <w:top w:val="single" w:color="000000" w:sz="6" w:space="0"/>
              <w:bottom w:val="nil"/>
            </w:tcBorders>
            <w:vAlign w:val="center"/>
          </w:tcPr>
          <w:p w14:paraId="34C1237B">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圈梁</w:t>
            </w:r>
          </w:p>
          <w:p w14:paraId="0DD94AE6">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设置</w:t>
            </w:r>
          </w:p>
          <w:p w14:paraId="5E079768">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楼层</w:t>
            </w:r>
          </w:p>
        </w:tc>
        <w:tc>
          <w:tcPr>
            <w:tcW w:w="992" w:type="dxa"/>
            <w:vMerge w:val="restart"/>
            <w:tcBorders>
              <w:top w:val="single" w:color="000000" w:sz="6" w:space="0"/>
              <w:bottom w:val="nil"/>
            </w:tcBorders>
            <w:vAlign w:val="center"/>
          </w:tcPr>
          <w:p w14:paraId="68346354">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砌体砂浆</w:t>
            </w:r>
          </w:p>
          <w:p w14:paraId="7A500FFE">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强度等级</w:t>
            </w:r>
          </w:p>
        </w:tc>
        <w:tc>
          <w:tcPr>
            <w:tcW w:w="5245" w:type="dxa"/>
            <w:gridSpan w:val="9"/>
            <w:tcBorders>
              <w:top w:val="single" w:color="000000" w:sz="6" w:space="0"/>
              <w:right w:val="single" w:color="000000" w:sz="6" w:space="0"/>
            </w:tcBorders>
            <w:vAlign w:val="center"/>
          </w:tcPr>
          <w:p w14:paraId="4584D223">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墙体厚度(mm)</w:t>
            </w:r>
          </w:p>
        </w:tc>
      </w:tr>
      <w:tr w14:paraId="416307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 w:hRule="atLeast"/>
          <w:jc w:val="center"/>
        </w:trPr>
        <w:tc>
          <w:tcPr>
            <w:tcW w:w="556" w:type="dxa"/>
            <w:vMerge w:val="continue"/>
            <w:tcBorders>
              <w:top w:val="nil"/>
              <w:left w:val="single" w:color="000000" w:sz="6" w:space="0"/>
              <w:bottom w:val="nil"/>
            </w:tcBorders>
            <w:vAlign w:val="center"/>
          </w:tcPr>
          <w:p w14:paraId="6225EDC4">
            <w:pPr>
              <w:pStyle w:val="57"/>
              <w:spacing w:after="0" w:line="240" w:lineRule="auto"/>
              <w:rPr>
                <w:rFonts w:hint="default" w:ascii="Times New Roman" w:hAnsi="Times New Roman" w:eastAsia="宋体" w:cs="Times New Roman"/>
                <w:snapToGrid w:val="0"/>
                <w:color w:val="auto"/>
                <w:sz w:val="24"/>
                <w:szCs w:val="24"/>
                <w:highlight w:val="none"/>
                <w:lang w:eastAsia="en-US"/>
              </w:rPr>
            </w:pPr>
          </w:p>
        </w:tc>
        <w:tc>
          <w:tcPr>
            <w:tcW w:w="721" w:type="dxa"/>
            <w:vMerge w:val="continue"/>
            <w:tcBorders>
              <w:top w:val="nil"/>
              <w:bottom w:val="nil"/>
            </w:tcBorders>
            <w:vAlign w:val="center"/>
          </w:tcPr>
          <w:p w14:paraId="1932C58D">
            <w:pPr>
              <w:pStyle w:val="57"/>
              <w:spacing w:after="0" w:line="240" w:lineRule="auto"/>
              <w:rPr>
                <w:rFonts w:hint="default" w:ascii="Times New Roman" w:hAnsi="Times New Roman" w:eastAsia="宋体" w:cs="Times New Roman"/>
                <w:snapToGrid w:val="0"/>
                <w:color w:val="auto"/>
                <w:sz w:val="24"/>
                <w:szCs w:val="24"/>
                <w:highlight w:val="none"/>
                <w:lang w:eastAsia="en-US"/>
              </w:rPr>
            </w:pPr>
          </w:p>
        </w:tc>
        <w:tc>
          <w:tcPr>
            <w:tcW w:w="992" w:type="dxa"/>
            <w:vMerge w:val="continue"/>
            <w:tcBorders>
              <w:top w:val="nil"/>
              <w:bottom w:val="nil"/>
            </w:tcBorders>
            <w:vAlign w:val="center"/>
          </w:tcPr>
          <w:p w14:paraId="5A679D98">
            <w:pPr>
              <w:pStyle w:val="57"/>
              <w:spacing w:after="0" w:line="240" w:lineRule="auto"/>
              <w:rPr>
                <w:rFonts w:hint="default" w:ascii="Times New Roman" w:hAnsi="Times New Roman" w:eastAsia="宋体" w:cs="Times New Roman"/>
                <w:snapToGrid w:val="0"/>
                <w:color w:val="auto"/>
                <w:sz w:val="24"/>
                <w:szCs w:val="24"/>
                <w:highlight w:val="none"/>
                <w:lang w:eastAsia="en-US"/>
              </w:rPr>
            </w:pPr>
          </w:p>
        </w:tc>
        <w:tc>
          <w:tcPr>
            <w:tcW w:w="1618" w:type="dxa"/>
            <w:gridSpan w:val="3"/>
            <w:vAlign w:val="center"/>
          </w:tcPr>
          <w:p w14:paraId="53E79CA9">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370</w:t>
            </w:r>
          </w:p>
        </w:tc>
        <w:tc>
          <w:tcPr>
            <w:tcW w:w="3627" w:type="dxa"/>
            <w:gridSpan w:val="6"/>
            <w:tcBorders>
              <w:right w:val="single" w:color="000000" w:sz="6" w:space="0"/>
            </w:tcBorders>
            <w:vAlign w:val="center"/>
          </w:tcPr>
          <w:p w14:paraId="463F86B8">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240</w:t>
            </w:r>
          </w:p>
        </w:tc>
      </w:tr>
      <w:tr w14:paraId="69305F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jc w:val="center"/>
        </w:trPr>
        <w:tc>
          <w:tcPr>
            <w:tcW w:w="556" w:type="dxa"/>
            <w:vMerge w:val="continue"/>
            <w:tcBorders>
              <w:top w:val="nil"/>
              <w:left w:val="single" w:color="000000" w:sz="6" w:space="0"/>
              <w:bottom w:val="nil"/>
            </w:tcBorders>
            <w:vAlign w:val="center"/>
          </w:tcPr>
          <w:p w14:paraId="285DF665">
            <w:pPr>
              <w:pStyle w:val="57"/>
              <w:spacing w:after="0" w:line="240" w:lineRule="auto"/>
              <w:rPr>
                <w:rFonts w:hint="default" w:ascii="Times New Roman" w:hAnsi="Times New Roman" w:eastAsia="宋体" w:cs="Times New Roman"/>
                <w:snapToGrid w:val="0"/>
                <w:color w:val="auto"/>
                <w:sz w:val="24"/>
                <w:szCs w:val="24"/>
                <w:highlight w:val="none"/>
                <w:lang w:eastAsia="en-US"/>
              </w:rPr>
            </w:pPr>
          </w:p>
        </w:tc>
        <w:tc>
          <w:tcPr>
            <w:tcW w:w="721" w:type="dxa"/>
            <w:vMerge w:val="continue"/>
            <w:tcBorders>
              <w:top w:val="nil"/>
              <w:bottom w:val="nil"/>
            </w:tcBorders>
            <w:vAlign w:val="center"/>
          </w:tcPr>
          <w:p w14:paraId="5D929E78">
            <w:pPr>
              <w:pStyle w:val="57"/>
              <w:spacing w:after="0" w:line="240" w:lineRule="auto"/>
              <w:rPr>
                <w:rFonts w:hint="default" w:ascii="Times New Roman" w:hAnsi="Times New Roman" w:eastAsia="宋体" w:cs="Times New Roman"/>
                <w:snapToGrid w:val="0"/>
                <w:color w:val="auto"/>
                <w:sz w:val="24"/>
                <w:szCs w:val="24"/>
                <w:highlight w:val="none"/>
                <w:lang w:eastAsia="en-US"/>
              </w:rPr>
            </w:pPr>
          </w:p>
        </w:tc>
        <w:tc>
          <w:tcPr>
            <w:tcW w:w="992" w:type="dxa"/>
            <w:vMerge w:val="continue"/>
            <w:tcBorders>
              <w:top w:val="nil"/>
              <w:bottom w:val="nil"/>
            </w:tcBorders>
            <w:vAlign w:val="center"/>
          </w:tcPr>
          <w:p w14:paraId="41874935">
            <w:pPr>
              <w:pStyle w:val="57"/>
              <w:spacing w:after="0" w:line="240" w:lineRule="auto"/>
              <w:rPr>
                <w:rFonts w:hint="default" w:ascii="Times New Roman" w:hAnsi="Times New Roman" w:eastAsia="宋体" w:cs="Times New Roman"/>
                <w:snapToGrid w:val="0"/>
                <w:color w:val="auto"/>
                <w:sz w:val="24"/>
                <w:szCs w:val="24"/>
                <w:highlight w:val="none"/>
                <w:lang w:eastAsia="en-US"/>
              </w:rPr>
            </w:pPr>
          </w:p>
        </w:tc>
        <w:tc>
          <w:tcPr>
            <w:tcW w:w="5245" w:type="dxa"/>
            <w:gridSpan w:val="9"/>
            <w:tcBorders>
              <w:right w:val="single" w:color="000000" w:sz="6" w:space="0"/>
            </w:tcBorders>
            <w:vAlign w:val="center"/>
          </w:tcPr>
          <w:p w14:paraId="273A2C7D">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烈             度</w:t>
            </w:r>
          </w:p>
        </w:tc>
      </w:tr>
      <w:tr w14:paraId="164DD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jc w:val="center"/>
        </w:trPr>
        <w:tc>
          <w:tcPr>
            <w:tcW w:w="556" w:type="dxa"/>
            <w:vMerge w:val="continue"/>
            <w:tcBorders>
              <w:top w:val="nil"/>
              <w:left w:val="single" w:color="000000" w:sz="6" w:space="0"/>
            </w:tcBorders>
            <w:vAlign w:val="center"/>
          </w:tcPr>
          <w:p w14:paraId="76FA8B41">
            <w:pPr>
              <w:pStyle w:val="57"/>
              <w:spacing w:after="0" w:line="240" w:lineRule="auto"/>
              <w:rPr>
                <w:rFonts w:hint="default" w:ascii="Times New Roman" w:hAnsi="Times New Roman" w:eastAsia="宋体" w:cs="Times New Roman"/>
                <w:snapToGrid w:val="0"/>
                <w:color w:val="auto"/>
                <w:sz w:val="24"/>
                <w:szCs w:val="24"/>
                <w:highlight w:val="none"/>
                <w:lang w:eastAsia="en-US"/>
              </w:rPr>
            </w:pPr>
          </w:p>
        </w:tc>
        <w:tc>
          <w:tcPr>
            <w:tcW w:w="721" w:type="dxa"/>
            <w:vMerge w:val="continue"/>
            <w:tcBorders>
              <w:top w:val="nil"/>
            </w:tcBorders>
            <w:vAlign w:val="center"/>
          </w:tcPr>
          <w:p w14:paraId="698A9566">
            <w:pPr>
              <w:pStyle w:val="57"/>
              <w:spacing w:after="0" w:line="240" w:lineRule="auto"/>
              <w:rPr>
                <w:rFonts w:hint="default" w:ascii="Times New Roman" w:hAnsi="Times New Roman" w:eastAsia="宋体" w:cs="Times New Roman"/>
                <w:snapToGrid w:val="0"/>
                <w:color w:val="auto"/>
                <w:sz w:val="24"/>
                <w:szCs w:val="24"/>
                <w:highlight w:val="none"/>
                <w:lang w:eastAsia="en-US"/>
              </w:rPr>
            </w:pPr>
          </w:p>
        </w:tc>
        <w:tc>
          <w:tcPr>
            <w:tcW w:w="992" w:type="dxa"/>
            <w:vMerge w:val="continue"/>
            <w:tcBorders>
              <w:top w:val="nil"/>
            </w:tcBorders>
            <w:vAlign w:val="center"/>
          </w:tcPr>
          <w:p w14:paraId="4EA14B9A">
            <w:pPr>
              <w:pStyle w:val="57"/>
              <w:spacing w:after="0" w:line="240" w:lineRule="auto"/>
              <w:rPr>
                <w:rFonts w:hint="default" w:ascii="Times New Roman" w:hAnsi="Times New Roman" w:eastAsia="宋体" w:cs="Times New Roman"/>
                <w:snapToGrid w:val="0"/>
                <w:color w:val="auto"/>
                <w:sz w:val="24"/>
                <w:szCs w:val="24"/>
                <w:highlight w:val="none"/>
                <w:lang w:eastAsia="en-US"/>
              </w:rPr>
            </w:pPr>
          </w:p>
        </w:tc>
        <w:tc>
          <w:tcPr>
            <w:tcW w:w="567" w:type="dxa"/>
            <w:vAlign w:val="center"/>
          </w:tcPr>
          <w:p w14:paraId="4E438C48">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6</w:t>
            </w:r>
          </w:p>
        </w:tc>
        <w:tc>
          <w:tcPr>
            <w:tcW w:w="709" w:type="dxa"/>
            <w:vAlign w:val="center"/>
          </w:tcPr>
          <w:p w14:paraId="20742845">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7</w:t>
            </w:r>
          </w:p>
        </w:tc>
        <w:tc>
          <w:tcPr>
            <w:tcW w:w="851" w:type="dxa"/>
            <w:gridSpan w:val="2"/>
            <w:vAlign w:val="center"/>
          </w:tcPr>
          <w:p w14:paraId="103626EE">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8</w:t>
            </w:r>
          </w:p>
        </w:tc>
        <w:tc>
          <w:tcPr>
            <w:tcW w:w="567" w:type="dxa"/>
            <w:vAlign w:val="center"/>
          </w:tcPr>
          <w:p w14:paraId="3B778846">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9</w:t>
            </w:r>
          </w:p>
        </w:tc>
        <w:tc>
          <w:tcPr>
            <w:tcW w:w="567" w:type="dxa"/>
            <w:vAlign w:val="center"/>
          </w:tcPr>
          <w:p w14:paraId="56EF27F1">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6</w:t>
            </w:r>
          </w:p>
        </w:tc>
        <w:tc>
          <w:tcPr>
            <w:tcW w:w="708" w:type="dxa"/>
            <w:vAlign w:val="center"/>
          </w:tcPr>
          <w:p w14:paraId="30A6A764">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7</w:t>
            </w:r>
          </w:p>
        </w:tc>
        <w:tc>
          <w:tcPr>
            <w:tcW w:w="709" w:type="dxa"/>
            <w:vAlign w:val="center"/>
          </w:tcPr>
          <w:p w14:paraId="7AB209D2">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8</w:t>
            </w:r>
          </w:p>
        </w:tc>
        <w:tc>
          <w:tcPr>
            <w:tcW w:w="567" w:type="dxa"/>
            <w:tcBorders>
              <w:right w:val="single" w:color="000000" w:sz="6" w:space="0"/>
            </w:tcBorders>
            <w:vAlign w:val="center"/>
          </w:tcPr>
          <w:p w14:paraId="22C938D0">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9</w:t>
            </w:r>
          </w:p>
        </w:tc>
      </w:tr>
      <w:tr w14:paraId="040A35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jc w:val="center"/>
        </w:trPr>
        <w:tc>
          <w:tcPr>
            <w:tcW w:w="556" w:type="dxa"/>
            <w:vMerge w:val="restart"/>
            <w:tcBorders>
              <w:left w:val="single" w:color="000000" w:sz="6" w:space="0"/>
              <w:bottom w:val="nil"/>
            </w:tcBorders>
            <w:vAlign w:val="center"/>
          </w:tcPr>
          <w:p w14:paraId="1C780DB2">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6</w:t>
            </w:r>
          </w:p>
        </w:tc>
        <w:tc>
          <w:tcPr>
            <w:tcW w:w="721" w:type="dxa"/>
            <w:vAlign w:val="center"/>
          </w:tcPr>
          <w:p w14:paraId="667A57BB">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5~6</w:t>
            </w:r>
          </w:p>
        </w:tc>
        <w:tc>
          <w:tcPr>
            <w:tcW w:w="992" w:type="dxa"/>
            <w:vAlign w:val="center"/>
          </w:tcPr>
          <w:p w14:paraId="556B19EF">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M1,M2.5</w:t>
            </w:r>
          </w:p>
          <w:p w14:paraId="0B935F3E">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M0.4</w:t>
            </w:r>
          </w:p>
        </w:tc>
        <w:tc>
          <w:tcPr>
            <w:tcW w:w="567" w:type="dxa"/>
            <w:vMerge w:val="restart"/>
            <w:tcBorders>
              <w:bottom w:val="nil"/>
            </w:tcBorders>
            <w:vAlign w:val="center"/>
          </w:tcPr>
          <w:p w14:paraId="3B2E1F45">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4φ10</w:t>
            </w:r>
          </w:p>
        </w:tc>
        <w:tc>
          <w:tcPr>
            <w:tcW w:w="709" w:type="dxa"/>
            <w:vAlign w:val="center"/>
          </w:tcPr>
          <w:p w14:paraId="1BC5690D">
            <w:pPr>
              <w:pStyle w:val="57"/>
              <w:spacing w:after="0" w:line="240" w:lineRule="auto"/>
              <w:rPr>
                <w:rFonts w:hint="default" w:ascii="Times New Roman" w:hAnsi="Times New Roman" w:eastAsia="宋体" w:cs="Times New Roman"/>
                <w:snapToGrid w:val="0"/>
                <w:color w:val="auto"/>
                <w:sz w:val="24"/>
                <w:szCs w:val="24"/>
                <w:highlight w:val="none"/>
                <w:lang w:eastAsia="zh-CN"/>
              </w:rPr>
            </w:pPr>
            <w:r>
              <w:rPr>
                <w:rFonts w:hint="default" w:ascii="Times New Roman" w:hAnsi="Times New Roman" w:eastAsia="宋体" w:cs="Times New Roman"/>
                <w:snapToGrid w:val="0"/>
                <w:color w:val="auto"/>
                <w:sz w:val="24"/>
                <w:szCs w:val="24"/>
                <w:highlight w:val="none"/>
                <w:lang w:eastAsia="en-US"/>
              </w:rPr>
              <w:t>4φ10</w:t>
            </w:r>
          </w:p>
          <w:p w14:paraId="400FBEE2">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4φ12</w:t>
            </w:r>
          </w:p>
        </w:tc>
        <w:tc>
          <w:tcPr>
            <w:tcW w:w="851" w:type="dxa"/>
            <w:gridSpan w:val="2"/>
            <w:vAlign w:val="center"/>
          </w:tcPr>
          <w:p w14:paraId="2A10E788">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4φ12</w:t>
            </w:r>
          </w:p>
          <w:p w14:paraId="15A1116C">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4φ14</w:t>
            </w:r>
          </w:p>
        </w:tc>
        <w:tc>
          <w:tcPr>
            <w:tcW w:w="567" w:type="dxa"/>
            <w:vAlign w:val="center"/>
          </w:tcPr>
          <w:p w14:paraId="4CAF26EB">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w:t>
            </w:r>
          </w:p>
        </w:tc>
        <w:tc>
          <w:tcPr>
            <w:tcW w:w="567" w:type="dxa"/>
            <w:vMerge w:val="restart"/>
            <w:tcBorders>
              <w:bottom w:val="nil"/>
            </w:tcBorders>
            <w:vAlign w:val="center"/>
          </w:tcPr>
          <w:p w14:paraId="79653CC7">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4φ10</w:t>
            </w:r>
          </w:p>
        </w:tc>
        <w:tc>
          <w:tcPr>
            <w:tcW w:w="708" w:type="dxa"/>
            <w:vAlign w:val="center"/>
          </w:tcPr>
          <w:p w14:paraId="165294EB">
            <w:pPr>
              <w:pStyle w:val="57"/>
              <w:spacing w:after="0" w:line="240" w:lineRule="auto"/>
              <w:rPr>
                <w:rFonts w:hint="default" w:ascii="Times New Roman" w:hAnsi="Times New Roman" w:eastAsia="宋体" w:cs="Times New Roman"/>
                <w:snapToGrid w:val="0"/>
                <w:color w:val="auto"/>
                <w:sz w:val="24"/>
                <w:szCs w:val="24"/>
                <w:highlight w:val="none"/>
                <w:lang w:eastAsia="zh-CN"/>
              </w:rPr>
            </w:pPr>
            <w:r>
              <w:rPr>
                <w:rFonts w:hint="default" w:ascii="Times New Roman" w:hAnsi="Times New Roman" w:eastAsia="宋体" w:cs="Times New Roman"/>
                <w:snapToGrid w:val="0"/>
                <w:color w:val="auto"/>
                <w:sz w:val="24"/>
                <w:szCs w:val="24"/>
                <w:highlight w:val="none"/>
                <w:lang w:eastAsia="en-US"/>
              </w:rPr>
              <w:t>4φ10</w:t>
            </w:r>
          </w:p>
          <w:p w14:paraId="23B60120">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4φ12</w:t>
            </w:r>
          </w:p>
        </w:tc>
        <w:tc>
          <w:tcPr>
            <w:tcW w:w="709" w:type="dxa"/>
            <w:vAlign w:val="center"/>
          </w:tcPr>
          <w:p w14:paraId="57F07860">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4φ12</w:t>
            </w:r>
          </w:p>
          <w:p w14:paraId="6D03D271">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4φ14</w:t>
            </w:r>
          </w:p>
        </w:tc>
        <w:tc>
          <w:tcPr>
            <w:tcW w:w="567" w:type="dxa"/>
            <w:tcBorders>
              <w:right w:val="single" w:color="000000" w:sz="6" w:space="0"/>
            </w:tcBorders>
            <w:vAlign w:val="center"/>
          </w:tcPr>
          <w:p w14:paraId="28942D22">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w:t>
            </w:r>
          </w:p>
        </w:tc>
      </w:tr>
      <w:tr w14:paraId="248718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jc w:val="center"/>
        </w:trPr>
        <w:tc>
          <w:tcPr>
            <w:tcW w:w="556" w:type="dxa"/>
            <w:vMerge w:val="continue"/>
            <w:tcBorders>
              <w:top w:val="nil"/>
              <w:left w:val="single" w:color="000000" w:sz="6" w:space="0"/>
            </w:tcBorders>
            <w:vAlign w:val="center"/>
          </w:tcPr>
          <w:p w14:paraId="135B6625">
            <w:pPr>
              <w:pStyle w:val="57"/>
              <w:spacing w:after="0" w:line="240" w:lineRule="auto"/>
              <w:rPr>
                <w:rFonts w:hint="default" w:ascii="Times New Roman" w:hAnsi="Times New Roman" w:eastAsia="宋体" w:cs="Times New Roman"/>
                <w:snapToGrid w:val="0"/>
                <w:color w:val="auto"/>
                <w:sz w:val="24"/>
                <w:szCs w:val="24"/>
                <w:highlight w:val="none"/>
                <w:lang w:eastAsia="en-US"/>
              </w:rPr>
            </w:pPr>
          </w:p>
        </w:tc>
        <w:tc>
          <w:tcPr>
            <w:tcW w:w="721" w:type="dxa"/>
            <w:vAlign w:val="center"/>
          </w:tcPr>
          <w:p w14:paraId="13016286">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1~4</w:t>
            </w:r>
          </w:p>
        </w:tc>
        <w:tc>
          <w:tcPr>
            <w:tcW w:w="992" w:type="dxa"/>
            <w:vAlign w:val="center"/>
          </w:tcPr>
          <w:p w14:paraId="234B16A0">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M1,M2.5</w:t>
            </w:r>
          </w:p>
          <w:p w14:paraId="199F42C2">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M0.4</w:t>
            </w:r>
          </w:p>
        </w:tc>
        <w:tc>
          <w:tcPr>
            <w:tcW w:w="567" w:type="dxa"/>
            <w:vMerge w:val="continue"/>
            <w:tcBorders>
              <w:top w:val="nil"/>
              <w:bottom w:val="nil"/>
            </w:tcBorders>
            <w:vAlign w:val="center"/>
          </w:tcPr>
          <w:p w14:paraId="4591D885">
            <w:pPr>
              <w:pStyle w:val="57"/>
              <w:spacing w:after="0" w:line="240" w:lineRule="auto"/>
              <w:rPr>
                <w:rFonts w:hint="default" w:ascii="Times New Roman" w:hAnsi="Times New Roman" w:eastAsia="宋体" w:cs="Times New Roman"/>
                <w:snapToGrid w:val="0"/>
                <w:color w:val="auto"/>
                <w:sz w:val="24"/>
                <w:szCs w:val="24"/>
                <w:highlight w:val="none"/>
                <w:lang w:eastAsia="en-US"/>
              </w:rPr>
            </w:pPr>
          </w:p>
        </w:tc>
        <w:tc>
          <w:tcPr>
            <w:tcW w:w="709" w:type="dxa"/>
            <w:vAlign w:val="center"/>
          </w:tcPr>
          <w:p w14:paraId="3D1E5716">
            <w:pPr>
              <w:pStyle w:val="57"/>
              <w:spacing w:after="0" w:line="240" w:lineRule="auto"/>
              <w:rPr>
                <w:rFonts w:hint="default" w:ascii="Times New Roman" w:hAnsi="Times New Roman" w:eastAsia="宋体" w:cs="Times New Roman"/>
                <w:snapToGrid w:val="0"/>
                <w:color w:val="auto"/>
                <w:sz w:val="24"/>
                <w:szCs w:val="24"/>
                <w:highlight w:val="none"/>
                <w:lang w:eastAsia="zh-CN"/>
              </w:rPr>
            </w:pPr>
            <w:r>
              <w:rPr>
                <w:rFonts w:hint="default" w:ascii="Times New Roman" w:hAnsi="Times New Roman" w:eastAsia="宋体" w:cs="Times New Roman"/>
                <w:snapToGrid w:val="0"/>
                <w:color w:val="auto"/>
                <w:sz w:val="24"/>
                <w:szCs w:val="24"/>
                <w:highlight w:val="none"/>
                <w:lang w:eastAsia="en-US"/>
              </w:rPr>
              <w:t>4φ10</w:t>
            </w:r>
          </w:p>
          <w:p w14:paraId="539AAFB5">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4φ12</w:t>
            </w:r>
          </w:p>
        </w:tc>
        <w:tc>
          <w:tcPr>
            <w:tcW w:w="851" w:type="dxa"/>
            <w:gridSpan w:val="2"/>
            <w:vAlign w:val="center"/>
          </w:tcPr>
          <w:p w14:paraId="05B99F1C">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4φ12</w:t>
            </w:r>
          </w:p>
          <w:p w14:paraId="4378917A">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w:t>
            </w:r>
          </w:p>
        </w:tc>
        <w:tc>
          <w:tcPr>
            <w:tcW w:w="567" w:type="dxa"/>
            <w:vAlign w:val="center"/>
          </w:tcPr>
          <w:p w14:paraId="06889BC4">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w:t>
            </w:r>
          </w:p>
        </w:tc>
        <w:tc>
          <w:tcPr>
            <w:tcW w:w="567" w:type="dxa"/>
            <w:vMerge w:val="continue"/>
            <w:tcBorders>
              <w:top w:val="nil"/>
              <w:bottom w:val="nil"/>
            </w:tcBorders>
            <w:vAlign w:val="center"/>
          </w:tcPr>
          <w:p w14:paraId="4E080380">
            <w:pPr>
              <w:pStyle w:val="57"/>
              <w:spacing w:after="0" w:line="240" w:lineRule="auto"/>
              <w:rPr>
                <w:rFonts w:hint="default" w:ascii="Times New Roman" w:hAnsi="Times New Roman" w:eastAsia="宋体" w:cs="Times New Roman"/>
                <w:snapToGrid w:val="0"/>
                <w:color w:val="auto"/>
                <w:sz w:val="24"/>
                <w:szCs w:val="24"/>
                <w:highlight w:val="none"/>
                <w:lang w:eastAsia="en-US"/>
              </w:rPr>
            </w:pPr>
          </w:p>
        </w:tc>
        <w:tc>
          <w:tcPr>
            <w:tcW w:w="708" w:type="dxa"/>
            <w:vAlign w:val="center"/>
          </w:tcPr>
          <w:p w14:paraId="6804347E">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4φ10</w:t>
            </w:r>
          </w:p>
          <w:p w14:paraId="7E45B705">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w:t>
            </w:r>
          </w:p>
        </w:tc>
        <w:tc>
          <w:tcPr>
            <w:tcW w:w="709" w:type="dxa"/>
            <w:vAlign w:val="center"/>
          </w:tcPr>
          <w:p w14:paraId="48FFC513">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4φ12</w:t>
            </w:r>
          </w:p>
          <w:p w14:paraId="6D33199B">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w:t>
            </w:r>
          </w:p>
        </w:tc>
        <w:tc>
          <w:tcPr>
            <w:tcW w:w="567" w:type="dxa"/>
            <w:tcBorders>
              <w:right w:val="single" w:color="000000" w:sz="6" w:space="0"/>
            </w:tcBorders>
            <w:vAlign w:val="center"/>
          </w:tcPr>
          <w:p w14:paraId="7CDE2D5F">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w:t>
            </w:r>
          </w:p>
        </w:tc>
      </w:tr>
      <w:tr w14:paraId="37A080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jc w:val="center"/>
        </w:trPr>
        <w:tc>
          <w:tcPr>
            <w:tcW w:w="556" w:type="dxa"/>
            <w:vMerge w:val="restart"/>
            <w:tcBorders>
              <w:left w:val="single" w:color="000000" w:sz="6" w:space="0"/>
              <w:bottom w:val="nil"/>
            </w:tcBorders>
            <w:vAlign w:val="center"/>
          </w:tcPr>
          <w:p w14:paraId="3DDBCD73">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5</w:t>
            </w:r>
          </w:p>
        </w:tc>
        <w:tc>
          <w:tcPr>
            <w:tcW w:w="721" w:type="dxa"/>
            <w:vAlign w:val="center"/>
          </w:tcPr>
          <w:p w14:paraId="2FEE7027">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4~5</w:t>
            </w:r>
          </w:p>
        </w:tc>
        <w:tc>
          <w:tcPr>
            <w:tcW w:w="992" w:type="dxa"/>
            <w:vAlign w:val="center"/>
          </w:tcPr>
          <w:p w14:paraId="1D238D87">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M1,M2.5</w:t>
            </w:r>
          </w:p>
          <w:p w14:paraId="5BBABADF">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M0.4</w:t>
            </w:r>
          </w:p>
        </w:tc>
        <w:tc>
          <w:tcPr>
            <w:tcW w:w="567" w:type="dxa"/>
            <w:vMerge w:val="continue"/>
            <w:tcBorders>
              <w:top w:val="nil"/>
              <w:bottom w:val="nil"/>
            </w:tcBorders>
            <w:vAlign w:val="center"/>
          </w:tcPr>
          <w:p w14:paraId="7814622C">
            <w:pPr>
              <w:pStyle w:val="57"/>
              <w:spacing w:after="0" w:line="240" w:lineRule="auto"/>
              <w:rPr>
                <w:rFonts w:hint="default" w:ascii="Times New Roman" w:hAnsi="Times New Roman" w:eastAsia="宋体" w:cs="Times New Roman"/>
                <w:snapToGrid w:val="0"/>
                <w:color w:val="auto"/>
                <w:sz w:val="24"/>
                <w:szCs w:val="24"/>
                <w:highlight w:val="none"/>
                <w:lang w:eastAsia="en-US"/>
              </w:rPr>
            </w:pPr>
          </w:p>
        </w:tc>
        <w:tc>
          <w:tcPr>
            <w:tcW w:w="709" w:type="dxa"/>
            <w:vAlign w:val="center"/>
          </w:tcPr>
          <w:p w14:paraId="607C85DB">
            <w:pPr>
              <w:pStyle w:val="57"/>
              <w:spacing w:after="0" w:line="240" w:lineRule="auto"/>
              <w:rPr>
                <w:rFonts w:hint="default" w:ascii="Times New Roman" w:hAnsi="Times New Roman" w:eastAsia="宋体" w:cs="Times New Roman"/>
                <w:snapToGrid w:val="0"/>
                <w:color w:val="auto"/>
                <w:sz w:val="24"/>
                <w:szCs w:val="24"/>
                <w:highlight w:val="none"/>
                <w:lang w:eastAsia="zh-CN"/>
              </w:rPr>
            </w:pPr>
            <w:r>
              <w:rPr>
                <w:rFonts w:hint="default" w:ascii="Times New Roman" w:hAnsi="Times New Roman" w:eastAsia="宋体" w:cs="Times New Roman"/>
                <w:snapToGrid w:val="0"/>
                <w:color w:val="auto"/>
                <w:sz w:val="24"/>
                <w:szCs w:val="24"/>
                <w:highlight w:val="none"/>
                <w:lang w:eastAsia="en-US"/>
              </w:rPr>
              <w:t>4φ10</w:t>
            </w:r>
          </w:p>
          <w:p w14:paraId="617EC1F7">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4φ12</w:t>
            </w:r>
          </w:p>
        </w:tc>
        <w:tc>
          <w:tcPr>
            <w:tcW w:w="851" w:type="dxa"/>
            <w:gridSpan w:val="2"/>
            <w:vAlign w:val="center"/>
          </w:tcPr>
          <w:p w14:paraId="2CD2E1D8">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4φ12</w:t>
            </w:r>
          </w:p>
        </w:tc>
        <w:tc>
          <w:tcPr>
            <w:tcW w:w="567" w:type="dxa"/>
            <w:vAlign w:val="center"/>
          </w:tcPr>
          <w:p w14:paraId="4881637C">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w:t>
            </w:r>
          </w:p>
        </w:tc>
        <w:tc>
          <w:tcPr>
            <w:tcW w:w="567" w:type="dxa"/>
            <w:vMerge w:val="continue"/>
            <w:tcBorders>
              <w:top w:val="nil"/>
              <w:bottom w:val="nil"/>
            </w:tcBorders>
            <w:vAlign w:val="center"/>
          </w:tcPr>
          <w:p w14:paraId="655E748F">
            <w:pPr>
              <w:pStyle w:val="57"/>
              <w:spacing w:after="0" w:line="240" w:lineRule="auto"/>
              <w:rPr>
                <w:rFonts w:hint="default" w:ascii="Times New Roman" w:hAnsi="Times New Roman" w:eastAsia="宋体" w:cs="Times New Roman"/>
                <w:snapToGrid w:val="0"/>
                <w:color w:val="auto"/>
                <w:sz w:val="24"/>
                <w:szCs w:val="24"/>
                <w:highlight w:val="none"/>
                <w:lang w:eastAsia="en-US"/>
              </w:rPr>
            </w:pPr>
          </w:p>
        </w:tc>
        <w:tc>
          <w:tcPr>
            <w:tcW w:w="708" w:type="dxa"/>
            <w:vAlign w:val="center"/>
          </w:tcPr>
          <w:p w14:paraId="5E9C8B31">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4φ10</w:t>
            </w:r>
          </w:p>
        </w:tc>
        <w:tc>
          <w:tcPr>
            <w:tcW w:w="709" w:type="dxa"/>
            <w:vAlign w:val="center"/>
          </w:tcPr>
          <w:p w14:paraId="688DCC21">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4φ12</w:t>
            </w:r>
          </w:p>
        </w:tc>
        <w:tc>
          <w:tcPr>
            <w:tcW w:w="567" w:type="dxa"/>
            <w:tcBorders>
              <w:right w:val="single" w:color="000000" w:sz="6" w:space="0"/>
            </w:tcBorders>
            <w:vAlign w:val="center"/>
          </w:tcPr>
          <w:p w14:paraId="270341C8">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w:t>
            </w:r>
          </w:p>
        </w:tc>
      </w:tr>
      <w:tr w14:paraId="135EC8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jc w:val="center"/>
        </w:trPr>
        <w:tc>
          <w:tcPr>
            <w:tcW w:w="556" w:type="dxa"/>
            <w:vMerge w:val="continue"/>
            <w:tcBorders>
              <w:top w:val="nil"/>
              <w:left w:val="single" w:color="000000" w:sz="6" w:space="0"/>
            </w:tcBorders>
            <w:vAlign w:val="center"/>
          </w:tcPr>
          <w:p w14:paraId="3AF15095">
            <w:pPr>
              <w:pStyle w:val="57"/>
              <w:spacing w:after="0" w:line="240" w:lineRule="auto"/>
              <w:rPr>
                <w:rFonts w:hint="default" w:ascii="Times New Roman" w:hAnsi="Times New Roman" w:eastAsia="宋体" w:cs="Times New Roman"/>
                <w:snapToGrid w:val="0"/>
                <w:color w:val="auto"/>
                <w:sz w:val="24"/>
                <w:szCs w:val="24"/>
                <w:highlight w:val="none"/>
                <w:lang w:eastAsia="en-US"/>
              </w:rPr>
            </w:pPr>
          </w:p>
        </w:tc>
        <w:tc>
          <w:tcPr>
            <w:tcW w:w="721" w:type="dxa"/>
            <w:vAlign w:val="center"/>
          </w:tcPr>
          <w:p w14:paraId="29B9BF24">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1~3</w:t>
            </w:r>
          </w:p>
        </w:tc>
        <w:tc>
          <w:tcPr>
            <w:tcW w:w="992" w:type="dxa"/>
            <w:vAlign w:val="center"/>
          </w:tcPr>
          <w:p w14:paraId="36E0AFD0">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M1,M2.5</w:t>
            </w:r>
          </w:p>
          <w:p w14:paraId="6E44A041">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M0.4</w:t>
            </w:r>
          </w:p>
        </w:tc>
        <w:tc>
          <w:tcPr>
            <w:tcW w:w="567" w:type="dxa"/>
            <w:vMerge w:val="continue"/>
            <w:tcBorders>
              <w:top w:val="nil"/>
              <w:bottom w:val="nil"/>
            </w:tcBorders>
            <w:vAlign w:val="center"/>
          </w:tcPr>
          <w:p w14:paraId="6300B7D0">
            <w:pPr>
              <w:pStyle w:val="57"/>
              <w:spacing w:after="0" w:line="240" w:lineRule="auto"/>
              <w:rPr>
                <w:rFonts w:hint="default" w:ascii="Times New Roman" w:hAnsi="Times New Roman" w:eastAsia="宋体" w:cs="Times New Roman"/>
                <w:snapToGrid w:val="0"/>
                <w:color w:val="auto"/>
                <w:sz w:val="24"/>
                <w:szCs w:val="24"/>
                <w:highlight w:val="none"/>
                <w:lang w:eastAsia="en-US"/>
              </w:rPr>
            </w:pPr>
          </w:p>
        </w:tc>
        <w:tc>
          <w:tcPr>
            <w:tcW w:w="709" w:type="dxa"/>
            <w:vAlign w:val="center"/>
          </w:tcPr>
          <w:p w14:paraId="64B01ECF">
            <w:pPr>
              <w:pStyle w:val="57"/>
              <w:spacing w:after="0" w:line="240" w:lineRule="auto"/>
              <w:rPr>
                <w:rFonts w:hint="default" w:ascii="Times New Roman" w:hAnsi="Times New Roman" w:eastAsia="宋体" w:cs="Times New Roman"/>
                <w:snapToGrid w:val="0"/>
                <w:color w:val="auto"/>
                <w:sz w:val="24"/>
                <w:szCs w:val="24"/>
                <w:highlight w:val="none"/>
                <w:lang w:eastAsia="zh-CN"/>
              </w:rPr>
            </w:pPr>
            <w:r>
              <w:rPr>
                <w:rFonts w:hint="default" w:ascii="Times New Roman" w:hAnsi="Times New Roman" w:eastAsia="宋体" w:cs="Times New Roman"/>
                <w:snapToGrid w:val="0"/>
                <w:color w:val="auto"/>
                <w:sz w:val="24"/>
                <w:szCs w:val="24"/>
                <w:highlight w:val="none"/>
                <w:lang w:eastAsia="en-US"/>
              </w:rPr>
              <w:t>4φ10</w:t>
            </w:r>
          </w:p>
          <w:p w14:paraId="68A3FA24">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4φ12</w:t>
            </w:r>
          </w:p>
        </w:tc>
        <w:tc>
          <w:tcPr>
            <w:tcW w:w="851" w:type="dxa"/>
            <w:gridSpan w:val="2"/>
            <w:vAlign w:val="center"/>
          </w:tcPr>
          <w:p w14:paraId="4D2F7C69">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4φ12</w:t>
            </w:r>
          </w:p>
        </w:tc>
        <w:tc>
          <w:tcPr>
            <w:tcW w:w="567" w:type="dxa"/>
            <w:vAlign w:val="center"/>
          </w:tcPr>
          <w:p w14:paraId="33EA28FF">
            <w:pPr>
              <w:pStyle w:val="57"/>
              <w:spacing w:after="0" w:line="240" w:lineRule="auto"/>
              <w:rPr>
                <w:rFonts w:hint="default" w:ascii="Times New Roman" w:hAnsi="Times New Roman" w:eastAsia="宋体" w:cs="Times New Roman"/>
                <w:snapToGrid w:val="0"/>
                <w:color w:val="auto"/>
                <w:sz w:val="24"/>
                <w:szCs w:val="24"/>
                <w:highlight w:val="none"/>
                <w:lang w:eastAsia="en-US"/>
              </w:rPr>
            </w:pPr>
          </w:p>
        </w:tc>
        <w:tc>
          <w:tcPr>
            <w:tcW w:w="567" w:type="dxa"/>
            <w:vMerge w:val="continue"/>
            <w:tcBorders>
              <w:top w:val="nil"/>
              <w:bottom w:val="nil"/>
            </w:tcBorders>
            <w:vAlign w:val="center"/>
          </w:tcPr>
          <w:p w14:paraId="0B9CCF5C">
            <w:pPr>
              <w:pStyle w:val="57"/>
              <w:spacing w:after="0" w:line="240" w:lineRule="auto"/>
              <w:rPr>
                <w:rFonts w:hint="default" w:ascii="Times New Roman" w:hAnsi="Times New Roman" w:eastAsia="宋体" w:cs="Times New Roman"/>
                <w:snapToGrid w:val="0"/>
                <w:color w:val="auto"/>
                <w:sz w:val="24"/>
                <w:szCs w:val="24"/>
                <w:highlight w:val="none"/>
                <w:lang w:eastAsia="en-US"/>
              </w:rPr>
            </w:pPr>
          </w:p>
        </w:tc>
        <w:tc>
          <w:tcPr>
            <w:tcW w:w="708" w:type="dxa"/>
            <w:vAlign w:val="center"/>
          </w:tcPr>
          <w:p w14:paraId="0B339AAF">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4φ10</w:t>
            </w:r>
          </w:p>
          <w:p w14:paraId="07D0DD80">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w:t>
            </w:r>
          </w:p>
        </w:tc>
        <w:tc>
          <w:tcPr>
            <w:tcW w:w="709" w:type="dxa"/>
            <w:vAlign w:val="center"/>
          </w:tcPr>
          <w:p w14:paraId="37792310">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4φ12</w:t>
            </w:r>
          </w:p>
          <w:p w14:paraId="52205C81">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w:t>
            </w:r>
          </w:p>
        </w:tc>
        <w:tc>
          <w:tcPr>
            <w:tcW w:w="567" w:type="dxa"/>
            <w:tcBorders>
              <w:right w:val="single" w:color="000000" w:sz="6" w:space="0"/>
            </w:tcBorders>
            <w:vAlign w:val="center"/>
          </w:tcPr>
          <w:p w14:paraId="0B196025">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w:t>
            </w:r>
          </w:p>
        </w:tc>
      </w:tr>
      <w:tr w14:paraId="2AA9FE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jc w:val="center"/>
        </w:trPr>
        <w:tc>
          <w:tcPr>
            <w:tcW w:w="556" w:type="dxa"/>
            <w:vMerge w:val="restart"/>
            <w:tcBorders>
              <w:left w:val="single" w:color="000000" w:sz="6" w:space="0"/>
              <w:bottom w:val="nil"/>
            </w:tcBorders>
            <w:vAlign w:val="center"/>
          </w:tcPr>
          <w:p w14:paraId="1AE60B80">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4</w:t>
            </w:r>
          </w:p>
        </w:tc>
        <w:tc>
          <w:tcPr>
            <w:tcW w:w="721" w:type="dxa"/>
            <w:vAlign w:val="center"/>
          </w:tcPr>
          <w:p w14:paraId="1B6290B3">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3~4</w:t>
            </w:r>
          </w:p>
        </w:tc>
        <w:tc>
          <w:tcPr>
            <w:tcW w:w="992" w:type="dxa"/>
            <w:vAlign w:val="center"/>
          </w:tcPr>
          <w:p w14:paraId="7E7F1A24">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M1,M2.5</w:t>
            </w:r>
          </w:p>
          <w:p w14:paraId="7CAD1C5F">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M0.4</w:t>
            </w:r>
          </w:p>
        </w:tc>
        <w:tc>
          <w:tcPr>
            <w:tcW w:w="567" w:type="dxa"/>
            <w:vMerge w:val="continue"/>
            <w:tcBorders>
              <w:top w:val="nil"/>
              <w:bottom w:val="nil"/>
            </w:tcBorders>
            <w:vAlign w:val="center"/>
          </w:tcPr>
          <w:p w14:paraId="1FE9F8E2">
            <w:pPr>
              <w:pStyle w:val="57"/>
              <w:spacing w:after="0" w:line="240" w:lineRule="auto"/>
              <w:rPr>
                <w:rFonts w:hint="default" w:ascii="Times New Roman" w:hAnsi="Times New Roman" w:eastAsia="宋体" w:cs="Times New Roman"/>
                <w:snapToGrid w:val="0"/>
                <w:color w:val="auto"/>
                <w:sz w:val="24"/>
                <w:szCs w:val="24"/>
                <w:highlight w:val="none"/>
                <w:lang w:eastAsia="en-US"/>
              </w:rPr>
            </w:pPr>
          </w:p>
        </w:tc>
        <w:tc>
          <w:tcPr>
            <w:tcW w:w="709" w:type="dxa"/>
            <w:vAlign w:val="center"/>
          </w:tcPr>
          <w:p w14:paraId="48DF4A15">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4φ10</w:t>
            </w:r>
          </w:p>
          <w:p w14:paraId="7C84B00B">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w:t>
            </w:r>
          </w:p>
        </w:tc>
        <w:tc>
          <w:tcPr>
            <w:tcW w:w="851" w:type="dxa"/>
            <w:gridSpan w:val="2"/>
            <w:vAlign w:val="center"/>
          </w:tcPr>
          <w:p w14:paraId="75642A6E">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4φ12</w:t>
            </w:r>
          </w:p>
          <w:p w14:paraId="6F7A8A10">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4φ14</w:t>
            </w:r>
          </w:p>
        </w:tc>
        <w:tc>
          <w:tcPr>
            <w:tcW w:w="567" w:type="dxa"/>
            <w:vAlign w:val="center"/>
          </w:tcPr>
          <w:p w14:paraId="334887B0">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4φ14</w:t>
            </w:r>
          </w:p>
          <w:p w14:paraId="0368A274">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w:t>
            </w:r>
          </w:p>
        </w:tc>
        <w:tc>
          <w:tcPr>
            <w:tcW w:w="567" w:type="dxa"/>
            <w:vMerge w:val="continue"/>
            <w:tcBorders>
              <w:top w:val="nil"/>
              <w:bottom w:val="nil"/>
            </w:tcBorders>
            <w:vAlign w:val="center"/>
          </w:tcPr>
          <w:p w14:paraId="7F0813A7">
            <w:pPr>
              <w:pStyle w:val="57"/>
              <w:spacing w:after="0" w:line="240" w:lineRule="auto"/>
              <w:rPr>
                <w:rFonts w:hint="default" w:ascii="Times New Roman" w:hAnsi="Times New Roman" w:eastAsia="宋体" w:cs="Times New Roman"/>
                <w:snapToGrid w:val="0"/>
                <w:color w:val="auto"/>
                <w:sz w:val="24"/>
                <w:szCs w:val="24"/>
                <w:highlight w:val="none"/>
                <w:lang w:eastAsia="en-US"/>
              </w:rPr>
            </w:pPr>
          </w:p>
        </w:tc>
        <w:tc>
          <w:tcPr>
            <w:tcW w:w="708" w:type="dxa"/>
            <w:vAlign w:val="center"/>
          </w:tcPr>
          <w:p w14:paraId="3388B04D">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4φ10</w:t>
            </w:r>
          </w:p>
          <w:p w14:paraId="6A58EA78">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w:t>
            </w:r>
          </w:p>
        </w:tc>
        <w:tc>
          <w:tcPr>
            <w:tcW w:w="709" w:type="dxa"/>
            <w:vAlign w:val="center"/>
          </w:tcPr>
          <w:p w14:paraId="223CEF97">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4φ12</w:t>
            </w:r>
          </w:p>
          <w:p w14:paraId="798CFC2E">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w:t>
            </w:r>
          </w:p>
        </w:tc>
        <w:tc>
          <w:tcPr>
            <w:tcW w:w="567" w:type="dxa"/>
            <w:tcBorders>
              <w:right w:val="single" w:color="000000" w:sz="6" w:space="0"/>
            </w:tcBorders>
            <w:vAlign w:val="center"/>
          </w:tcPr>
          <w:p w14:paraId="2CFADEDA">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4φ14</w:t>
            </w:r>
          </w:p>
          <w:p w14:paraId="2295BBE4">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w:t>
            </w:r>
          </w:p>
        </w:tc>
      </w:tr>
      <w:tr w14:paraId="49D266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jc w:val="center"/>
        </w:trPr>
        <w:tc>
          <w:tcPr>
            <w:tcW w:w="556" w:type="dxa"/>
            <w:vMerge w:val="continue"/>
            <w:tcBorders>
              <w:top w:val="nil"/>
              <w:left w:val="single" w:color="000000" w:sz="6" w:space="0"/>
            </w:tcBorders>
            <w:vAlign w:val="center"/>
          </w:tcPr>
          <w:p w14:paraId="21F73385">
            <w:pPr>
              <w:pStyle w:val="57"/>
              <w:spacing w:after="0" w:line="240" w:lineRule="auto"/>
              <w:rPr>
                <w:rFonts w:hint="default" w:ascii="Times New Roman" w:hAnsi="Times New Roman" w:eastAsia="宋体" w:cs="Times New Roman"/>
                <w:snapToGrid w:val="0"/>
                <w:color w:val="auto"/>
                <w:sz w:val="24"/>
                <w:szCs w:val="24"/>
                <w:highlight w:val="none"/>
                <w:lang w:eastAsia="en-US"/>
              </w:rPr>
            </w:pPr>
          </w:p>
        </w:tc>
        <w:tc>
          <w:tcPr>
            <w:tcW w:w="721" w:type="dxa"/>
            <w:vAlign w:val="center"/>
          </w:tcPr>
          <w:p w14:paraId="23C9A8C2">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1~2</w:t>
            </w:r>
          </w:p>
        </w:tc>
        <w:tc>
          <w:tcPr>
            <w:tcW w:w="992" w:type="dxa"/>
            <w:vAlign w:val="center"/>
          </w:tcPr>
          <w:p w14:paraId="721CDB04">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M1,M2.5</w:t>
            </w:r>
          </w:p>
          <w:p w14:paraId="6C85D95F">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M0.4</w:t>
            </w:r>
          </w:p>
        </w:tc>
        <w:tc>
          <w:tcPr>
            <w:tcW w:w="567" w:type="dxa"/>
            <w:vMerge w:val="continue"/>
            <w:tcBorders>
              <w:top w:val="nil"/>
              <w:bottom w:val="nil"/>
            </w:tcBorders>
            <w:vAlign w:val="center"/>
          </w:tcPr>
          <w:p w14:paraId="484C32F9">
            <w:pPr>
              <w:pStyle w:val="57"/>
              <w:spacing w:after="0" w:line="240" w:lineRule="auto"/>
              <w:rPr>
                <w:rFonts w:hint="default" w:ascii="Times New Roman" w:hAnsi="Times New Roman" w:eastAsia="宋体" w:cs="Times New Roman"/>
                <w:snapToGrid w:val="0"/>
                <w:color w:val="auto"/>
                <w:sz w:val="24"/>
                <w:szCs w:val="24"/>
                <w:highlight w:val="none"/>
                <w:lang w:eastAsia="en-US"/>
              </w:rPr>
            </w:pPr>
          </w:p>
        </w:tc>
        <w:tc>
          <w:tcPr>
            <w:tcW w:w="709" w:type="dxa"/>
            <w:vAlign w:val="center"/>
          </w:tcPr>
          <w:p w14:paraId="34CDC789">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4φ10</w:t>
            </w:r>
          </w:p>
          <w:p w14:paraId="16C9339E">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w:t>
            </w:r>
          </w:p>
        </w:tc>
        <w:tc>
          <w:tcPr>
            <w:tcW w:w="851" w:type="dxa"/>
            <w:gridSpan w:val="2"/>
            <w:vAlign w:val="center"/>
          </w:tcPr>
          <w:p w14:paraId="3D521632">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4φ12</w:t>
            </w:r>
          </w:p>
          <w:p w14:paraId="502CBDEC">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w:t>
            </w:r>
          </w:p>
        </w:tc>
        <w:tc>
          <w:tcPr>
            <w:tcW w:w="567" w:type="dxa"/>
            <w:vAlign w:val="center"/>
          </w:tcPr>
          <w:p w14:paraId="7F6DDF8E">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4φ14</w:t>
            </w:r>
          </w:p>
          <w:p w14:paraId="380B02A3">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w:t>
            </w:r>
          </w:p>
        </w:tc>
        <w:tc>
          <w:tcPr>
            <w:tcW w:w="567" w:type="dxa"/>
            <w:vMerge w:val="continue"/>
            <w:tcBorders>
              <w:top w:val="nil"/>
              <w:bottom w:val="nil"/>
            </w:tcBorders>
            <w:vAlign w:val="center"/>
          </w:tcPr>
          <w:p w14:paraId="6AFCD44C">
            <w:pPr>
              <w:pStyle w:val="57"/>
              <w:spacing w:after="0" w:line="240" w:lineRule="auto"/>
              <w:rPr>
                <w:rFonts w:hint="default" w:ascii="Times New Roman" w:hAnsi="Times New Roman" w:eastAsia="宋体" w:cs="Times New Roman"/>
                <w:snapToGrid w:val="0"/>
                <w:color w:val="auto"/>
                <w:sz w:val="24"/>
                <w:szCs w:val="24"/>
                <w:highlight w:val="none"/>
                <w:lang w:eastAsia="en-US"/>
              </w:rPr>
            </w:pPr>
          </w:p>
        </w:tc>
        <w:tc>
          <w:tcPr>
            <w:tcW w:w="708" w:type="dxa"/>
            <w:vAlign w:val="center"/>
          </w:tcPr>
          <w:p w14:paraId="05D9D34E">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4φ10</w:t>
            </w:r>
          </w:p>
          <w:p w14:paraId="4F4D579F">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w:t>
            </w:r>
          </w:p>
        </w:tc>
        <w:tc>
          <w:tcPr>
            <w:tcW w:w="709" w:type="dxa"/>
            <w:vAlign w:val="center"/>
          </w:tcPr>
          <w:p w14:paraId="31DCB882">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4φ12</w:t>
            </w:r>
          </w:p>
          <w:p w14:paraId="01CE1711">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w:t>
            </w:r>
          </w:p>
        </w:tc>
        <w:tc>
          <w:tcPr>
            <w:tcW w:w="567" w:type="dxa"/>
            <w:tcBorders>
              <w:right w:val="single" w:color="000000" w:sz="6" w:space="0"/>
            </w:tcBorders>
            <w:vAlign w:val="center"/>
          </w:tcPr>
          <w:p w14:paraId="1C9F9FB1">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4φ14</w:t>
            </w:r>
          </w:p>
          <w:p w14:paraId="7E24F342">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w:t>
            </w:r>
          </w:p>
        </w:tc>
      </w:tr>
      <w:tr w14:paraId="6B3CDF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jc w:val="center"/>
        </w:trPr>
        <w:tc>
          <w:tcPr>
            <w:tcW w:w="556" w:type="dxa"/>
            <w:tcBorders>
              <w:left w:val="single" w:color="000000" w:sz="6" w:space="0"/>
              <w:bottom w:val="single" w:color="000000" w:sz="6" w:space="0"/>
            </w:tcBorders>
            <w:vAlign w:val="center"/>
          </w:tcPr>
          <w:p w14:paraId="1997A695">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3</w:t>
            </w:r>
          </w:p>
        </w:tc>
        <w:tc>
          <w:tcPr>
            <w:tcW w:w="721" w:type="dxa"/>
            <w:tcBorders>
              <w:bottom w:val="single" w:color="000000" w:sz="6" w:space="0"/>
            </w:tcBorders>
            <w:vAlign w:val="center"/>
          </w:tcPr>
          <w:p w14:paraId="4C2C7AE5">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1~3</w:t>
            </w:r>
          </w:p>
        </w:tc>
        <w:tc>
          <w:tcPr>
            <w:tcW w:w="992" w:type="dxa"/>
            <w:tcBorders>
              <w:bottom w:val="single" w:color="000000" w:sz="6" w:space="0"/>
            </w:tcBorders>
            <w:vAlign w:val="center"/>
          </w:tcPr>
          <w:p w14:paraId="6C4B932E">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w:t>
            </w:r>
          </w:p>
        </w:tc>
        <w:tc>
          <w:tcPr>
            <w:tcW w:w="567" w:type="dxa"/>
            <w:vMerge w:val="continue"/>
            <w:tcBorders>
              <w:top w:val="nil"/>
              <w:bottom w:val="single" w:color="000000" w:sz="6" w:space="0"/>
            </w:tcBorders>
            <w:vAlign w:val="center"/>
          </w:tcPr>
          <w:p w14:paraId="293E999A">
            <w:pPr>
              <w:pStyle w:val="57"/>
              <w:spacing w:after="0" w:line="240" w:lineRule="auto"/>
              <w:rPr>
                <w:rFonts w:hint="default" w:ascii="Times New Roman" w:hAnsi="Times New Roman" w:eastAsia="宋体" w:cs="Times New Roman"/>
                <w:snapToGrid w:val="0"/>
                <w:color w:val="auto"/>
                <w:sz w:val="24"/>
                <w:szCs w:val="24"/>
                <w:highlight w:val="none"/>
                <w:lang w:eastAsia="en-US"/>
              </w:rPr>
            </w:pPr>
          </w:p>
        </w:tc>
        <w:tc>
          <w:tcPr>
            <w:tcW w:w="709" w:type="dxa"/>
            <w:tcBorders>
              <w:bottom w:val="single" w:color="000000" w:sz="6" w:space="0"/>
            </w:tcBorders>
            <w:vAlign w:val="center"/>
          </w:tcPr>
          <w:p w14:paraId="5E69EA34">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4φ10</w:t>
            </w:r>
          </w:p>
        </w:tc>
        <w:tc>
          <w:tcPr>
            <w:tcW w:w="851" w:type="dxa"/>
            <w:gridSpan w:val="2"/>
            <w:tcBorders>
              <w:bottom w:val="single" w:color="000000" w:sz="6" w:space="0"/>
            </w:tcBorders>
            <w:vAlign w:val="center"/>
          </w:tcPr>
          <w:p w14:paraId="369DDF34">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4φ12</w:t>
            </w:r>
          </w:p>
        </w:tc>
        <w:tc>
          <w:tcPr>
            <w:tcW w:w="567" w:type="dxa"/>
            <w:tcBorders>
              <w:bottom w:val="single" w:color="000000" w:sz="6" w:space="0"/>
            </w:tcBorders>
            <w:vAlign w:val="center"/>
          </w:tcPr>
          <w:p w14:paraId="569433BE">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4φ14</w:t>
            </w:r>
          </w:p>
        </w:tc>
        <w:tc>
          <w:tcPr>
            <w:tcW w:w="567" w:type="dxa"/>
            <w:vMerge w:val="continue"/>
            <w:tcBorders>
              <w:top w:val="nil"/>
              <w:bottom w:val="single" w:color="000000" w:sz="6" w:space="0"/>
            </w:tcBorders>
            <w:vAlign w:val="center"/>
          </w:tcPr>
          <w:p w14:paraId="2F6CD3A8">
            <w:pPr>
              <w:pStyle w:val="57"/>
              <w:spacing w:after="0" w:line="240" w:lineRule="auto"/>
              <w:rPr>
                <w:rFonts w:hint="default" w:ascii="Times New Roman" w:hAnsi="Times New Roman" w:eastAsia="宋体" w:cs="Times New Roman"/>
                <w:snapToGrid w:val="0"/>
                <w:color w:val="auto"/>
                <w:sz w:val="24"/>
                <w:szCs w:val="24"/>
                <w:highlight w:val="none"/>
                <w:lang w:eastAsia="en-US"/>
              </w:rPr>
            </w:pPr>
          </w:p>
        </w:tc>
        <w:tc>
          <w:tcPr>
            <w:tcW w:w="708" w:type="dxa"/>
            <w:tcBorders>
              <w:bottom w:val="single" w:color="000000" w:sz="6" w:space="0"/>
            </w:tcBorders>
            <w:vAlign w:val="center"/>
          </w:tcPr>
          <w:p w14:paraId="4948894D">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4φ10</w:t>
            </w:r>
          </w:p>
        </w:tc>
        <w:tc>
          <w:tcPr>
            <w:tcW w:w="709" w:type="dxa"/>
            <w:tcBorders>
              <w:bottom w:val="single" w:color="000000" w:sz="6" w:space="0"/>
            </w:tcBorders>
            <w:vAlign w:val="center"/>
          </w:tcPr>
          <w:p w14:paraId="4A1ECD69">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4φ12</w:t>
            </w:r>
          </w:p>
        </w:tc>
        <w:tc>
          <w:tcPr>
            <w:tcW w:w="567" w:type="dxa"/>
            <w:tcBorders>
              <w:bottom w:val="single" w:color="000000" w:sz="6" w:space="0"/>
              <w:right w:val="single" w:color="000000" w:sz="6" w:space="0"/>
            </w:tcBorders>
            <w:vAlign w:val="center"/>
          </w:tcPr>
          <w:p w14:paraId="58361265">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4φ14</w:t>
            </w:r>
          </w:p>
        </w:tc>
      </w:tr>
    </w:tbl>
    <w:p w14:paraId="04465F36">
      <w:pPr>
        <w:widowControl/>
        <w:rPr>
          <w:rFonts w:hint="default" w:ascii="Times New Roman" w:hAnsi="Times New Roman" w:eastAsia="宋体" w:cs="Times New Roman"/>
          <w:color w:val="auto"/>
          <w:kern w:val="0"/>
          <w:sz w:val="24"/>
          <w:szCs w:val="24"/>
          <w:highlight w:val="none"/>
        </w:rPr>
      </w:pPr>
    </w:p>
    <w:p w14:paraId="65434B7D">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default" w:ascii="宋体" w:hAnsi="宋体" w:eastAsia="宋体" w:cs="宋体"/>
          <w:color w:val="auto"/>
          <w:spacing w:val="-2"/>
          <w:sz w:val="28"/>
          <w:szCs w:val="28"/>
          <w:lang w:val="en-US" w:eastAsia="zh-CN"/>
        </w:rPr>
      </w:pPr>
      <w:r>
        <w:rPr>
          <w:rFonts w:hint="default" w:ascii="宋体" w:hAnsi="宋体" w:eastAsia="宋体" w:cs="宋体"/>
          <w:color w:val="auto"/>
          <w:spacing w:val="-2"/>
          <w:sz w:val="28"/>
          <w:szCs w:val="28"/>
          <w:lang w:val="en-US" w:eastAsia="zh-CN"/>
        </w:rPr>
        <w:t>表6.3.32-2 增强纵横墙连接的钢拉杆直径</w:t>
      </w:r>
    </w:p>
    <w:tbl>
      <w:tblPr>
        <w:tblStyle w:val="50"/>
        <w:tblpPr w:leftFromText="180" w:rightFromText="180" w:vertAnchor="text" w:tblpXSpec="center" w:tblpY="1"/>
        <w:tblOverlap w:val="never"/>
        <w:tblW w:w="652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45"/>
        <w:gridCol w:w="502"/>
        <w:gridCol w:w="480"/>
        <w:gridCol w:w="479"/>
        <w:gridCol w:w="481"/>
        <w:gridCol w:w="480"/>
        <w:gridCol w:w="478"/>
        <w:gridCol w:w="479"/>
        <w:gridCol w:w="479"/>
        <w:gridCol w:w="479"/>
        <w:gridCol w:w="564"/>
        <w:gridCol w:w="567"/>
        <w:gridCol w:w="709"/>
      </w:tblGrid>
      <w:tr w14:paraId="57A1A4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345" w:type="dxa"/>
            <w:vMerge w:val="restart"/>
            <w:tcBorders>
              <w:top w:val="single" w:color="000000" w:sz="6" w:space="0"/>
              <w:left w:val="single" w:color="000000" w:sz="6" w:space="0"/>
              <w:bottom w:val="nil"/>
            </w:tcBorders>
            <w:vAlign w:val="center"/>
          </w:tcPr>
          <w:p w14:paraId="54AC269F">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pacing w:val="13"/>
                <w:sz w:val="24"/>
                <w:szCs w:val="24"/>
                <w:highlight w:val="none"/>
                <w:lang w:eastAsia="en-US"/>
              </w:rPr>
              <w:t>总层数</w:t>
            </w:r>
          </w:p>
        </w:tc>
        <w:tc>
          <w:tcPr>
            <w:tcW w:w="502" w:type="dxa"/>
            <w:vMerge w:val="restart"/>
            <w:tcBorders>
              <w:top w:val="single" w:color="000000" w:sz="6" w:space="0"/>
              <w:bottom w:val="nil"/>
            </w:tcBorders>
            <w:vAlign w:val="center"/>
          </w:tcPr>
          <w:p w14:paraId="53985868">
            <w:pPr>
              <w:pStyle w:val="57"/>
              <w:spacing w:after="0" w:line="240" w:lineRule="auto"/>
              <w:rPr>
                <w:rFonts w:hint="default" w:ascii="Times New Roman" w:hAnsi="Times New Roman" w:eastAsia="宋体" w:cs="Times New Roman"/>
                <w:snapToGrid w:val="0"/>
                <w:color w:val="auto"/>
                <w:spacing w:val="6"/>
                <w:sz w:val="24"/>
                <w:szCs w:val="24"/>
                <w:highlight w:val="none"/>
                <w:lang w:eastAsia="en-US"/>
              </w:rPr>
            </w:pPr>
            <w:r>
              <w:rPr>
                <w:rFonts w:hint="default" w:ascii="Times New Roman" w:hAnsi="Times New Roman" w:eastAsia="宋体" w:cs="Times New Roman"/>
                <w:snapToGrid w:val="0"/>
                <w:color w:val="auto"/>
                <w:spacing w:val="6"/>
                <w:sz w:val="24"/>
                <w:szCs w:val="24"/>
                <w:highlight w:val="none"/>
                <w:lang w:eastAsia="en-US"/>
              </w:rPr>
              <w:t>钢拉</w:t>
            </w:r>
            <w:r>
              <w:rPr>
                <w:rFonts w:hint="default" w:ascii="Times New Roman" w:hAnsi="Times New Roman" w:eastAsia="宋体" w:cs="Times New Roman"/>
                <w:snapToGrid w:val="0"/>
                <w:color w:val="auto"/>
                <w:spacing w:val="7"/>
                <w:sz w:val="24"/>
                <w:szCs w:val="24"/>
                <w:highlight w:val="none"/>
                <w:lang w:eastAsia="en-US"/>
              </w:rPr>
              <w:t>杆设</w:t>
            </w:r>
            <w:r>
              <w:rPr>
                <w:rFonts w:hint="default" w:ascii="Times New Roman" w:hAnsi="Times New Roman" w:eastAsia="宋体" w:cs="Times New Roman"/>
                <w:snapToGrid w:val="0"/>
                <w:color w:val="auto"/>
                <w:spacing w:val="6"/>
                <w:sz w:val="24"/>
                <w:szCs w:val="24"/>
                <w:highlight w:val="none"/>
                <w:lang w:eastAsia="en-US"/>
              </w:rPr>
              <w:t>置</w:t>
            </w:r>
          </w:p>
          <w:p w14:paraId="680F9387">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pacing w:val="6"/>
                <w:sz w:val="24"/>
                <w:szCs w:val="24"/>
                <w:highlight w:val="none"/>
                <w:lang w:eastAsia="en-US"/>
              </w:rPr>
              <w:t>楼</w:t>
            </w:r>
            <w:r>
              <w:rPr>
                <w:rFonts w:hint="default" w:ascii="Times New Roman" w:hAnsi="Times New Roman" w:eastAsia="宋体" w:cs="Times New Roman"/>
                <w:snapToGrid w:val="0"/>
                <w:color w:val="auto"/>
                <w:sz w:val="24"/>
                <w:szCs w:val="24"/>
                <w:highlight w:val="none"/>
                <w:lang w:eastAsia="en-US"/>
              </w:rPr>
              <w:t>层</w:t>
            </w:r>
          </w:p>
        </w:tc>
        <w:tc>
          <w:tcPr>
            <w:tcW w:w="5675" w:type="dxa"/>
            <w:gridSpan w:val="11"/>
            <w:tcBorders>
              <w:top w:val="single" w:color="000000" w:sz="6" w:space="0"/>
              <w:right w:val="single" w:color="000000" w:sz="6" w:space="0"/>
            </w:tcBorders>
            <w:vAlign w:val="center"/>
          </w:tcPr>
          <w:p w14:paraId="3A1C9212">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pacing w:val="-2"/>
                <w:sz w:val="24"/>
                <w:szCs w:val="24"/>
                <w:highlight w:val="none"/>
                <w:lang w:eastAsia="en-US"/>
              </w:rPr>
              <w:t>烈</w:t>
            </w:r>
            <w:r>
              <w:rPr>
                <w:rFonts w:hint="default" w:ascii="Times New Roman" w:hAnsi="Times New Roman" w:eastAsia="宋体" w:cs="Times New Roman"/>
                <w:snapToGrid w:val="0"/>
                <w:color w:val="auto"/>
                <w:spacing w:val="2"/>
                <w:sz w:val="24"/>
                <w:szCs w:val="24"/>
                <w:highlight w:val="none"/>
                <w:lang w:eastAsia="en-US"/>
              </w:rPr>
              <w:t xml:space="preserve">   </w:t>
            </w:r>
            <w:r>
              <w:rPr>
                <w:rFonts w:hint="default" w:ascii="Times New Roman" w:hAnsi="Times New Roman" w:eastAsia="宋体" w:cs="Times New Roman"/>
                <w:snapToGrid w:val="0"/>
                <w:color w:val="auto"/>
                <w:spacing w:val="-2"/>
                <w:sz w:val="24"/>
                <w:szCs w:val="24"/>
                <w:highlight w:val="none"/>
                <w:lang w:eastAsia="en-US"/>
              </w:rPr>
              <w:t>度</w:t>
            </w:r>
          </w:p>
        </w:tc>
      </w:tr>
      <w:tr w14:paraId="43E43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345" w:type="dxa"/>
            <w:vMerge w:val="continue"/>
            <w:tcBorders>
              <w:top w:val="nil"/>
              <w:left w:val="single" w:color="000000" w:sz="6" w:space="0"/>
              <w:bottom w:val="nil"/>
            </w:tcBorders>
            <w:vAlign w:val="center"/>
          </w:tcPr>
          <w:p w14:paraId="5B428E89">
            <w:pPr>
              <w:pStyle w:val="57"/>
              <w:spacing w:after="0" w:line="240" w:lineRule="auto"/>
              <w:rPr>
                <w:rFonts w:hint="default" w:ascii="Times New Roman" w:hAnsi="Times New Roman" w:eastAsia="宋体" w:cs="Times New Roman"/>
                <w:snapToGrid w:val="0"/>
                <w:color w:val="auto"/>
                <w:sz w:val="24"/>
                <w:szCs w:val="24"/>
                <w:highlight w:val="none"/>
                <w:lang w:eastAsia="en-US"/>
              </w:rPr>
            </w:pPr>
          </w:p>
        </w:tc>
        <w:tc>
          <w:tcPr>
            <w:tcW w:w="502" w:type="dxa"/>
            <w:vMerge w:val="continue"/>
            <w:tcBorders>
              <w:top w:val="nil"/>
              <w:bottom w:val="nil"/>
            </w:tcBorders>
            <w:vAlign w:val="center"/>
          </w:tcPr>
          <w:p w14:paraId="7471C75E">
            <w:pPr>
              <w:pStyle w:val="57"/>
              <w:spacing w:after="0" w:line="240" w:lineRule="auto"/>
              <w:rPr>
                <w:rFonts w:hint="default" w:ascii="Times New Roman" w:hAnsi="Times New Roman" w:eastAsia="宋体" w:cs="Times New Roman"/>
                <w:snapToGrid w:val="0"/>
                <w:color w:val="auto"/>
                <w:sz w:val="24"/>
                <w:szCs w:val="24"/>
                <w:highlight w:val="none"/>
                <w:lang w:eastAsia="en-US"/>
              </w:rPr>
            </w:pPr>
          </w:p>
        </w:tc>
        <w:tc>
          <w:tcPr>
            <w:tcW w:w="480" w:type="dxa"/>
            <w:vAlign w:val="center"/>
          </w:tcPr>
          <w:p w14:paraId="17E0DB7B">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6</w:t>
            </w:r>
          </w:p>
        </w:tc>
        <w:tc>
          <w:tcPr>
            <w:tcW w:w="960" w:type="dxa"/>
            <w:gridSpan w:val="2"/>
            <w:vAlign w:val="center"/>
          </w:tcPr>
          <w:p w14:paraId="1C928796">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7</w:t>
            </w:r>
          </w:p>
        </w:tc>
        <w:tc>
          <w:tcPr>
            <w:tcW w:w="2959" w:type="dxa"/>
            <w:gridSpan w:val="6"/>
            <w:vAlign w:val="center"/>
          </w:tcPr>
          <w:p w14:paraId="68AC61D3">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8</w:t>
            </w:r>
          </w:p>
        </w:tc>
        <w:tc>
          <w:tcPr>
            <w:tcW w:w="1276" w:type="dxa"/>
            <w:gridSpan w:val="2"/>
            <w:tcBorders>
              <w:right w:val="single" w:color="000000" w:sz="6" w:space="0"/>
            </w:tcBorders>
            <w:vAlign w:val="center"/>
          </w:tcPr>
          <w:p w14:paraId="08893789">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9</w:t>
            </w:r>
          </w:p>
        </w:tc>
      </w:tr>
      <w:tr w14:paraId="3E492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345" w:type="dxa"/>
            <w:vMerge w:val="continue"/>
            <w:tcBorders>
              <w:top w:val="nil"/>
              <w:left w:val="single" w:color="000000" w:sz="6" w:space="0"/>
              <w:bottom w:val="nil"/>
            </w:tcBorders>
            <w:vAlign w:val="center"/>
          </w:tcPr>
          <w:p w14:paraId="0AB23A8B">
            <w:pPr>
              <w:pStyle w:val="57"/>
              <w:spacing w:after="0" w:line="240" w:lineRule="auto"/>
              <w:rPr>
                <w:rFonts w:hint="default" w:ascii="Times New Roman" w:hAnsi="Times New Roman" w:eastAsia="宋体" w:cs="Times New Roman"/>
                <w:snapToGrid w:val="0"/>
                <w:color w:val="auto"/>
                <w:sz w:val="24"/>
                <w:szCs w:val="24"/>
                <w:highlight w:val="none"/>
                <w:lang w:eastAsia="en-US"/>
              </w:rPr>
            </w:pPr>
          </w:p>
        </w:tc>
        <w:tc>
          <w:tcPr>
            <w:tcW w:w="502" w:type="dxa"/>
            <w:vMerge w:val="continue"/>
            <w:tcBorders>
              <w:top w:val="nil"/>
              <w:bottom w:val="nil"/>
            </w:tcBorders>
            <w:vAlign w:val="center"/>
          </w:tcPr>
          <w:p w14:paraId="347DA31B">
            <w:pPr>
              <w:pStyle w:val="57"/>
              <w:spacing w:after="0" w:line="240" w:lineRule="auto"/>
              <w:rPr>
                <w:rFonts w:hint="default" w:ascii="Times New Roman" w:hAnsi="Times New Roman" w:eastAsia="宋体" w:cs="Times New Roman"/>
                <w:snapToGrid w:val="0"/>
                <w:color w:val="auto"/>
                <w:sz w:val="24"/>
                <w:szCs w:val="24"/>
                <w:highlight w:val="none"/>
                <w:lang w:eastAsia="en-US"/>
              </w:rPr>
            </w:pPr>
          </w:p>
        </w:tc>
        <w:tc>
          <w:tcPr>
            <w:tcW w:w="2398" w:type="dxa"/>
            <w:gridSpan w:val="5"/>
            <w:vAlign w:val="center"/>
          </w:tcPr>
          <w:p w14:paraId="480103C9">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pacing w:val="13"/>
                <w:sz w:val="24"/>
                <w:szCs w:val="24"/>
                <w:highlight w:val="none"/>
                <w:lang w:eastAsia="en-US"/>
              </w:rPr>
              <w:t>每层隔开间</w:t>
            </w:r>
          </w:p>
        </w:tc>
        <w:tc>
          <w:tcPr>
            <w:tcW w:w="958" w:type="dxa"/>
            <w:gridSpan w:val="2"/>
            <w:vAlign w:val="center"/>
          </w:tcPr>
          <w:p w14:paraId="3CF45EDE">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pacing w:val="12"/>
                <w:sz w:val="24"/>
                <w:szCs w:val="24"/>
                <w:highlight w:val="none"/>
                <w:lang w:eastAsia="en-US"/>
              </w:rPr>
              <w:t>隔层每开间</w:t>
            </w:r>
          </w:p>
        </w:tc>
        <w:tc>
          <w:tcPr>
            <w:tcW w:w="2319" w:type="dxa"/>
            <w:gridSpan w:val="4"/>
            <w:tcBorders>
              <w:right w:val="single" w:color="000000" w:sz="6" w:space="0"/>
            </w:tcBorders>
            <w:vAlign w:val="center"/>
          </w:tcPr>
          <w:p w14:paraId="4BF39CDA">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pacing w:val="13"/>
                <w:sz w:val="24"/>
                <w:szCs w:val="24"/>
                <w:highlight w:val="none"/>
                <w:lang w:eastAsia="en-US"/>
              </w:rPr>
              <w:t>每层每开间</w:t>
            </w:r>
          </w:p>
        </w:tc>
      </w:tr>
      <w:tr w14:paraId="1322F6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345" w:type="dxa"/>
            <w:vMerge w:val="continue"/>
            <w:tcBorders>
              <w:top w:val="nil"/>
              <w:left w:val="single" w:color="000000" w:sz="6" w:space="0"/>
              <w:bottom w:val="nil"/>
            </w:tcBorders>
            <w:vAlign w:val="center"/>
          </w:tcPr>
          <w:p w14:paraId="5409FF12">
            <w:pPr>
              <w:pStyle w:val="57"/>
              <w:spacing w:after="0" w:line="240" w:lineRule="auto"/>
              <w:rPr>
                <w:rFonts w:hint="default" w:ascii="Times New Roman" w:hAnsi="Times New Roman" w:eastAsia="宋体" w:cs="Times New Roman"/>
                <w:snapToGrid w:val="0"/>
                <w:color w:val="auto"/>
                <w:sz w:val="24"/>
                <w:szCs w:val="24"/>
                <w:highlight w:val="none"/>
                <w:lang w:eastAsia="en-US"/>
              </w:rPr>
            </w:pPr>
          </w:p>
        </w:tc>
        <w:tc>
          <w:tcPr>
            <w:tcW w:w="502" w:type="dxa"/>
            <w:vMerge w:val="continue"/>
            <w:tcBorders>
              <w:top w:val="nil"/>
              <w:bottom w:val="nil"/>
            </w:tcBorders>
            <w:vAlign w:val="center"/>
          </w:tcPr>
          <w:p w14:paraId="0DB75D89">
            <w:pPr>
              <w:pStyle w:val="57"/>
              <w:spacing w:after="0" w:line="240" w:lineRule="auto"/>
              <w:rPr>
                <w:rFonts w:hint="default" w:ascii="Times New Roman" w:hAnsi="Times New Roman" w:eastAsia="宋体" w:cs="Times New Roman"/>
                <w:snapToGrid w:val="0"/>
                <w:color w:val="auto"/>
                <w:sz w:val="24"/>
                <w:szCs w:val="24"/>
                <w:highlight w:val="none"/>
                <w:lang w:eastAsia="en-US"/>
              </w:rPr>
            </w:pPr>
          </w:p>
        </w:tc>
        <w:tc>
          <w:tcPr>
            <w:tcW w:w="5675" w:type="dxa"/>
            <w:gridSpan w:val="11"/>
            <w:tcBorders>
              <w:right w:val="single" w:color="000000" w:sz="6" w:space="0"/>
            </w:tcBorders>
            <w:vAlign w:val="center"/>
          </w:tcPr>
          <w:p w14:paraId="48946E13">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墙体厚度(mm)</w:t>
            </w:r>
          </w:p>
        </w:tc>
      </w:tr>
      <w:tr w14:paraId="4F4558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345" w:type="dxa"/>
            <w:vMerge w:val="continue"/>
            <w:tcBorders>
              <w:top w:val="nil"/>
              <w:left w:val="single" w:color="000000" w:sz="6" w:space="0"/>
            </w:tcBorders>
            <w:vAlign w:val="center"/>
          </w:tcPr>
          <w:p w14:paraId="3F934EA6">
            <w:pPr>
              <w:pStyle w:val="57"/>
              <w:spacing w:after="0" w:line="240" w:lineRule="auto"/>
              <w:rPr>
                <w:rFonts w:hint="default" w:ascii="Times New Roman" w:hAnsi="Times New Roman" w:eastAsia="宋体" w:cs="Times New Roman"/>
                <w:snapToGrid w:val="0"/>
                <w:color w:val="auto"/>
                <w:sz w:val="24"/>
                <w:szCs w:val="24"/>
                <w:highlight w:val="none"/>
                <w:lang w:eastAsia="en-US"/>
              </w:rPr>
            </w:pPr>
          </w:p>
        </w:tc>
        <w:tc>
          <w:tcPr>
            <w:tcW w:w="502" w:type="dxa"/>
            <w:vMerge w:val="continue"/>
            <w:tcBorders>
              <w:top w:val="nil"/>
            </w:tcBorders>
            <w:vAlign w:val="center"/>
          </w:tcPr>
          <w:p w14:paraId="134067F1">
            <w:pPr>
              <w:pStyle w:val="57"/>
              <w:spacing w:after="0" w:line="240" w:lineRule="auto"/>
              <w:rPr>
                <w:rFonts w:hint="default" w:ascii="Times New Roman" w:hAnsi="Times New Roman" w:eastAsia="宋体" w:cs="Times New Roman"/>
                <w:snapToGrid w:val="0"/>
                <w:color w:val="auto"/>
                <w:sz w:val="24"/>
                <w:szCs w:val="24"/>
                <w:highlight w:val="none"/>
                <w:lang w:eastAsia="en-US"/>
              </w:rPr>
            </w:pPr>
          </w:p>
        </w:tc>
        <w:tc>
          <w:tcPr>
            <w:tcW w:w="480" w:type="dxa"/>
            <w:vAlign w:val="center"/>
          </w:tcPr>
          <w:p w14:paraId="1FA8C537">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pacing w:val="-5"/>
                <w:sz w:val="24"/>
                <w:szCs w:val="24"/>
                <w:highlight w:val="none"/>
                <w:lang w:eastAsia="en-US"/>
              </w:rPr>
              <w:t>≤370</w:t>
            </w:r>
          </w:p>
        </w:tc>
        <w:tc>
          <w:tcPr>
            <w:tcW w:w="479" w:type="dxa"/>
            <w:vAlign w:val="center"/>
          </w:tcPr>
          <w:p w14:paraId="6AC8AF5C">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≤240</w:t>
            </w:r>
          </w:p>
        </w:tc>
        <w:tc>
          <w:tcPr>
            <w:tcW w:w="481" w:type="dxa"/>
            <w:vAlign w:val="center"/>
          </w:tcPr>
          <w:p w14:paraId="311C26AD">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370</w:t>
            </w:r>
          </w:p>
        </w:tc>
        <w:tc>
          <w:tcPr>
            <w:tcW w:w="480" w:type="dxa"/>
            <w:vAlign w:val="center"/>
          </w:tcPr>
          <w:p w14:paraId="4A82841F">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≤240</w:t>
            </w:r>
          </w:p>
        </w:tc>
        <w:tc>
          <w:tcPr>
            <w:tcW w:w="478" w:type="dxa"/>
            <w:vAlign w:val="center"/>
          </w:tcPr>
          <w:p w14:paraId="7CA94EB7">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370</w:t>
            </w:r>
          </w:p>
        </w:tc>
        <w:tc>
          <w:tcPr>
            <w:tcW w:w="479" w:type="dxa"/>
            <w:vAlign w:val="center"/>
          </w:tcPr>
          <w:p w14:paraId="4E21C8B3">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≤240</w:t>
            </w:r>
          </w:p>
        </w:tc>
        <w:tc>
          <w:tcPr>
            <w:tcW w:w="479" w:type="dxa"/>
            <w:vAlign w:val="center"/>
          </w:tcPr>
          <w:p w14:paraId="42097EC7">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370</w:t>
            </w:r>
          </w:p>
        </w:tc>
        <w:tc>
          <w:tcPr>
            <w:tcW w:w="479" w:type="dxa"/>
            <w:vAlign w:val="center"/>
          </w:tcPr>
          <w:p w14:paraId="68D6F12B">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≤240</w:t>
            </w:r>
          </w:p>
        </w:tc>
        <w:tc>
          <w:tcPr>
            <w:tcW w:w="564" w:type="dxa"/>
            <w:vAlign w:val="center"/>
          </w:tcPr>
          <w:p w14:paraId="37F99D34">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370</w:t>
            </w:r>
          </w:p>
        </w:tc>
        <w:tc>
          <w:tcPr>
            <w:tcW w:w="567" w:type="dxa"/>
            <w:vAlign w:val="center"/>
          </w:tcPr>
          <w:p w14:paraId="0271C538">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≤240</w:t>
            </w:r>
          </w:p>
        </w:tc>
        <w:tc>
          <w:tcPr>
            <w:tcW w:w="709" w:type="dxa"/>
            <w:tcBorders>
              <w:right w:val="single" w:color="000000" w:sz="6" w:space="0"/>
            </w:tcBorders>
            <w:vAlign w:val="center"/>
          </w:tcPr>
          <w:p w14:paraId="52587E7E">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370</w:t>
            </w:r>
          </w:p>
        </w:tc>
      </w:tr>
      <w:tr w14:paraId="1EEDD8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345" w:type="dxa"/>
            <w:tcBorders>
              <w:left w:val="single" w:color="000000" w:sz="6" w:space="0"/>
            </w:tcBorders>
            <w:vAlign w:val="center"/>
          </w:tcPr>
          <w:p w14:paraId="38C2769D">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6</w:t>
            </w:r>
          </w:p>
        </w:tc>
        <w:tc>
          <w:tcPr>
            <w:tcW w:w="502" w:type="dxa"/>
            <w:vAlign w:val="center"/>
          </w:tcPr>
          <w:p w14:paraId="1675A123">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pacing w:val="-6"/>
                <w:sz w:val="24"/>
                <w:szCs w:val="24"/>
                <w:highlight w:val="none"/>
                <w:lang w:eastAsia="en-US"/>
              </w:rPr>
              <w:t>1~6</w:t>
            </w:r>
          </w:p>
        </w:tc>
        <w:tc>
          <w:tcPr>
            <w:tcW w:w="480" w:type="dxa"/>
            <w:vMerge w:val="restart"/>
            <w:tcBorders>
              <w:bottom w:val="nil"/>
            </w:tcBorders>
            <w:vAlign w:val="center"/>
          </w:tcPr>
          <w:p w14:paraId="08EF9B52">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φ</w:t>
            </w:r>
            <w:r>
              <w:rPr>
                <w:rFonts w:hint="default" w:ascii="Times New Roman" w:hAnsi="Times New Roman" w:eastAsia="宋体" w:cs="Times New Roman"/>
                <w:snapToGrid w:val="0"/>
                <w:color w:val="auto"/>
                <w:position w:val="-2"/>
                <w:sz w:val="24"/>
                <w:szCs w:val="24"/>
                <w:highlight w:val="none"/>
                <w:lang w:eastAsia="en-US"/>
              </w:rPr>
              <w:t>12</w:t>
            </w:r>
          </w:p>
        </w:tc>
        <w:tc>
          <w:tcPr>
            <w:tcW w:w="479" w:type="dxa"/>
            <w:vAlign w:val="center"/>
          </w:tcPr>
          <w:p w14:paraId="4A033C97">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φ</w:t>
            </w:r>
            <w:r>
              <w:rPr>
                <w:rFonts w:hint="default" w:ascii="Times New Roman" w:hAnsi="Times New Roman" w:eastAsia="宋体" w:cs="Times New Roman"/>
                <w:snapToGrid w:val="0"/>
                <w:color w:val="auto"/>
                <w:position w:val="-2"/>
                <w:sz w:val="24"/>
                <w:szCs w:val="24"/>
                <w:highlight w:val="none"/>
                <w:lang w:eastAsia="en-US"/>
              </w:rPr>
              <w:t>12</w:t>
            </w:r>
          </w:p>
        </w:tc>
        <w:tc>
          <w:tcPr>
            <w:tcW w:w="481" w:type="dxa"/>
            <w:vAlign w:val="center"/>
          </w:tcPr>
          <w:p w14:paraId="7144FA49">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φ</w:t>
            </w:r>
            <w:r>
              <w:rPr>
                <w:rFonts w:hint="default" w:ascii="Times New Roman" w:hAnsi="Times New Roman" w:eastAsia="宋体" w:cs="Times New Roman"/>
                <w:snapToGrid w:val="0"/>
                <w:color w:val="auto"/>
                <w:position w:val="-2"/>
                <w:sz w:val="24"/>
                <w:szCs w:val="24"/>
                <w:highlight w:val="none"/>
                <w:lang w:eastAsia="en-US"/>
              </w:rPr>
              <w:t>16</w:t>
            </w:r>
          </w:p>
        </w:tc>
        <w:tc>
          <w:tcPr>
            <w:tcW w:w="480" w:type="dxa"/>
          </w:tcPr>
          <w:p w14:paraId="29FFEC6C">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position w:val="-6"/>
                <w:sz w:val="24"/>
                <w:szCs w:val="24"/>
                <w:highlight w:val="none"/>
                <w:lang w:eastAsia="en-US"/>
              </w:rPr>
              <w:t>—</w:t>
            </w:r>
          </w:p>
        </w:tc>
        <w:tc>
          <w:tcPr>
            <w:tcW w:w="478" w:type="dxa"/>
          </w:tcPr>
          <w:p w14:paraId="0F9ECCBB">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position w:val="-6"/>
                <w:sz w:val="24"/>
                <w:szCs w:val="24"/>
                <w:highlight w:val="none"/>
                <w:lang w:eastAsia="en-US"/>
              </w:rPr>
              <w:t>—</w:t>
            </w:r>
          </w:p>
        </w:tc>
        <w:tc>
          <w:tcPr>
            <w:tcW w:w="479" w:type="dxa"/>
          </w:tcPr>
          <w:p w14:paraId="16670B4F">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position w:val="-6"/>
                <w:sz w:val="24"/>
                <w:szCs w:val="24"/>
                <w:highlight w:val="none"/>
                <w:lang w:eastAsia="en-US"/>
              </w:rPr>
              <w:t>—</w:t>
            </w:r>
          </w:p>
        </w:tc>
        <w:tc>
          <w:tcPr>
            <w:tcW w:w="479" w:type="dxa"/>
          </w:tcPr>
          <w:p w14:paraId="63A6A868">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position w:val="-6"/>
                <w:sz w:val="24"/>
                <w:szCs w:val="24"/>
                <w:highlight w:val="none"/>
                <w:lang w:eastAsia="en-US"/>
              </w:rPr>
              <w:t>—</w:t>
            </w:r>
          </w:p>
        </w:tc>
        <w:tc>
          <w:tcPr>
            <w:tcW w:w="479" w:type="dxa"/>
          </w:tcPr>
          <w:p w14:paraId="4AEA88AC">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position w:val="-6"/>
                <w:sz w:val="24"/>
                <w:szCs w:val="24"/>
                <w:highlight w:val="none"/>
                <w:lang w:eastAsia="en-US"/>
              </w:rPr>
              <w:t>—</w:t>
            </w:r>
          </w:p>
        </w:tc>
        <w:tc>
          <w:tcPr>
            <w:tcW w:w="564" w:type="dxa"/>
          </w:tcPr>
          <w:p w14:paraId="3EFD12EB">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position w:val="-6"/>
                <w:sz w:val="24"/>
                <w:szCs w:val="24"/>
                <w:highlight w:val="none"/>
                <w:lang w:eastAsia="en-US"/>
              </w:rPr>
              <w:t>—</w:t>
            </w:r>
          </w:p>
        </w:tc>
        <w:tc>
          <w:tcPr>
            <w:tcW w:w="567" w:type="dxa"/>
          </w:tcPr>
          <w:p w14:paraId="62B4C2F6">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position w:val="-6"/>
                <w:sz w:val="24"/>
                <w:szCs w:val="24"/>
                <w:highlight w:val="none"/>
                <w:lang w:eastAsia="en-US"/>
              </w:rPr>
              <w:t>—</w:t>
            </w:r>
          </w:p>
        </w:tc>
        <w:tc>
          <w:tcPr>
            <w:tcW w:w="709" w:type="dxa"/>
            <w:tcBorders>
              <w:right w:val="single" w:color="000000" w:sz="6" w:space="0"/>
            </w:tcBorders>
          </w:tcPr>
          <w:p w14:paraId="1639B5AF">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position w:val="-6"/>
                <w:sz w:val="24"/>
                <w:szCs w:val="24"/>
                <w:highlight w:val="none"/>
                <w:lang w:eastAsia="en-US"/>
              </w:rPr>
              <w:t>—</w:t>
            </w:r>
          </w:p>
        </w:tc>
      </w:tr>
      <w:tr w14:paraId="40D3D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345" w:type="dxa"/>
            <w:tcBorders>
              <w:left w:val="single" w:color="000000" w:sz="6" w:space="0"/>
            </w:tcBorders>
            <w:vAlign w:val="center"/>
          </w:tcPr>
          <w:p w14:paraId="64D16B1F">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5</w:t>
            </w:r>
          </w:p>
        </w:tc>
        <w:tc>
          <w:tcPr>
            <w:tcW w:w="502" w:type="dxa"/>
            <w:vAlign w:val="center"/>
          </w:tcPr>
          <w:p w14:paraId="75A87A5E">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4~5</w:t>
            </w:r>
          </w:p>
          <w:p w14:paraId="24894437">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pacing w:val="-8"/>
                <w:sz w:val="24"/>
                <w:szCs w:val="24"/>
                <w:highlight w:val="none"/>
                <w:lang w:eastAsia="en-US"/>
              </w:rPr>
              <w:t>1~3</w:t>
            </w:r>
          </w:p>
        </w:tc>
        <w:tc>
          <w:tcPr>
            <w:tcW w:w="480" w:type="dxa"/>
            <w:vMerge w:val="continue"/>
            <w:tcBorders>
              <w:top w:val="nil"/>
              <w:bottom w:val="nil"/>
            </w:tcBorders>
            <w:vAlign w:val="center"/>
          </w:tcPr>
          <w:p w14:paraId="750C0479">
            <w:pPr>
              <w:pStyle w:val="57"/>
              <w:spacing w:after="0" w:line="240" w:lineRule="auto"/>
              <w:rPr>
                <w:rFonts w:hint="default" w:ascii="Times New Roman" w:hAnsi="Times New Roman" w:eastAsia="宋体" w:cs="Times New Roman"/>
                <w:snapToGrid w:val="0"/>
                <w:color w:val="auto"/>
                <w:sz w:val="24"/>
                <w:szCs w:val="24"/>
                <w:highlight w:val="none"/>
                <w:lang w:eastAsia="en-US"/>
              </w:rPr>
            </w:pPr>
          </w:p>
        </w:tc>
        <w:tc>
          <w:tcPr>
            <w:tcW w:w="479" w:type="dxa"/>
            <w:vAlign w:val="center"/>
          </w:tcPr>
          <w:p w14:paraId="77F66C9C">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φ</w:t>
            </w:r>
            <w:r>
              <w:rPr>
                <w:rFonts w:hint="default" w:ascii="Times New Roman" w:hAnsi="Times New Roman" w:eastAsia="宋体" w:cs="Times New Roman"/>
                <w:snapToGrid w:val="0"/>
                <w:color w:val="auto"/>
                <w:position w:val="-2"/>
                <w:sz w:val="24"/>
                <w:szCs w:val="24"/>
                <w:highlight w:val="none"/>
                <w:lang w:eastAsia="en-US"/>
              </w:rPr>
              <w:t>12</w:t>
            </w:r>
          </w:p>
        </w:tc>
        <w:tc>
          <w:tcPr>
            <w:tcW w:w="481" w:type="dxa"/>
            <w:vAlign w:val="center"/>
          </w:tcPr>
          <w:p w14:paraId="3E04BDFD">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φ</w:t>
            </w:r>
            <w:r>
              <w:rPr>
                <w:rFonts w:hint="default" w:ascii="Times New Roman" w:hAnsi="Times New Roman" w:eastAsia="宋体" w:cs="Times New Roman"/>
                <w:snapToGrid w:val="0"/>
                <w:color w:val="auto"/>
                <w:position w:val="-2"/>
                <w:sz w:val="24"/>
                <w:szCs w:val="24"/>
                <w:highlight w:val="none"/>
                <w:lang w:eastAsia="en-US"/>
              </w:rPr>
              <w:t>16</w:t>
            </w:r>
          </w:p>
        </w:tc>
        <w:tc>
          <w:tcPr>
            <w:tcW w:w="480" w:type="dxa"/>
            <w:vAlign w:val="center"/>
          </w:tcPr>
          <w:p w14:paraId="42D05E6D">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position w:val="-6"/>
                <w:sz w:val="24"/>
                <w:szCs w:val="24"/>
                <w:highlight w:val="none"/>
                <w:lang w:eastAsia="en-US"/>
              </w:rPr>
              <w:t>—</w:t>
            </w:r>
          </w:p>
        </w:tc>
        <w:tc>
          <w:tcPr>
            <w:tcW w:w="478" w:type="dxa"/>
            <w:vAlign w:val="center"/>
          </w:tcPr>
          <w:p w14:paraId="610F2FF5">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position w:val="-6"/>
                <w:sz w:val="24"/>
                <w:szCs w:val="24"/>
                <w:highlight w:val="none"/>
                <w:lang w:eastAsia="en-US"/>
              </w:rPr>
              <w:t>—</w:t>
            </w:r>
          </w:p>
        </w:tc>
        <w:tc>
          <w:tcPr>
            <w:tcW w:w="479" w:type="dxa"/>
            <w:vAlign w:val="center"/>
          </w:tcPr>
          <w:p w14:paraId="76907DB2">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φ</w:t>
            </w:r>
            <w:r>
              <w:rPr>
                <w:rFonts w:hint="default" w:ascii="Times New Roman" w:hAnsi="Times New Roman" w:eastAsia="宋体" w:cs="Times New Roman"/>
                <w:snapToGrid w:val="0"/>
                <w:color w:val="auto"/>
                <w:position w:val="-2"/>
                <w:sz w:val="24"/>
                <w:szCs w:val="24"/>
                <w:highlight w:val="none"/>
                <w:lang w:eastAsia="en-US"/>
              </w:rPr>
              <w:t>14</w:t>
            </w:r>
          </w:p>
        </w:tc>
        <w:tc>
          <w:tcPr>
            <w:tcW w:w="479" w:type="dxa"/>
            <w:vAlign w:val="center"/>
          </w:tcPr>
          <w:p w14:paraId="06EFAD0A">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φ</w:t>
            </w:r>
            <w:r>
              <w:rPr>
                <w:rFonts w:hint="default" w:ascii="Times New Roman" w:hAnsi="Times New Roman" w:eastAsia="宋体" w:cs="Times New Roman"/>
                <w:snapToGrid w:val="0"/>
                <w:color w:val="auto"/>
                <w:position w:val="-2"/>
                <w:sz w:val="24"/>
                <w:szCs w:val="24"/>
                <w:highlight w:val="none"/>
                <w:lang w:eastAsia="en-US"/>
              </w:rPr>
              <w:t>16</w:t>
            </w:r>
          </w:p>
        </w:tc>
        <w:tc>
          <w:tcPr>
            <w:tcW w:w="479" w:type="dxa"/>
            <w:vAlign w:val="center"/>
          </w:tcPr>
          <w:p w14:paraId="295CEEEF">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φ</w:t>
            </w:r>
            <w:r>
              <w:rPr>
                <w:rFonts w:hint="default" w:ascii="Times New Roman" w:hAnsi="Times New Roman" w:eastAsia="宋体" w:cs="Times New Roman"/>
                <w:snapToGrid w:val="0"/>
                <w:color w:val="auto"/>
                <w:position w:val="-2"/>
                <w:sz w:val="24"/>
                <w:szCs w:val="24"/>
                <w:highlight w:val="none"/>
                <w:lang w:eastAsia="en-US"/>
              </w:rPr>
              <w:t>14</w:t>
            </w:r>
          </w:p>
        </w:tc>
        <w:tc>
          <w:tcPr>
            <w:tcW w:w="564" w:type="dxa"/>
            <w:vAlign w:val="center"/>
          </w:tcPr>
          <w:p w14:paraId="44D990BE">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φ16</w:t>
            </w:r>
          </w:p>
          <w:p w14:paraId="55B8F241">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φ14</w:t>
            </w:r>
          </w:p>
        </w:tc>
        <w:tc>
          <w:tcPr>
            <w:tcW w:w="567" w:type="dxa"/>
            <w:vAlign w:val="center"/>
          </w:tcPr>
          <w:p w14:paraId="3A3F763D">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position w:val="-6"/>
                <w:sz w:val="24"/>
                <w:szCs w:val="24"/>
                <w:highlight w:val="none"/>
                <w:lang w:eastAsia="en-US"/>
              </w:rPr>
              <w:t>—</w:t>
            </w:r>
          </w:p>
        </w:tc>
        <w:tc>
          <w:tcPr>
            <w:tcW w:w="709" w:type="dxa"/>
            <w:tcBorders>
              <w:right w:val="single" w:color="000000" w:sz="6" w:space="0"/>
            </w:tcBorders>
            <w:vAlign w:val="center"/>
          </w:tcPr>
          <w:p w14:paraId="38D4F18D">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position w:val="-6"/>
                <w:sz w:val="24"/>
                <w:szCs w:val="24"/>
                <w:highlight w:val="none"/>
                <w:lang w:eastAsia="en-US"/>
              </w:rPr>
              <w:t>—</w:t>
            </w:r>
          </w:p>
        </w:tc>
      </w:tr>
      <w:tr w14:paraId="600275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345" w:type="dxa"/>
            <w:tcBorders>
              <w:left w:val="single" w:color="000000" w:sz="6" w:space="0"/>
            </w:tcBorders>
            <w:vAlign w:val="center"/>
          </w:tcPr>
          <w:p w14:paraId="283F98F2">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4</w:t>
            </w:r>
          </w:p>
        </w:tc>
        <w:tc>
          <w:tcPr>
            <w:tcW w:w="502" w:type="dxa"/>
            <w:vAlign w:val="center"/>
          </w:tcPr>
          <w:p w14:paraId="434298C5">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pacing w:val="-4"/>
                <w:sz w:val="24"/>
                <w:szCs w:val="24"/>
                <w:highlight w:val="none"/>
                <w:lang w:eastAsia="en-US"/>
              </w:rPr>
              <w:t>3~4</w:t>
            </w:r>
          </w:p>
          <w:p w14:paraId="55D14468">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pacing w:val="-8"/>
                <w:sz w:val="24"/>
                <w:szCs w:val="24"/>
                <w:highlight w:val="none"/>
                <w:lang w:eastAsia="en-US"/>
              </w:rPr>
              <w:t>1~2</w:t>
            </w:r>
          </w:p>
        </w:tc>
        <w:tc>
          <w:tcPr>
            <w:tcW w:w="480" w:type="dxa"/>
            <w:vMerge w:val="continue"/>
            <w:tcBorders>
              <w:top w:val="nil"/>
              <w:bottom w:val="nil"/>
            </w:tcBorders>
            <w:vAlign w:val="center"/>
          </w:tcPr>
          <w:p w14:paraId="2538EE59">
            <w:pPr>
              <w:pStyle w:val="57"/>
              <w:spacing w:after="0" w:line="240" w:lineRule="auto"/>
              <w:rPr>
                <w:rFonts w:hint="default" w:ascii="Times New Roman" w:hAnsi="Times New Roman" w:eastAsia="宋体" w:cs="Times New Roman"/>
                <w:snapToGrid w:val="0"/>
                <w:color w:val="auto"/>
                <w:sz w:val="24"/>
                <w:szCs w:val="24"/>
                <w:highlight w:val="none"/>
                <w:lang w:eastAsia="en-US"/>
              </w:rPr>
            </w:pPr>
          </w:p>
        </w:tc>
        <w:tc>
          <w:tcPr>
            <w:tcW w:w="479" w:type="dxa"/>
            <w:vAlign w:val="center"/>
          </w:tcPr>
          <w:p w14:paraId="6DB53F74">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φ</w:t>
            </w:r>
            <w:r>
              <w:rPr>
                <w:rFonts w:hint="default" w:ascii="Times New Roman" w:hAnsi="Times New Roman" w:eastAsia="宋体" w:cs="Times New Roman"/>
                <w:snapToGrid w:val="0"/>
                <w:color w:val="auto"/>
                <w:position w:val="-2"/>
                <w:sz w:val="24"/>
                <w:szCs w:val="24"/>
                <w:highlight w:val="none"/>
                <w:lang w:eastAsia="en-US"/>
              </w:rPr>
              <w:t>12</w:t>
            </w:r>
          </w:p>
        </w:tc>
        <w:tc>
          <w:tcPr>
            <w:tcW w:w="481" w:type="dxa"/>
            <w:vAlign w:val="center"/>
          </w:tcPr>
          <w:p w14:paraId="320537CD">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φ</w:t>
            </w:r>
            <w:r>
              <w:rPr>
                <w:rFonts w:hint="default" w:ascii="Times New Roman" w:hAnsi="Times New Roman" w:eastAsia="宋体" w:cs="Times New Roman"/>
                <w:snapToGrid w:val="0"/>
                <w:color w:val="auto"/>
                <w:position w:val="-2"/>
                <w:sz w:val="24"/>
                <w:szCs w:val="24"/>
                <w:highlight w:val="none"/>
                <w:lang w:eastAsia="en-US"/>
              </w:rPr>
              <w:t>16</w:t>
            </w:r>
          </w:p>
        </w:tc>
        <w:tc>
          <w:tcPr>
            <w:tcW w:w="480" w:type="dxa"/>
            <w:vAlign w:val="center"/>
          </w:tcPr>
          <w:p w14:paraId="7EC4023A">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φ</w:t>
            </w:r>
            <w:r>
              <w:rPr>
                <w:rFonts w:hint="default" w:ascii="Times New Roman" w:hAnsi="Times New Roman" w:eastAsia="宋体" w:cs="Times New Roman"/>
                <w:snapToGrid w:val="0"/>
                <w:color w:val="auto"/>
                <w:position w:val="-2"/>
                <w:sz w:val="24"/>
                <w:szCs w:val="24"/>
                <w:highlight w:val="none"/>
                <w:lang w:eastAsia="en-US"/>
              </w:rPr>
              <w:t>16</w:t>
            </w:r>
          </w:p>
        </w:tc>
        <w:tc>
          <w:tcPr>
            <w:tcW w:w="478" w:type="dxa"/>
            <w:vAlign w:val="center"/>
          </w:tcPr>
          <w:p w14:paraId="59D059F1">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φ</w:t>
            </w:r>
            <w:r>
              <w:rPr>
                <w:rFonts w:hint="default" w:ascii="Times New Roman" w:hAnsi="Times New Roman" w:eastAsia="宋体" w:cs="Times New Roman"/>
                <w:snapToGrid w:val="0"/>
                <w:color w:val="auto"/>
                <w:position w:val="-2"/>
                <w:sz w:val="24"/>
                <w:szCs w:val="24"/>
                <w:highlight w:val="none"/>
                <w:lang w:eastAsia="en-US"/>
              </w:rPr>
              <w:t>20</w:t>
            </w:r>
          </w:p>
        </w:tc>
        <w:tc>
          <w:tcPr>
            <w:tcW w:w="479" w:type="dxa"/>
            <w:vAlign w:val="center"/>
          </w:tcPr>
          <w:p w14:paraId="51BFC532">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φ</w:t>
            </w:r>
            <w:r>
              <w:rPr>
                <w:rFonts w:hint="default" w:ascii="Times New Roman" w:hAnsi="Times New Roman" w:eastAsia="宋体" w:cs="Times New Roman"/>
                <w:snapToGrid w:val="0"/>
                <w:color w:val="auto"/>
                <w:position w:val="-2"/>
                <w:sz w:val="24"/>
                <w:szCs w:val="24"/>
                <w:highlight w:val="none"/>
                <w:lang w:eastAsia="en-US"/>
              </w:rPr>
              <w:t>14</w:t>
            </w:r>
          </w:p>
        </w:tc>
        <w:tc>
          <w:tcPr>
            <w:tcW w:w="479" w:type="dxa"/>
            <w:vAlign w:val="center"/>
          </w:tcPr>
          <w:p w14:paraId="496BBE2E">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φ</w:t>
            </w:r>
            <w:r>
              <w:rPr>
                <w:rFonts w:hint="default" w:ascii="Times New Roman" w:hAnsi="Times New Roman" w:eastAsia="宋体" w:cs="Times New Roman"/>
                <w:snapToGrid w:val="0"/>
                <w:color w:val="auto"/>
                <w:position w:val="-2"/>
                <w:sz w:val="24"/>
                <w:szCs w:val="24"/>
                <w:highlight w:val="none"/>
                <w:lang w:eastAsia="en-US"/>
              </w:rPr>
              <w:t>16</w:t>
            </w:r>
          </w:p>
        </w:tc>
        <w:tc>
          <w:tcPr>
            <w:tcW w:w="479" w:type="dxa"/>
            <w:vAlign w:val="center"/>
          </w:tcPr>
          <w:p w14:paraId="0A3FDB7E">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φ</w:t>
            </w:r>
            <w:r>
              <w:rPr>
                <w:rFonts w:hint="default" w:ascii="Times New Roman" w:hAnsi="Times New Roman" w:eastAsia="宋体" w:cs="Times New Roman"/>
                <w:snapToGrid w:val="0"/>
                <w:color w:val="auto"/>
                <w:position w:val="-2"/>
                <w:sz w:val="24"/>
                <w:szCs w:val="24"/>
                <w:highlight w:val="none"/>
                <w:lang w:eastAsia="en-US"/>
              </w:rPr>
              <w:t>14</w:t>
            </w:r>
          </w:p>
        </w:tc>
        <w:tc>
          <w:tcPr>
            <w:tcW w:w="564" w:type="dxa"/>
            <w:vAlign w:val="center"/>
          </w:tcPr>
          <w:p w14:paraId="2E58EE64">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φ14</w:t>
            </w:r>
          </w:p>
          <w:p w14:paraId="6A9E3CBD">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φ14</w:t>
            </w:r>
          </w:p>
        </w:tc>
        <w:tc>
          <w:tcPr>
            <w:tcW w:w="567" w:type="dxa"/>
            <w:vAlign w:val="center"/>
          </w:tcPr>
          <w:p w14:paraId="77ED5A4E">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φ16</w:t>
            </w:r>
          </w:p>
          <w:p w14:paraId="0DD6239E">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φ16</w:t>
            </w:r>
          </w:p>
        </w:tc>
        <w:tc>
          <w:tcPr>
            <w:tcW w:w="709" w:type="dxa"/>
            <w:tcBorders>
              <w:right w:val="single" w:color="000000" w:sz="6" w:space="0"/>
            </w:tcBorders>
            <w:vAlign w:val="center"/>
          </w:tcPr>
          <w:p w14:paraId="147B9168">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φ20</w:t>
            </w:r>
          </w:p>
          <w:p w14:paraId="1B0C2D8B">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φ16</w:t>
            </w:r>
          </w:p>
        </w:tc>
      </w:tr>
      <w:tr w14:paraId="2DBB1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345" w:type="dxa"/>
            <w:tcBorders>
              <w:left w:val="single" w:color="000000" w:sz="6" w:space="0"/>
            </w:tcBorders>
            <w:vAlign w:val="center"/>
          </w:tcPr>
          <w:p w14:paraId="1E598927">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3</w:t>
            </w:r>
          </w:p>
        </w:tc>
        <w:tc>
          <w:tcPr>
            <w:tcW w:w="502" w:type="dxa"/>
            <w:vAlign w:val="center"/>
          </w:tcPr>
          <w:p w14:paraId="5F1C909C">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pacing w:val="-6"/>
                <w:sz w:val="24"/>
                <w:szCs w:val="24"/>
                <w:highlight w:val="none"/>
                <w:lang w:eastAsia="en-US"/>
              </w:rPr>
              <w:t>1~3</w:t>
            </w:r>
          </w:p>
        </w:tc>
        <w:tc>
          <w:tcPr>
            <w:tcW w:w="480" w:type="dxa"/>
            <w:vMerge w:val="continue"/>
            <w:tcBorders>
              <w:top w:val="nil"/>
              <w:bottom w:val="nil"/>
            </w:tcBorders>
            <w:vAlign w:val="center"/>
          </w:tcPr>
          <w:p w14:paraId="48621634">
            <w:pPr>
              <w:pStyle w:val="57"/>
              <w:spacing w:after="0" w:line="240" w:lineRule="auto"/>
              <w:rPr>
                <w:rFonts w:hint="default" w:ascii="Times New Roman" w:hAnsi="Times New Roman" w:eastAsia="宋体" w:cs="Times New Roman"/>
                <w:snapToGrid w:val="0"/>
                <w:color w:val="auto"/>
                <w:sz w:val="24"/>
                <w:szCs w:val="24"/>
                <w:highlight w:val="none"/>
                <w:lang w:eastAsia="en-US"/>
              </w:rPr>
            </w:pPr>
          </w:p>
        </w:tc>
        <w:tc>
          <w:tcPr>
            <w:tcW w:w="479" w:type="dxa"/>
            <w:vAlign w:val="center"/>
          </w:tcPr>
          <w:p w14:paraId="2D1942ED">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φ</w:t>
            </w:r>
            <w:r>
              <w:rPr>
                <w:rFonts w:hint="default" w:ascii="Times New Roman" w:hAnsi="Times New Roman" w:eastAsia="宋体" w:cs="Times New Roman"/>
                <w:snapToGrid w:val="0"/>
                <w:color w:val="auto"/>
                <w:position w:val="-2"/>
                <w:sz w:val="24"/>
                <w:szCs w:val="24"/>
                <w:highlight w:val="none"/>
                <w:lang w:eastAsia="en-US"/>
              </w:rPr>
              <w:t>12</w:t>
            </w:r>
          </w:p>
        </w:tc>
        <w:tc>
          <w:tcPr>
            <w:tcW w:w="481" w:type="dxa"/>
            <w:vAlign w:val="center"/>
          </w:tcPr>
          <w:p w14:paraId="1079E6CE">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φ</w:t>
            </w:r>
            <w:r>
              <w:rPr>
                <w:rFonts w:hint="default" w:ascii="Times New Roman" w:hAnsi="Times New Roman" w:eastAsia="宋体" w:cs="Times New Roman"/>
                <w:snapToGrid w:val="0"/>
                <w:color w:val="auto"/>
                <w:position w:val="-2"/>
                <w:sz w:val="24"/>
                <w:szCs w:val="24"/>
                <w:highlight w:val="none"/>
                <w:lang w:eastAsia="en-US"/>
              </w:rPr>
              <w:t>14</w:t>
            </w:r>
          </w:p>
        </w:tc>
        <w:tc>
          <w:tcPr>
            <w:tcW w:w="480" w:type="dxa"/>
            <w:vAlign w:val="center"/>
          </w:tcPr>
          <w:p w14:paraId="1EAC9CE8">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φ</w:t>
            </w:r>
            <w:r>
              <w:rPr>
                <w:rFonts w:hint="default" w:ascii="Times New Roman" w:hAnsi="Times New Roman" w:eastAsia="宋体" w:cs="Times New Roman"/>
                <w:snapToGrid w:val="0"/>
                <w:color w:val="auto"/>
                <w:position w:val="-2"/>
                <w:sz w:val="24"/>
                <w:szCs w:val="24"/>
                <w:highlight w:val="none"/>
                <w:lang w:eastAsia="en-US"/>
              </w:rPr>
              <w:t>16</w:t>
            </w:r>
          </w:p>
        </w:tc>
        <w:tc>
          <w:tcPr>
            <w:tcW w:w="478" w:type="dxa"/>
            <w:vAlign w:val="center"/>
          </w:tcPr>
          <w:p w14:paraId="027A1D4C">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φ</w:t>
            </w:r>
            <w:r>
              <w:rPr>
                <w:rFonts w:hint="default" w:ascii="Times New Roman" w:hAnsi="Times New Roman" w:eastAsia="宋体" w:cs="Times New Roman"/>
                <w:snapToGrid w:val="0"/>
                <w:color w:val="auto"/>
                <w:position w:val="-2"/>
                <w:sz w:val="24"/>
                <w:szCs w:val="24"/>
                <w:highlight w:val="none"/>
                <w:lang w:eastAsia="en-US"/>
              </w:rPr>
              <w:t>20</w:t>
            </w:r>
          </w:p>
        </w:tc>
        <w:tc>
          <w:tcPr>
            <w:tcW w:w="479" w:type="dxa"/>
            <w:vAlign w:val="center"/>
          </w:tcPr>
          <w:p w14:paraId="5281E117">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φ</w:t>
            </w:r>
            <w:r>
              <w:rPr>
                <w:rFonts w:hint="default" w:ascii="Times New Roman" w:hAnsi="Times New Roman" w:eastAsia="宋体" w:cs="Times New Roman"/>
                <w:snapToGrid w:val="0"/>
                <w:color w:val="auto"/>
                <w:position w:val="-2"/>
                <w:sz w:val="24"/>
                <w:szCs w:val="24"/>
                <w:highlight w:val="none"/>
                <w:lang w:eastAsia="en-US"/>
              </w:rPr>
              <w:t>14</w:t>
            </w:r>
          </w:p>
        </w:tc>
        <w:tc>
          <w:tcPr>
            <w:tcW w:w="479" w:type="dxa"/>
            <w:vAlign w:val="center"/>
          </w:tcPr>
          <w:p w14:paraId="7AEA445C">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φ</w:t>
            </w:r>
            <w:r>
              <w:rPr>
                <w:rFonts w:hint="default" w:ascii="Times New Roman" w:hAnsi="Times New Roman" w:eastAsia="宋体" w:cs="Times New Roman"/>
                <w:snapToGrid w:val="0"/>
                <w:color w:val="auto"/>
                <w:position w:val="-2"/>
                <w:sz w:val="24"/>
                <w:szCs w:val="24"/>
                <w:highlight w:val="none"/>
                <w:lang w:eastAsia="en-US"/>
              </w:rPr>
              <w:t>14</w:t>
            </w:r>
          </w:p>
        </w:tc>
        <w:tc>
          <w:tcPr>
            <w:tcW w:w="479" w:type="dxa"/>
            <w:vAlign w:val="center"/>
          </w:tcPr>
          <w:p w14:paraId="05C7DC18">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φ</w:t>
            </w:r>
            <w:r>
              <w:rPr>
                <w:rFonts w:hint="default" w:ascii="Times New Roman" w:hAnsi="Times New Roman" w:eastAsia="宋体" w:cs="Times New Roman"/>
                <w:snapToGrid w:val="0"/>
                <w:color w:val="auto"/>
                <w:position w:val="-2"/>
                <w:sz w:val="24"/>
                <w:szCs w:val="24"/>
                <w:highlight w:val="none"/>
                <w:lang w:eastAsia="en-US"/>
              </w:rPr>
              <w:t>14</w:t>
            </w:r>
          </w:p>
        </w:tc>
        <w:tc>
          <w:tcPr>
            <w:tcW w:w="564" w:type="dxa"/>
            <w:vAlign w:val="center"/>
          </w:tcPr>
          <w:p w14:paraId="5F97F78F">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φ</w:t>
            </w:r>
            <w:r>
              <w:rPr>
                <w:rFonts w:hint="default" w:ascii="Times New Roman" w:hAnsi="Times New Roman" w:eastAsia="宋体" w:cs="Times New Roman"/>
                <w:snapToGrid w:val="0"/>
                <w:color w:val="auto"/>
                <w:position w:val="-2"/>
                <w:sz w:val="24"/>
                <w:szCs w:val="24"/>
                <w:highlight w:val="none"/>
                <w:lang w:eastAsia="en-US"/>
              </w:rPr>
              <w:t>14</w:t>
            </w:r>
          </w:p>
        </w:tc>
        <w:tc>
          <w:tcPr>
            <w:tcW w:w="567" w:type="dxa"/>
            <w:vAlign w:val="center"/>
          </w:tcPr>
          <w:p w14:paraId="3C6260D5">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φ</w:t>
            </w:r>
            <w:r>
              <w:rPr>
                <w:rFonts w:hint="default" w:ascii="Times New Roman" w:hAnsi="Times New Roman" w:eastAsia="宋体" w:cs="Times New Roman"/>
                <w:snapToGrid w:val="0"/>
                <w:color w:val="auto"/>
                <w:position w:val="-2"/>
                <w:sz w:val="24"/>
                <w:szCs w:val="24"/>
                <w:highlight w:val="none"/>
                <w:lang w:eastAsia="en-US"/>
              </w:rPr>
              <w:t>16</w:t>
            </w:r>
          </w:p>
        </w:tc>
        <w:tc>
          <w:tcPr>
            <w:tcW w:w="709" w:type="dxa"/>
            <w:tcBorders>
              <w:right w:val="single" w:color="000000" w:sz="6" w:space="0"/>
            </w:tcBorders>
            <w:vAlign w:val="center"/>
          </w:tcPr>
          <w:p w14:paraId="27299187">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φ</w:t>
            </w:r>
            <w:r>
              <w:rPr>
                <w:rFonts w:hint="default" w:ascii="Times New Roman" w:hAnsi="Times New Roman" w:eastAsia="宋体" w:cs="Times New Roman"/>
                <w:snapToGrid w:val="0"/>
                <w:color w:val="auto"/>
                <w:position w:val="-2"/>
                <w:sz w:val="24"/>
                <w:szCs w:val="24"/>
                <w:highlight w:val="none"/>
                <w:lang w:eastAsia="en-US"/>
              </w:rPr>
              <w:t>20</w:t>
            </w:r>
          </w:p>
        </w:tc>
      </w:tr>
      <w:tr w14:paraId="6FB6A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345" w:type="dxa"/>
            <w:tcBorders>
              <w:left w:val="single" w:color="000000" w:sz="6" w:space="0"/>
            </w:tcBorders>
            <w:vAlign w:val="center"/>
          </w:tcPr>
          <w:p w14:paraId="112D4B47">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2</w:t>
            </w:r>
          </w:p>
        </w:tc>
        <w:tc>
          <w:tcPr>
            <w:tcW w:w="502" w:type="dxa"/>
            <w:vAlign w:val="center"/>
          </w:tcPr>
          <w:p w14:paraId="36C4E77F">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pacing w:val="-6"/>
                <w:sz w:val="24"/>
                <w:szCs w:val="24"/>
                <w:highlight w:val="none"/>
                <w:lang w:eastAsia="en-US"/>
              </w:rPr>
              <w:t>1~2</w:t>
            </w:r>
          </w:p>
        </w:tc>
        <w:tc>
          <w:tcPr>
            <w:tcW w:w="480" w:type="dxa"/>
            <w:vMerge w:val="continue"/>
            <w:tcBorders>
              <w:top w:val="nil"/>
              <w:bottom w:val="nil"/>
            </w:tcBorders>
            <w:vAlign w:val="center"/>
          </w:tcPr>
          <w:p w14:paraId="5E3F93CF">
            <w:pPr>
              <w:pStyle w:val="57"/>
              <w:spacing w:after="0" w:line="240" w:lineRule="auto"/>
              <w:rPr>
                <w:rFonts w:hint="default" w:ascii="Times New Roman" w:hAnsi="Times New Roman" w:eastAsia="宋体" w:cs="Times New Roman"/>
                <w:snapToGrid w:val="0"/>
                <w:color w:val="auto"/>
                <w:sz w:val="24"/>
                <w:szCs w:val="24"/>
                <w:highlight w:val="none"/>
                <w:lang w:eastAsia="en-US"/>
              </w:rPr>
            </w:pPr>
          </w:p>
        </w:tc>
        <w:tc>
          <w:tcPr>
            <w:tcW w:w="479" w:type="dxa"/>
            <w:vAlign w:val="center"/>
          </w:tcPr>
          <w:p w14:paraId="4BA384DB">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φ</w:t>
            </w:r>
            <w:r>
              <w:rPr>
                <w:rFonts w:hint="default" w:ascii="Times New Roman" w:hAnsi="Times New Roman" w:eastAsia="宋体" w:cs="Times New Roman"/>
                <w:snapToGrid w:val="0"/>
                <w:color w:val="auto"/>
                <w:position w:val="-2"/>
                <w:sz w:val="24"/>
                <w:szCs w:val="24"/>
                <w:highlight w:val="none"/>
                <w:lang w:eastAsia="en-US"/>
              </w:rPr>
              <w:t>12</w:t>
            </w:r>
          </w:p>
        </w:tc>
        <w:tc>
          <w:tcPr>
            <w:tcW w:w="481" w:type="dxa"/>
            <w:vAlign w:val="center"/>
          </w:tcPr>
          <w:p w14:paraId="57A1BC8D">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φ</w:t>
            </w:r>
            <w:r>
              <w:rPr>
                <w:rFonts w:hint="default" w:ascii="Times New Roman" w:hAnsi="Times New Roman" w:eastAsia="宋体" w:cs="Times New Roman"/>
                <w:snapToGrid w:val="0"/>
                <w:color w:val="auto"/>
                <w:position w:val="-2"/>
                <w:sz w:val="24"/>
                <w:szCs w:val="24"/>
                <w:highlight w:val="none"/>
                <w:lang w:eastAsia="en-US"/>
              </w:rPr>
              <w:t>14</w:t>
            </w:r>
          </w:p>
        </w:tc>
        <w:tc>
          <w:tcPr>
            <w:tcW w:w="480" w:type="dxa"/>
            <w:vAlign w:val="center"/>
          </w:tcPr>
          <w:p w14:paraId="3931A537">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φ</w:t>
            </w:r>
            <w:r>
              <w:rPr>
                <w:rFonts w:hint="default" w:ascii="Times New Roman" w:hAnsi="Times New Roman" w:eastAsia="宋体" w:cs="Times New Roman"/>
                <w:snapToGrid w:val="0"/>
                <w:color w:val="auto"/>
                <w:position w:val="-2"/>
                <w:sz w:val="24"/>
                <w:szCs w:val="24"/>
                <w:highlight w:val="none"/>
                <w:lang w:eastAsia="en-US"/>
              </w:rPr>
              <w:t>16</w:t>
            </w:r>
          </w:p>
        </w:tc>
        <w:tc>
          <w:tcPr>
            <w:tcW w:w="478" w:type="dxa"/>
            <w:vAlign w:val="center"/>
          </w:tcPr>
          <w:p w14:paraId="12CF498F">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φ</w:t>
            </w:r>
            <w:r>
              <w:rPr>
                <w:rFonts w:hint="default" w:ascii="Times New Roman" w:hAnsi="Times New Roman" w:eastAsia="宋体" w:cs="Times New Roman"/>
                <w:snapToGrid w:val="0"/>
                <w:color w:val="auto"/>
                <w:position w:val="-2"/>
                <w:sz w:val="24"/>
                <w:szCs w:val="24"/>
                <w:highlight w:val="none"/>
                <w:lang w:eastAsia="en-US"/>
              </w:rPr>
              <w:t>20</w:t>
            </w:r>
          </w:p>
        </w:tc>
        <w:tc>
          <w:tcPr>
            <w:tcW w:w="479" w:type="dxa"/>
            <w:vAlign w:val="center"/>
          </w:tcPr>
          <w:p w14:paraId="5886C3BD">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φ</w:t>
            </w:r>
            <w:r>
              <w:rPr>
                <w:rFonts w:hint="default" w:ascii="Times New Roman" w:hAnsi="Times New Roman" w:eastAsia="宋体" w:cs="Times New Roman"/>
                <w:snapToGrid w:val="0"/>
                <w:color w:val="auto"/>
                <w:position w:val="-2"/>
                <w:sz w:val="24"/>
                <w:szCs w:val="24"/>
                <w:highlight w:val="none"/>
                <w:lang w:eastAsia="en-US"/>
              </w:rPr>
              <w:t>14</w:t>
            </w:r>
          </w:p>
        </w:tc>
        <w:tc>
          <w:tcPr>
            <w:tcW w:w="479" w:type="dxa"/>
            <w:vAlign w:val="center"/>
          </w:tcPr>
          <w:p w14:paraId="234BEDD2">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φ</w:t>
            </w:r>
            <w:r>
              <w:rPr>
                <w:rFonts w:hint="default" w:ascii="Times New Roman" w:hAnsi="Times New Roman" w:eastAsia="宋体" w:cs="Times New Roman"/>
                <w:snapToGrid w:val="0"/>
                <w:color w:val="auto"/>
                <w:position w:val="-2"/>
                <w:sz w:val="24"/>
                <w:szCs w:val="24"/>
                <w:highlight w:val="none"/>
                <w:lang w:eastAsia="en-US"/>
              </w:rPr>
              <w:t>14</w:t>
            </w:r>
          </w:p>
        </w:tc>
        <w:tc>
          <w:tcPr>
            <w:tcW w:w="479" w:type="dxa"/>
            <w:vAlign w:val="center"/>
          </w:tcPr>
          <w:p w14:paraId="0DE2B3B7">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φ</w:t>
            </w:r>
            <w:r>
              <w:rPr>
                <w:rFonts w:hint="default" w:ascii="Times New Roman" w:hAnsi="Times New Roman" w:eastAsia="宋体" w:cs="Times New Roman"/>
                <w:snapToGrid w:val="0"/>
                <w:color w:val="auto"/>
                <w:position w:val="-2"/>
                <w:sz w:val="24"/>
                <w:szCs w:val="24"/>
                <w:highlight w:val="none"/>
                <w:lang w:eastAsia="en-US"/>
              </w:rPr>
              <w:t>14</w:t>
            </w:r>
          </w:p>
        </w:tc>
        <w:tc>
          <w:tcPr>
            <w:tcW w:w="564" w:type="dxa"/>
            <w:vAlign w:val="center"/>
          </w:tcPr>
          <w:p w14:paraId="69DD49FB">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φ</w:t>
            </w:r>
            <w:r>
              <w:rPr>
                <w:rFonts w:hint="default" w:ascii="Times New Roman" w:hAnsi="Times New Roman" w:eastAsia="宋体" w:cs="Times New Roman"/>
                <w:snapToGrid w:val="0"/>
                <w:color w:val="auto"/>
                <w:position w:val="-2"/>
                <w:sz w:val="24"/>
                <w:szCs w:val="24"/>
                <w:highlight w:val="none"/>
                <w:lang w:eastAsia="en-US"/>
              </w:rPr>
              <w:t>14</w:t>
            </w:r>
          </w:p>
        </w:tc>
        <w:tc>
          <w:tcPr>
            <w:tcW w:w="567" w:type="dxa"/>
            <w:vAlign w:val="center"/>
          </w:tcPr>
          <w:p w14:paraId="7F3E9A6A">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φ</w:t>
            </w:r>
            <w:r>
              <w:rPr>
                <w:rFonts w:hint="default" w:ascii="Times New Roman" w:hAnsi="Times New Roman" w:eastAsia="宋体" w:cs="Times New Roman"/>
                <w:snapToGrid w:val="0"/>
                <w:color w:val="auto"/>
                <w:position w:val="-2"/>
                <w:sz w:val="24"/>
                <w:szCs w:val="24"/>
                <w:highlight w:val="none"/>
                <w:lang w:eastAsia="en-US"/>
              </w:rPr>
              <w:t>16</w:t>
            </w:r>
          </w:p>
        </w:tc>
        <w:tc>
          <w:tcPr>
            <w:tcW w:w="709" w:type="dxa"/>
            <w:tcBorders>
              <w:right w:val="single" w:color="000000" w:sz="6" w:space="0"/>
            </w:tcBorders>
            <w:vAlign w:val="center"/>
          </w:tcPr>
          <w:p w14:paraId="2E75A475">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φ</w:t>
            </w:r>
            <w:r>
              <w:rPr>
                <w:rFonts w:hint="default" w:ascii="Times New Roman" w:hAnsi="Times New Roman" w:eastAsia="宋体" w:cs="Times New Roman"/>
                <w:snapToGrid w:val="0"/>
                <w:color w:val="auto"/>
                <w:position w:val="-2"/>
                <w:sz w:val="24"/>
                <w:szCs w:val="24"/>
                <w:highlight w:val="none"/>
                <w:lang w:eastAsia="en-US"/>
              </w:rPr>
              <w:t>18</w:t>
            </w:r>
          </w:p>
        </w:tc>
      </w:tr>
      <w:tr w14:paraId="64E2AC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trPr>
        <w:tc>
          <w:tcPr>
            <w:tcW w:w="345" w:type="dxa"/>
            <w:tcBorders>
              <w:left w:val="single" w:color="000000" w:sz="6" w:space="0"/>
              <w:bottom w:val="single" w:color="000000" w:sz="6" w:space="0"/>
            </w:tcBorders>
            <w:vAlign w:val="center"/>
          </w:tcPr>
          <w:p w14:paraId="2D3F49A8">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1</w:t>
            </w:r>
          </w:p>
        </w:tc>
        <w:tc>
          <w:tcPr>
            <w:tcW w:w="502" w:type="dxa"/>
            <w:tcBorders>
              <w:bottom w:val="single" w:color="000000" w:sz="6" w:space="0"/>
            </w:tcBorders>
            <w:vAlign w:val="center"/>
          </w:tcPr>
          <w:p w14:paraId="1C5BF528">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1</w:t>
            </w:r>
          </w:p>
        </w:tc>
        <w:tc>
          <w:tcPr>
            <w:tcW w:w="480" w:type="dxa"/>
            <w:vMerge w:val="continue"/>
            <w:tcBorders>
              <w:top w:val="nil"/>
              <w:bottom w:val="single" w:color="000000" w:sz="6" w:space="0"/>
            </w:tcBorders>
            <w:vAlign w:val="center"/>
          </w:tcPr>
          <w:p w14:paraId="7FEF0D49">
            <w:pPr>
              <w:pStyle w:val="57"/>
              <w:spacing w:after="0" w:line="240" w:lineRule="auto"/>
              <w:rPr>
                <w:rFonts w:hint="default" w:ascii="Times New Roman" w:hAnsi="Times New Roman" w:eastAsia="宋体" w:cs="Times New Roman"/>
                <w:snapToGrid w:val="0"/>
                <w:color w:val="auto"/>
                <w:sz w:val="24"/>
                <w:szCs w:val="24"/>
                <w:highlight w:val="none"/>
                <w:lang w:eastAsia="en-US"/>
              </w:rPr>
            </w:pPr>
          </w:p>
        </w:tc>
        <w:tc>
          <w:tcPr>
            <w:tcW w:w="479" w:type="dxa"/>
            <w:tcBorders>
              <w:bottom w:val="single" w:color="000000" w:sz="6" w:space="0"/>
            </w:tcBorders>
            <w:vAlign w:val="center"/>
          </w:tcPr>
          <w:p w14:paraId="7FAD2BB2">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φ</w:t>
            </w:r>
            <w:r>
              <w:rPr>
                <w:rFonts w:hint="default" w:ascii="Times New Roman" w:hAnsi="Times New Roman" w:eastAsia="宋体" w:cs="Times New Roman"/>
                <w:snapToGrid w:val="0"/>
                <w:color w:val="auto"/>
                <w:position w:val="-2"/>
                <w:sz w:val="24"/>
                <w:szCs w:val="24"/>
                <w:highlight w:val="none"/>
                <w:lang w:eastAsia="en-US"/>
              </w:rPr>
              <w:t>12</w:t>
            </w:r>
          </w:p>
        </w:tc>
        <w:tc>
          <w:tcPr>
            <w:tcW w:w="481" w:type="dxa"/>
            <w:tcBorders>
              <w:bottom w:val="single" w:color="000000" w:sz="6" w:space="0"/>
            </w:tcBorders>
            <w:vAlign w:val="center"/>
          </w:tcPr>
          <w:p w14:paraId="12516945">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φ</w:t>
            </w:r>
            <w:r>
              <w:rPr>
                <w:rFonts w:hint="default" w:ascii="Times New Roman" w:hAnsi="Times New Roman" w:eastAsia="宋体" w:cs="Times New Roman"/>
                <w:snapToGrid w:val="0"/>
                <w:color w:val="auto"/>
                <w:position w:val="-2"/>
                <w:sz w:val="24"/>
                <w:szCs w:val="24"/>
                <w:highlight w:val="none"/>
                <w:lang w:eastAsia="en-US"/>
              </w:rPr>
              <w:t>14</w:t>
            </w:r>
          </w:p>
        </w:tc>
        <w:tc>
          <w:tcPr>
            <w:tcW w:w="480" w:type="dxa"/>
            <w:tcBorders>
              <w:bottom w:val="single" w:color="000000" w:sz="6" w:space="0"/>
            </w:tcBorders>
            <w:vAlign w:val="center"/>
          </w:tcPr>
          <w:p w14:paraId="4F1AF1F9">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φ</w:t>
            </w:r>
            <w:r>
              <w:rPr>
                <w:rFonts w:hint="default" w:ascii="Times New Roman" w:hAnsi="Times New Roman" w:eastAsia="宋体" w:cs="Times New Roman"/>
                <w:snapToGrid w:val="0"/>
                <w:color w:val="auto"/>
                <w:position w:val="-2"/>
                <w:sz w:val="24"/>
                <w:szCs w:val="24"/>
                <w:highlight w:val="none"/>
                <w:lang w:eastAsia="en-US"/>
              </w:rPr>
              <w:t>16</w:t>
            </w:r>
          </w:p>
        </w:tc>
        <w:tc>
          <w:tcPr>
            <w:tcW w:w="478" w:type="dxa"/>
            <w:tcBorders>
              <w:bottom w:val="single" w:color="000000" w:sz="6" w:space="0"/>
            </w:tcBorders>
            <w:vAlign w:val="center"/>
          </w:tcPr>
          <w:p w14:paraId="07CC2198">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φ</w:t>
            </w:r>
            <w:r>
              <w:rPr>
                <w:rFonts w:hint="default" w:ascii="Times New Roman" w:hAnsi="Times New Roman" w:eastAsia="宋体" w:cs="Times New Roman"/>
                <w:snapToGrid w:val="0"/>
                <w:color w:val="auto"/>
                <w:position w:val="-2"/>
                <w:sz w:val="24"/>
                <w:szCs w:val="24"/>
                <w:highlight w:val="none"/>
                <w:lang w:eastAsia="en-US"/>
              </w:rPr>
              <w:t>18</w:t>
            </w:r>
          </w:p>
        </w:tc>
        <w:tc>
          <w:tcPr>
            <w:tcW w:w="479" w:type="dxa"/>
            <w:tcBorders>
              <w:bottom w:val="single" w:color="000000" w:sz="6" w:space="0"/>
            </w:tcBorders>
            <w:vAlign w:val="center"/>
          </w:tcPr>
          <w:p w14:paraId="175655E8">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pacing w:val="4"/>
                <w:position w:val="-6"/>
                <w:sz w:val="24"/>
                <w:szCs w:val="24"/>
                <w:highlight w:val="none"/>
                <w:lang w:eastAsia="en-US"/>
              </w:rPr>
              <w:t>-</w:t>
            </w:r>
          </w:p>
        </w:tc>
        <w:tc>
          <w:tcPr>
            <w:tcW w:w="479" w:type="dxa"/>
            <w:tcBorders>
              <w:bottom w:val="single" w:color="000000" w:sz="6" w:space="0"/>
            </w:tcBorders>
            <w:vAlign w:val="center"/>
          </w:tcPr>
          <w:p w14:paraId="05897782">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pacing w:val="4"/>
                <w:position w:val="-6"/>
                <w:sz w:val="24"/>
                <w:szCs w:val="24"/>
                <w:highlight w:val="none"/>
                <w:lang w:eastAsia="en-US"/>
              </w:rPr>
              <w:t>-</w:t>
            </w:r>
          </w:p>
        </w:tc>
        <w:tc>
          <w:tcPr>
            <w:tcW w:w="479" w:type="dxa"/>
            <w:tcBorders>
              <w:bottom w:val="single" w:color="000000" w:sz="6" w:space="0"/>
            </w:tcBorders>
            <w:vAlign w:val="center"/>
          </w:tcPr>
          <w:p w14:paraId="4C1F50CE">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φ</w:t>
            </w:r>
            <w:r>
              <w:rPr>
                <w:rFonts w:hint="default" w:ascii="Times New Roman" w:hAnsi="Times New Roman" w:eastAsia="宋体" w:cs="Times New Roman"/>
                <w:snapToGrid w:val="0"/>
                <w:color w:val="auto"/>
                <w:position w:val="-2"/>
                <w:sz w:val="24"/>
                <w:szCs w:val="24"/>
                <w:highlight w:val="none"/>
                <w:lang w:eastAsia="en-US"/>
              </w:rPr>
              <w:t>14</w:t>
            </w:r>
          </w:p>
        </w:tc>
        <w:tc>
          <w:tcPr>
            <w:tcW w:w="564" w:type="dxa"/>
            <w:tcBorders>
              <w:bottom w:val="single" w:color="000000" w:sz="6" w:space="0"/>
            </w:tcBorders>
            <w:vAlign w:val="center"/>
          </w:tcPr>
          <w:p w14:paraId="53D91E67">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φ</w:t>
            </w:r>
            <w:r>
              <w:rPr>
                <w:rFonts w:hint="default" w:ascii="Times New Roman" w:hAnsi="Times New Roman" w:eastAsia="宋体" w:cs="Times New Roman"/>
                <w:snapToGrid w:val="0"/>
                <w:color w:val="auto"/>
                <w:position w:val="-2"/>
                <w:sz w:val="24"/>
                <w:szCs w:val="24"/>
                <w:highlight w:val="none"/>
                <w:lang w:eastAsia="en-US"/>
              </w:rPr>
              <w:t>14</w:t>
            </w:r>
          </w:p>
        </w:tc>
        <w:tc>
          <w:tcPr>
            <w:tcW w:w="567" w:type="dxa"/>
            <w:tcBorders>
              <w:bottom w:val="single" w:color="000000" w:sz="6" w:space="0"/>
            </w:tcBorders>
            <w:vAlign w:val="center"/>
          </w:tcPr>
          <w:p w14:paraId="00EFA52A">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φ</w:t>
            </w:r>
            <w:r>
              <w:rPr>
                <w:rFonts w:hint="default" w:ascii="Times New Roman" w:hAnsi="Times New Roman" w:eastAsia="宋体" w:cs="Times New Roman"/>
                <w:snapToGrid w:val="0"/>
                <w:color w:val="auto"/>
                <w:position w:val="-2"/>
                <w:sz w:val="24"/>
                <w:szCs w:val="24"/>
                <w:highlight w:val="none"/>
                <w:lang w:eastAsia="en-US"/>
              </w:rPr>
              <w:t>16</w:t>
            </w:r>
          </w:p>
        </w:tc>
        <w:tc>
          <w:tcPr>
            <w:tcW w:w="709" w:type="dxa"/>
            <w:tcBorders>
              <w:bottom w:val="single" w:color="000000" w:sz="6" w:space="0"/>
              <w:right w:val="single" w:color="000000" w:sz="6" w:space="0"/>
            </w:tcBorders>
            <w:vAlign w:val="center"/>
          </w:tcPr>
          <w:p w14:paraId="0B1BB40D">
            <w:pPr>
              <w:pStyle w:val="57"/>
              <w:spacing w:after="0" w:line="240" w:lineRule="auto"/>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z w:val="24"/>
                <w:szCs w:val="24"/>
                <w:highlight w:val="none"/>
                <w:lang w:eastAsia="en-US"/>
              </w:rPr>
              <w:t>φ</w:t>
            </w:r>
            <w:r>
              <w:rPr>
                <w:rFonts w:hint="default" w:ascii="Times New Roman" w:hAnsi="Times New Roman" w:eastAsia="宋体" w:cs="Times New Roman"/>
                <w:snapToGrid w:val="0"/>
                <w:color w:val="auto"/>
                <w:position w:val="-2"/>
                <w:sz w:val="24"/>
                <w:szCs w:val="24"/>
                <w:highlight w:val="none"/>
                <w:lang w:eastAsia="en-US"/>
              </w:rPr>
              <w:t>16</w:t>
            </w:r>
          </w:p>
        </w:tc>
      </w:tr>
    </w:tbl>
    <w:p w14:paraId="14BD08A2">
      <w:pPr>
        <w:widowControl/>
        <w:spacing w:line="0" w:lineRule="atLeast"/>
        <w:jc w:val="left"/>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br w:type="textWrapping" w:clear="all"/>
      </w:r>
    </w:p>
    <w:p w14:paraId="6BF199D7">
      <w:pPr>
        <w:rPr>
          <w:rFonts w:hint="default" w:ascii="Times New Roman" w:hAnsi="Times New Roman" w:eastAsia="宋体" w:cs="Times New Roman"/>
          <w:color w:val="auto"/>
          <w:sz w:val="24"/>
          <w:szCs w:val="24"/>
          <w:highlight w:val="none"/>
          <w:lang w:eastAsia="zh-CN"/>
        </w:rPr>
      </w:pPr>
      <w:bookmarkStart w:id="102" w:name="_Toc10452"/>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rPr>
        <w:t>.3.3</w:t>
      </w: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color w:val="auto"/>
          <w:sz w:val="24"/>
          <w:szCs w:val="24"/>
          <w:highlight w:val="none"/>
        </w:rPr>
        <w:t xml:space="preserve"> 圈梁和钢拉杆的施工应符合下列要求：</w:t>
      </w:r>
      <w:bookmarkEnd w:id="102"/>
    </w:p>
    <w:p w14:paraId="04703FFE">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1</w:t>
      </w:r>
      <w:r>
        <w:rPr>
          <w:rFonts w:hint="default" w:ascii="Times New Roman" w:hAnsi="Times New Roman" w:eastAsia="宋体" w:cs="Times New Roman"/>
          <w:color w:val="auto"/>
          <w:sz w:val="24"/>
          <w:szCs w:val="24"/>
          <w:highlight w:val="none"/>
          <w:lang w:eastAsia="zh-CN"/>
        </w:rPr>
        <w:t xml:space="preserve"> 增设圈梁处的墙面有酥碱、油污或饰面层时，应清除干净；圈梁与墙体连接的孔洞应用水冲洗干净；混凝土浇筑前，应浇水润湿墙面和木模板；锚筋和膨胀螺栓应可靠锚固。</w:t>
      </w:r>
    </w:p>
    <w:p w14:paraId="04834DA3">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2</w:t>
      </w:r>
      <w:r>
        <w:rPr>
          <w:rFonts w:hint="default" w:ascii="Times New Roman" w:hAnsi="Times New Roman" w:eastAsia="宋体" w:cs="Times New Roman"/>
          <w:color w:val="auto"/>
          <w:sz w:val="24"/>
          <w:szCs w:val="24"/>
          <w:highlight w:val="none"/>
          <w:lang w:eastAsia="zh-CN"/>
        </w:rPr>
        <w:t xml:space="preserve"> 圈梁的混凝土宜连续浇筑，不得在距钢拉杆（或横墙）1m以内留施工缝。对于外加圈梁，圈梁顶面应做泛水，其底面应做滴水沟。</w:t>
      </w:r>
    </w:p>
    <w:p w14:paraId="289AAEE8">
      <w:pPr>
        <w:pStyle w:val="12"/>
        <w:ind w:firstLine="422"/>
        <w:rPr>
          <w:rFonts w:hint="default" w:ascii="Times New Roman" w:hAnsi="Times New Roman" w:eastAsia="宋体" w:cs="Times New Roman"/>
          <w:color w:val="auto"/>
          <w:sz w:val="24"/>
          <w:szCs w:val="24"/>
          <w:highlight w:val="none"/>
          <w:lang w:eastAsia="zh-CN"/>
        </w:rPr>
      </w:pPr>
      <w:bookmarkStart w:id="103" w:name="_Toc30269"/>
      <w:r>
        <w:rPr>
          <w:rFonts w:hint="default" w:ascii="Times New Roman" w:hAnsi="Times New Roman" w:eastAsia="宋体" w:cs="Times New Roman"/>
          <w:b/>
          <w:bCs/>
          <w:color w:val="auto"/>
          <w:sz w:val="24"/>
          <w:szCs w:val="24"/>
          <w:highlight w:val="none"/>
          <w:lang w:eastAsia="zh-CN"/>
        </w:rPr>
        <w:t>3</w:t>
      </w:r>
      <w:r>
        <w:rPr>
          <w:rFonts w:hint="default" w:ascii="Times New Roman" w:hAnsi="Times New Roman" w:eastAsia="宋体" w:cs="Times New Roman"/>
          <w:color w:val="auto"/>
          <w:sz w:val="24"/>
          <w:szCs w:val="24"/>
          <w:highlight w:val="none"/>
          <w:lang w:eastAsia="zh-CN"/>
        </w:rPr>
        <w:t xml:space="preserve"> 钢拉杆应张紧，不得弯曲和下垂；外露铁件应涂刷防锈。</w:t>
      </w:r>
      <w:bookmarkEnd w:id="103"/>
    </w:p>
    <w:p w14:paraId="62DE36AE">
      <w:pPr>
        <w:spacing w:before="120" w:after="120"/>
        <w:jc w:val="center"/>
        <w:rPr>
          <w:rFonts w:hint="default" w:ascii="Times New Roman" w:hAnsi="Times New Roman" w:eastAsia="宋体" w:cs="Times New Roman"/>
          <w:color w:val="auto"/>
          <w:sz w:val="24"/>
          <w:szCs w:val="24"/>
          <w:highlight w:val="none"/>
        </w:rPr>
      </w:pPr>
      <w:bookmarkStart w:id="104" w:name="_Toc21588"/>
      <w:r>
        <w:rPr>
          <w:rFonts w:hint="default" w:ascii="Times New Roman" w:hAnsi="Times New Roman" w:eastAsia="宋体" w:cs="Times New Roman"/>
          <w:b/>
          <w:color w:val="auto"/>
          <w:sz w:val="24"/>
          <w:szCs w:val="24"/>
          <w:highlight w:val="none"/>
        </w:rPr>
        <w:t>Ⅷ</w:t>
      </w:r>
      <w:r>
        <w:rPr>
          <w:rFonts w:hint="default" w:ascii="Times New Roman" w:hAnsi="Times New Roman" w:eastAsia="宋体" w:cs="Times New Roman"/>
          <w:color w:val="auto"/>
          <w:sz w:val="24"/>
          <w:szCs w:val="24"/>
          <w:highlight w:val="none"/>
        </w:rPr>
        <w:t xml:space="preserve"> 粘贴纤维复合材加固法</w:t>
      </w:r>
      <w:bookmarkEnd w:id="104"/>
    </w:p>
    <w:p w14:paraId="2A07EC91">
      <w:pPr>
        <w:spacing w:line="360" w:lineRule="exact"/>
        <w:rPr>
          <w:rFonts w:hint="default" w:ascii="Times New Roman" w:hAnsi="Times New Roman" w:eastAsia="宋体" w:cs="Times New Roman"/>
          <w:color w:val="FF0000"/>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6</w:t>
      </w:r>
      <w:r>
        <w:rPr>
          <w:rFonts w:hint="default" w:ascii="Times New Roman" w:hAnsi="Times New Roman" w:eastAsia="宋体" w:cs="Times New Roman"/>
          <w:b/>
          <w:color w:val="auto"/>
          <w:sz w:val="24"/>
          <w:szCs w:val="24"/>
          <w:highlight w:val="none"/>
        </w:rPr>
        <w:t>.3.3</w:t>
      </w:r>
      <w:r>
        <w:rPr>
          <w:rFonts w:hint="default" w:ascii="Times New Roman" w:hAnsi="Times New Roman" w:eastAsia="宋体" w:cs="Times New Roman"/>
          <w:b/>
          <w:color w:val="auto"/>
          <w:sz w:val="24"/>
          <w:szCs w:val="24"/>
          <w:highlight w:val="none"/>
          <w:lang w:val="en-US" w:eastAsia="zh-CN"/>
        </w:rPr>
        <w:t>4</w:t>
      </w:r>
      <w:r>
        <w:rPr>
          <w:rFonts w:hint="default" w:ascii="Times New Roman" w:hAnsi="Times New Roman" w:eastAsia="宋体" w:cs="Times New Roman"/>
          <w:color w:val="auto"/>
          <w:sz w:val="24"/>
          <w:szCs w:val="24"/>
          <w:highlight w:val="none"/>
        </w:rPr>
        <w:t xml:space="preserve"> 当烧结普通砖墙（以下简称砖墙）平面内受剪承载能力不满足要求或需平面内抗震加固时，可采用墙面粘贴碳纤维复合材进行加固。</w:t>
      </w:r>
    </w:p>
    <w:p w14:paraId="1AC39780">
      <w:pPr>
        <w:spacing w:line="36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lang w:val="en-US" w:eastAsia="zh-CN"/>
        </w:rPr>
        <w:t>6</w:t>
      </w:r>
      <w:r>
        <w:rPr>
          <w:rFonts w:hint="default" w:ascii="Times New Roman" w:hAnsi="Times New Roman" w:eastAsia="宋体" w:cs="Times New Roman"/>
          <w:b/>
          <w:color w:val="auto"/>
          <w:sz w:val="24"/>
          <w:szCs w:val="24"/>
          <w:highlight w:val="none"/>
        </w:rPr>
        <w:t>.3.3</w:t>
      </w:r>
      <w:r>
        <w:rPr>
          <w:rFonts w:hint="default" w:ascii="Times New Roman" w:hAnsi="Times New Roman" w:eastAsia="宋体" w:cs="Times New Roman"/>
          <w:b/>
          <w:color w:val="auto"/>
          <w:sz w:val="24"/>
          <w:szCs w:val="24"/>
          <w:highlight w:val="none"/>
          <w:lang w:val="en-US" w:eastAsia="zh-CN"/>
        </w:rPr>
        <w:t>5</w:t>
      </w:r>
      <w:r>
        <w:rPr>
          <w:rFonts w:hint="default" w:ascii="Times New Roman" w:hAnsi="Times New Roman" w:eastAsia="宋体" w:cs="Times New Roman"/>
          <w:color w:val="auto"/>
          <w:sz w:val="24"/>
          <w:szCs w:val="24"/>
          <w:highlight w:val="none"/>
        </w:rPr>
        <w:t xml:space="preserve"> 被加固的砖墙，其现场实测的砖强度等级不得低于MU7.5，砂浆强度等级不得低于M2.5；</w:t>
      </w:r>
      <w:r>
        <w:rPr>
          <w:rFonts w:hint="eastAsia" w:ascii="Times New Roman" w:hAnsi="Times New Roman" w:eastAsia="宋体" w:cs="Times New Roman"/>
          <w:color w:val="FF0000"/>
          <w:sz w:val="24"/>
          <w:szCs w:val="24"/>
          <w:highlight w:val="none"/>
          <w:lang w:val="en-US" w:eastAsia="zh-CN"/>
        </w:rPr>
        <w:t>对于粉化和受腐蚀的砌体，应进行表面处理，并应达到粘贴纤维布的要求。</w:t>
      </w:r>
      <w:r>
        <w:rPr>
          <w:rFonts w:hint="default" w:ascii="Times New Roman" w:hAnsi="Times New Roman" w:eastAsia="宋体" w:cs="Times New Roman"/>
          <w:color w:val="auto"/>
          <w:sz w:val="24"/>
          <w:szCs w:val="24"/>
          <w:highlight w:val="none"/>
        </w:rPr>
        <w:t>现已开裂、腐蚀、老化的砖墙不得采用本方法进行加固。</w:t>
      </w:r>
    </w:p>
    <w:p w14:paraId="4F4122A6">
      <w:pPr>
        <w:spacing w:line="36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lang w:val="en-US" w:eastAsia="zh-CN"/>
        </w:rPr>
        <w:t>6</w:t>
      </w:r>
      <w:r>
        <w:rPr>
          <w:rFonts w:hint="default" w:ascii="Times New Roman" w:hAnsi="Times New Roman" w:eastAsia="宋体" w:cs="Times New Roman"/>
          <w:b/>
          <w:color w:val="auto"/>
          <w:sz w:val="24"/>
          <w:szCs w:val="24"/>
          <w:highlight w:val="none"/>
        </w:rPr>
        <w:t>.3.3</w:t>
      </w:r>
      <w:r>
        <w:rPr>
          <w:rFonts w:hint="default" w:ascii="Times New Roman" w:hAnsi="Times New Roman" w:eastAsia="宋体" w:cs="Times New Roman"/>
          <w:b/>
          <w:color w:val="auto"/>
          <w:sz w:val="24"/>
          <w:szCs w:val="24"/>
          <w:highlight w:val="none"/>
          <w:lang w:val="en-US" w:eastAsia="zh-CN"/>
        </w:rPr>
        <w:t>6</w:t>
      </w:r>
      <w:r>
        <w:rPr>
          <w:rFonts w:hint="default" w:ascii="Times New Roman" w:hAnsi="Times New Roman" w:eastAsia="宋体" w:cs="Times New Roman"/>
          <w:color w:val="auto"/>
          <w:sz w:val="24"/>
          <w:szCs w:val="24"/>
          <w:highlight w:val="none"/>
        </w:rPr>
        <w:t xml:space="preserve"> 采用本方法加固的纤维材料及其配套的结构胶黏剂，其安全性能应符合《砌体结构加固设计规范》GB 50702的</w:t>
      </w:r>
      <w:r>
        <w:rPr>
          <w:rFonts w:hint="default" w:ascii="Times New Roman" w:hAnsi="Times New Roman" w:eastAsia="宋体" w:cs="Times New Roman"/>
          <w:color w:val="auto"/>
          <w:sz w:val="24"/>
          <w:szCs w:val="24"/>
          <w:highlight w:val="none"/>
          <w:lang w:val="en-US" w:eastAsia="zh-CN"/>
        </w:rPr>
        <w:t>相关</w:t>
      </w:r>
      <w:r>
        <w:rPr>
          <w:rFonts w:hint="default" w:ascii="Times New Roman" w:hAnsi="Times New Roman" w:eastAsia="宋体" w:cs="Times New Roman"/>
          <w:color w:val="auto"/>
          <w:sz w:val="24"/>
          <w:szCs w:val="24"/>
          <w:highlight w:val="none"/>
        </w:rPr>
        <w:t>要求。</w:t>
      </w:r>
    </w:p>
    <w:p w14:paraId="21B70624">
      <w:pPr>
        <w:spacing w:line="360" w:lineRule="exact"/>
        <w:rPr>
          <w:rFonts w:hint="default" w:ascii="Times New Roman" w:hAnsi="Times New Roman" w:eastAsia="宋体" w:cs="Times New Roman"/>
          <w:color w:val="auto"/>
          <w:sz w:val="24"/>
          <w:szCs w:val="24"/>
          <w:highlight w:val="none"/>
        </w:rPr>
      </w:pPr>
      <w:bookmarkStart w:id="105" w:name="_Toc26762"/>
      <w:r>
        <w:rPr>
          <w:rFonts w:hint="default" w:ascii="Times New Roman" w:hAnsi="Times New Roman" w:eastAsia="宋体" w:cs="Times New Roman"/>
          <w:b/>
          <w:color w:val="auto"/>
          <w:sz w:val="24"/>
          <w:szCs w:val="24"/>
          <w:highlight w:val="none"/>
          <w:lang w:val="en-US" w:eastAsia="zh-CN"/>
        </w:rPr>
        <w:t>6</w:t>
      </w:r>
      <w:r>
        <w:rPr>
          <w:rFonts w:hint="default" w:ascii="Times New Roman" w:hAnsi="Times New Roman" w:eastAsia="宋体" w:cs="Times New Roman"/>
          <w:b/>
          <w:color w:val="auto"/>
          <w:sz w:val="24"/>
          <w:szCs w:val="24"/>
          <w:highlight w:val="none"/>
        </w:rPr>
        <w:t>.3.3</w:t>
      </w:r>
      <w:r>
        <w:rPr>
          <w:rFonts w:hint="default" w:ascii="Times New Roman" w:hAnsi="Times New Roman" w:eastAsia="宋体" w:cs="Times New Roman"/>
          <w:b/>
          <w:color w:val="auto"/>
          <w:sz w:val="24"/>
          <w:szCs w:val="24"/>
          <w:highlight w:val="none"/>
          <w:lang w:val="en-US" w:eastAsia="zh-CN"/>
        </w:rPr>
        <w:t>7</w:t>
      </w:r>
      <w:r>
        <w:rPr>
          <w:rFonts w:hint="default" w:ascii="Times New Roman" w:hAnsi="Times New Roman" w:eastAsia="宋体" w:cs="Times New Roman"/>
          <w:b/>
          <w:color w:val="auto"/>
          <w:sz w:val="24"/>
          <w:szCs w:val="24"/>
          <w:highlight w:val="none"/>
        </w:rPr>
        <w:t xml:space="preserve"> </w:t>
      </w:r>
      <w:r>
        <w:rPr>
          <w:rFonts w:hint="default" w:ascii="Times New Roman" w:hAnsi="Times New Roman" w:eastAsia="宋体" w:cs="Times New Roman"/>
          <w:color w:val="auto"/>
          <w:sz w:val="24"/>
          <w:szCs w:val="24"/>
          <w:highlight w:val="none"/>
        </w:rPr>
        <w:t>外贴纤维复合材加固砖墙时，应将纤维受力方式设计成仅承受拉应力作用。</w:t>
      </w:r>
      <w:bookmarkEnd w:id="105"/>
    </w:p>
    <w:p w14:paraId="2BB21AD3">
      <w:pPr>
        <w:spacing w:line="36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lang w:val="en-US" w:eastAsia="zh-CN"/>
        </w:rPr>
        <w:t>6</w:t>
      </w:r>
      <w:r>
        <w:rPr>
          <w:rFonts w:hint="default" w:ascii="Times New Roman" w:hAnsi="Times New Roman" w:eastAsia="宋体" w:cs="Times New Roman"/>
          <w:b/>
          <w:color w:val="auto"/>
          <w:sz w:val="24"/>
          <w:szCs w:val="24"/>
          <w:highlight w:val="none"/>
        </w:rPr>
        <w:t>.3.3</w:t>
      </w:r>
      <w:r>
        <w:rPr>
          <w:rFonts w:hint="default" w:ascii="Times New Roman" w:hAnsi="Times New Roman" w:eastAsia="宋体" w:cs="Times New Roman"/>
          <w:b/>
          <w:color w:val="auto"/>
          <w:sz w:val="24"/>
          <w:szCs w:val="24"/>
          <w:highlight w:val="none"/>
          <w:lang w:val="en-US" w:eastAsia="zh-CN"/>
        </w:rPr>
        <w:t>8</w:t>
      </w:r>
      <w:r>
        <w:rPr>
          <w:rFonts w:hint="default" w:ascii="Times New Roman" w:hAnsi="Times New Roman" w:eastAsia="宋体" w:cs="Times New Roman"/>
          <w:color w:val="auto"/>
          <w:sz w:val="24"/>
          <w:szCs w:val="24"/>
          <w:highlight w:val="none"/>
        </w:rPr>
        <w:t xml:space="preserve"> 粘贴在砖砌构件表面上的纤维复合材，其表面应进行防护处理。表面防护材料应对纤维及胶黏剂无害。</w:t>
      </w:r>
    </w:p>
    <w:p w14:paraId="3ACC5717">
      <w:pPr>
        <w:spacing w:line="36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lang w:val="en-US" w:eastAsia="zh-CN"/>
        </w:rPr>
        <w:t>6</w:t>
      </w:r>
      <w:r>
        <w:rPr>
          <w:rFonts w:hint="default" w:ascii="Times New Roman" w:hAnsi="Times New Roman" w:eastAsia="宋体" w:cs="Times New Roman"/>
          <w:b/>
          <w:color w:val="auto"/>
          <w:sz w:val="24"/>
          <w:szCs w:val="24"/>
          <w:highlight w:val="none"/>
        </w:rPr>
        <w:t>.3.3</w:t>
      </w:r>
      <w:r>
        <w:rPr>
          <w:rFonts w:hint="default" w:ascii="Times New Roman" w:hAnsi="Times New Roman" w:eastAsia="宋体" w:cs="Times New Roman"/>
          <w:b/>
          <w:color w:val="auto"/>
          <w:sz w:val="24"/>
          <w:szCs w:val="24"/>
          <w:highlight w:val="none"/>
          <w:lang w:val="en-US" w:eastAsia="zh-CN"/>
        </w:rPr>
        <w:t>9</w:t>
      </w:r>
      <w:r>
        <w:rPr>
          <w:rFonts w:hint="default" w:ascii="Times New Roman" w:hAnsi="Times New Roman" w:eastAsia="宋体" w:cs="Times New Roman"/>
          <w:color w:val="auto"/>
          <w:sz w:val="24"/>
          <w:szCs w:val="24"/>
          <w:highlight w:val="none"/>
        </w:rPr>
        <w:t xml:space="preserve"> 采用本方法加固的砖墙结构，其长期使用的环境温度不应高于60</w:t>
      </w:r>
      <w:r>
        <w:rPr>
          <w:rFonts w:hint="default" w:ascii="Times New Roman" w:hAnsi="Times New Roman" w:eastAsia="宋体" w:cs="Times New Roman"/>
          <w:color w:val="auto"/>
          <w:sz w:val="24"/>
          <w:szCs w:val="24"/>
          <w:highlight w:val="none"/>
          <w:vertAlign w:val="superscript"/>
        </w:rPr>
        <w:t>o</w:t>
      </w:r>
      <w:r>
        <w:rPr>
          <w:rFonts w:hint="default" w:ascii="Times New Roman" w:hAnsi="Times New Roman" w:eastAsia="宋体" w:cs="Times New Roman"/>
          <w:color w:val="auto"/>
          <w:sz w:val="24"/>
          <w:szCs w:val="24"/>
          <w:highlight w:val="none"/>
        </w:rPr>
        <w:t>C；处于特殊环境的砖砌结构采用本方法加固时，除应按国家现行有关标准的规定采取相应的防护措施外，尚应采用耐环境因素作用的胶黏剂，并按专门的工艺要求施工。</w:t>
      </w:r>
    </w:p>
    <w:p w14:paraId="54BDCC28">
      <w:pPr>
        <w:spacing w:line="360" w:lineRule="exact"/>
        <w:rPr>
          <w:rFonts w:hint="default" w:ascii="宋体" w:hAnsi="宋体" w:eastAsia="宋体" w:cs="宋体"/>
          <w:color w:val="auto"/>
          <w:spacing w:val="-2"/>
          <w:sz w:val="28"/>
          <w:szCs w:val="28"/>
          <w:lang w:val="en-US" w:eastAsia="zh-CN"/>
        </w:rPr>
      </w:pPr>
      <w:r>
        <w:rPr>
          <w:rFonts w:hint="default" w:ascii="Times New Roman" w:hAnsi="Times New Roman" w:eastAsia="宋体" w:cs="Times New Roman"/>
          <w:b/>
          <w:color w:val="auto"/>
          <w:sz w:val="24"/>
          <w:szCs w:val="24"/>
          <w:highlight w:val="none"/>
          <w:lang w:val="en-US" w:eastAsia="zh-CN"/>
        </w:rPr>
        <w:t>6</w:t>
      </w:r>
      <w:r>
        <w:rPr>
          <w:rFonts w:hint="default" w:ascii="Times New Roman" w:hAnsi="Times New Roman" w:eastAsia="宋体" w:cs="Times New Roman"/>
          <w:b/>
          <w:color w:val="auto"/>
          <w:sz w:val="24"/>
          <w:szCs w:val="24"/>
          <w:highlight w:val="none"/>
        </w:rPr>
        <w:t>.3.</w:t>
      </w:r>
      <w:r>
        <w:rPr>
          <w:rFonts w:hint="default" w:ascii="Times New Roman" w:hAnsi="Times New Roman" w:eastAsia="宋体" w:cs="Times New Roman"/>
          <w:b/>
          <w:color w:val="auto"/>
          <w:sz w:val="24"/>
          <w:szCs w:val="24"/>
          <w:highlight w:val="none"/>
          <w:lang w:val="en-US" w:eastAsia="zh-CN"/>
        </w:rPr>
        <w:t>40</w:t>
      </w:r>
      <w:r>
        <w:rPr>
          <w:rFonts w:hint="default" w:ascii="Times New Roman" w:hAnsi="Times New Roman" w:eastAsia="宋体" w:cs="Times New Roman"/>
          <w:b/>
          <w:color w:val="auto"/>
          <w:sz w:val="24"/>
          <w:szCs w:val="24"/>
          <w:highlight w:val="none"/>
        </w:rPr>
        <w:t xml:space="preserve"> </w:t>
      </w:r>
      <w:r>
        <w:rPr>
          <w:rFonts w:hint="default" w:ascii="Times New Roman" w:hAnsi="Times New Roman" w:eastAsia="宋体" w:cs="Times New Roman"/>
          <w:color w:val="auto"/>
          <w:sz w:val="24"/>
          <w:szCs w:val="24"/>
          <w:highlight w:val="none"/>
        </w:rPr>
        <w:t>碳纤维和玻璃纤维复合材的设计指标必须分别按表</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40</w:t>
      </w:r>
      <w:r>
        <w:rPr>
          <w:rFonts w:hint="default" w:ascii="Times New Roman" w:hAnsi="Times New Roman" w:eastAsia="宋体" w:cs="Times New Roman"/>
          <w:color w:val="auto"/>
          <w:sz w:val="24"/>
          <w:szCs w:val="24"/>
          <w:highlight w:val="none"/>
        </w:rPr>
        <w:t>-1及表</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40</w:t>
      </w:r>
      <w:r>
        <w:rPr>
          <w:rFonts w:hint="default" w:ascii="Times New Roman" w:hAnsi="Times New Roman" w:eastAsia="宋体" w:cs="Times New Roman"/>
          <w:color w:val="auto"/>
          <w:sz w:val="24"/>
          <w:szCs w:val="24"/>
          <w:highlight w:val="none"/>
        </w:rPr>
        <w:t>-2的规定值采用。</w:t>
      </w:r>
    </w:p>
    <w:p w14:paraId="2F4AD1F5">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default" w:ascii="宋体" w:hAnsi="宋体" w:eastAsia="宋体" w:cs="宋体"/>
          <w:color w:val="auto"/>
          <w:spacing w:val="-2"/>
          <w:sz w:val="28"/>
          <w:szCs w:val="28"/>
          <w:lang w:val="en-US" w:eastAsia="zh-CN"/>
        </w:rPr>
      </w:pPr>
    </w:p>
    <w:p w14:paraId="7F153BE0">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default" w:ascii="宋体" w:hAnsi="宋体" w:eastAsia="宋体" w:cs="宋体"/>
          <w:color w:val="auto"/>
          <w:spacing w:val="-2"/>
          <w:sz w:val="28"/>
          <w:szCs w:val="28"/>
          <w:lang w:val="en-US" w:eastAsia="zh-CN"/>
        </w:rPr>
      </w:pPr>
    </w:p>
    <w:p w14:paraId="4D7F58B3">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default" w:ascii="宋体" w:hAnsi="宋体" w:eastAsia="宋体" w:cs="宋体"/>
          <w:color w:val="auto"/>
          <w:spacing w:val="-2"/>
          <w:sz w:val="28"/>
          <w:szCs w:val="28"/>
          <w:lang w:val="en-US" w:eastAsia="zh-CN"/>
        </w:rPr>
      </w:pPr>
    </w:p>
    <w:p w14:paraId="695A4E27">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default" w:ascii="宋体" w:hAnsi="宋体" w:eastAsia="宋体" w:cs="宋体"/>
          <w:color w:val="auto"/>
          <w:spacing w:val="-2"/>
          <w:sz w:val="28"/>
          <w:szCs w:val="28"/>
          <w:lang w:val="en-US" w:eastAsia="zh-CN"/>
        </w:rPr>
      </w:pPr>
    </w:p>
    <w:p w14:paraId="3BBD74DC">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default" w:ascii="宋体" w:hAnsi="宋体" w:eastAsia="宋体" w:cs="宋体"/>
          <w:color w:val="auto"/>
          <w:spacing w:val="-2"/>
          <w:sz w:val="28"/>
          <w:szCs w:val="28"/>
          <w:lang w:val="en-US" w:eastAsia="zh-CN"/>
        </w:rPr>
      </w:pPr>
    </w:p>
    <w:p w14:paraId="279386B9">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default" w:ascii="宋体" w:hAnsi="宋体" w:eastAsia="宋体" w:cs="宋体"/>
          <w:color w:val="auto"/>
          <w:spacing w:val="-2"/>
          <w:sz w:val="28"/>
          <w:szCs w:val="28"/>
          <w:lang w:val="en-US" w:eastAsia="zh-CN"/>
        </w:rPr>
      </w:pPr>
      <w:r>
        <w:rPr>
          <w:rFonts w:hint="default" w:ascii="宋体" w:hAnsi="宋体" w:eastAsia="宋体" w:cs="宋体"/>
          <w:color w:val="auto"/>
          <w:spacing w:val="-2"/>
          <w:sz w:val="28"/>
          <w:szCs w:val="28"/>
          <w:lang w:val="en-US" w:eastAsia="zh-CN"/>
        </w:rPr>
        <w:t>表6.3.40-1 碳纤维复合材设计指标</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1535"/>
        <w:gridCol w:w="1725"/>
        <w:gridCol w:w="1843"/>
        <w:gridCol w:w="1843"/>
      </w:tblGrid>
      <w:tr w14:paraId="0AA86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0" w:type="dxa"/>
            <w:gridSpan w:val="2"/>
            <w:vMerge w:val="restart"/>
          </w:tcPr>
          <w:p w14:paraId="5680B505">
            <w:pPr>
              <w:spacing w:before="96" w:beforeLines="4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性能项目</w:t>
            </w:r>
          </w:p>
        </w:tc>
        <w:tc>
          <w:tcPr>
            <w:tcW w:w="3568" w:type="dxa"/>
            <w:gridSpan w:val="2"/>
          </w:tcPr>
          <w:p w14:paraId="6233785A">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单向织物</w:t>
            </w:r>
          </w:p>
        </w:tc>
        <w:tc>
          <w:tcPr>
            <w:tcW w:w="1843" w:type="dxa"/>
          </w:tcPr>
          <w:p w14:paraId="530FF76F">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条形板</w:t>
            </w:r>
          </w:p>
        </w:tc>
      </w:tr>
      <w:tr w14:paraId="0C352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0" w:type="dxa"/>
            <w:gridSpan w:val="2"/>
            <w:vMerge w:val="continue"/>
          </w:tcPr>
          <w:p w14:paraId="7F3211D2">
            <w:pPr>
              <w:jc w:val="center"/>
              <w:rPr>
                <w:rFonts w:hint="default" w:ascii="Times New Roman" w:hAnsi="Times New Roman" w:eastAsia="宋体" w:cs="Times New Roman"/>
                <w:color w:val="auto"/>
                <w:sz w:val="24"/>
                <w:szCs w:val="24"/>
                <w:highlight w:val="none"/>
              </w:rPr>
            </w:pPr>
          </w:p>
        </w:tc>
        <w:tc>
          <w:tcPr>
            <w:tcW w:w="1725" w:type="dxa"/>
          </w:tcPr>
          <w:p w14:paraId="136BDE4E">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高强度II级</w:t>
            </w:r>
          </w:p>
        </w:tc>
        <w:tc>
          <w:tcPr>
            <w:tcW w:w="1843" w:type="dxa"/>
          </w:tcPr>
          <w:p w14:paraId="707A63CF">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高强度III级</w:t>
            </w:r>
          </w:p>
        </w:tc>
        <w:tc>
          <w:tcPr>
            <w:tcW w:w="1843" w:type="dxa"/>
          </w:tcPr>
          <w:p w14:paraId="53B016B8">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高强度II级</w:t>
            </w:r>
          </w:p>
        </w:tc>
      </w:tr>
      <w:tr w14:paraId="4B5B0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Merge w:val="restart"/>
          </w:tcPr>
          <w:p w14:paraId="2555330C">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抗拉强度设计值</w:t>
            </w:r>
          </w:p>
          <w:p w14:paraId="2A21B0E8">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i/>
                <w:iCs/>
                <w:color w:val="auto"/>
                <w:sz w:val="24"/>
                <w:szCs w:val="24"/>
                <w:highlight w:val="none"/>
              </w:rPr>
              <w:t>f</w:t>
            </w:r>
            <w:r>
              <w:rPr>
                <w:rFonts w:hint="default" w:ascii="Times New Roman" w:hAnsi="Times New Roman" w:eastAsia="宋体" w:cs="Times New Roman"/>
                <w:color w:val="auto"/>
                <w:sz w:val="24"/>
                <w:szCs w:val="24"/>
                <w:highlight w:val="none"/>
                <w:vertAlign w:val="subscript"/>
              </w:rPr>
              <w:t>f</w:t>
            </w:r>
            <w:r>
              <w:rPr>
                <w:rFonts w:hint="default" w:ascii="Times New Roman" w:hAnsi="Times New Roman" w:eastAsia="宋体" w:cs="Times New Roman"/>
                <w:color w:val="auto"/>
                <w:sz w:val="24"/>
                <w:szCs w:val="24"/>
                <w:highlight w:val="none"/>
              </w:rPr>
              <w:t>（MPa）</w:t>
            </w:r>
          </w:p>
        </w:tc>
        <w:tc>
          <w:tcPr>
            <w:tcW w:w="1535" w:type="dxa"/>
          </w:tcPr>
          <w:p w14:paraId="3B31F8D8">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重要结构</w:t>
            </w:r>
          </w:p>
        </w:tc>
        <w:tc>
          <w:tcPr>
            <w:tcW w:w="1725" w:type="dxa"/>
          </w:tcPr>
          <w:p w14:paraId="5514B186">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1400</w:t>
            </w:r>
          </w:p>
        </w:tc>
        <w:tc>
          <w:tcPr>
            <w:tcW w:w="1843" w:type="dxa"/>
          </w:tcPr>
          <w:p w14:paraId="166C933F">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c>
          <w:tcPr>
            <w:tcW w:w="1843" w:type="dxa"/>
          </w:tcPr>
          <w:p w14:paraId="4B060CF4">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1000</w:t>
            </w:r>
          </w:p>
        </w:tc>
      </w:tr>
      <w:tr w14:paraId="0CD59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Merge w:val="continue"/>
          </w:tcPr>
          <w:p w14:paraId="1029CCAC">
            <w:pPr>
              <w:jc w:val="center"/>
              <w:rPr>
                <w:rFonts w:hint="default" w:ascii="Times New Roman" w:hAnsi="Times New Roman" w:eastAsia="宋体" w:cs="Times New Roman"/>
                <w:color w:val="auto"/>
                <w:sz w:val="24"/>
                <w:szCs w:val="24"/>
                <w:highlight w:val="none"/>
              </w:rPr>
            </w:pPr>
          </w:p>
        </w:tc>
        <w:tc>
          <w:tcPr>
            <w:tcW w:w="1535" w:type="dxa"/>
          </w:tcPr>
          <w:p w14:paraId="1AC448CD">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一般结构</w:t>
            </w:r>
          </w:p>
        </w:tc>
        <w:tc>
          <w:tcPr>
            <w:tcW w:w="1725" w:type="dxa"/>
          </w:tcPr>
          <w:p w14:paraId="363DAA8E">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2000</w:t>
            </w:r>
          </w:p>
        </w:tc>
        <w:tc>
          <w:tcPr>
            <w:tcW w:w="1843" w:type="dxa"/>
          </w:tcPr>
          <w:p w14:paraId="0728EB3A">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1200</w:t>
            </w:r>
          </w:p>
        </w:tc>
        <w:tc>
          <w:tcPr>
            <w:tcW w:w="1843" w:type="dxa"/>
          </w:tcPr>
          <w:p w14:paraId="3135D0C6">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1400</w:t>
            </w:r>
          </w:p>
        </w:tc>
      </w:tr>
      <w:tr w14:paraId="29F9B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14:paraId="66794DC5">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弹性模量设计值</w:t>
            </w:r>
            <w:r>
              <w:rPr>
                <w:rFonts w:hint="default" w:ascii="Times New Roman" w:hAnsi="Times New Roman" w:eastAsia="宋体" w:cs="Times New Roman"/>
                <w:i/>
                <w:iCs/>
                <w:color w:val="auto"/>
                <w:sz w:val="24"/>
                <w:szCs w:val="24"/>
                <w:highlight w:val="none"/>
              </w:rPr>
              <w:t>E</w:t>
            </w:r>
            <w:r>
              <w:rPr>
                <w:rFonts w:hint="default" w:ascii="Times New Roman" w:hAnsi="Times New Roman" w:eastAsia="宋体" w:cs="Times New Roman"/>
                <w:color w:val="auto"/>
                <w:sz w:val="24"/>
                <w:szCs w:val="24"/>
                <w:highlight w:val="none"/>
                <w:vertAlign w:val="subscript"/>
              </w:rPr>
              <w:t>f</w:t>
            </w:r>
            <w:r>
              <w:rPr>
                <w:rFonts w:hint="default" w:ascii="Times New Roman" w:hAnsi="Times New Roman" w:eastAsia="宋体" w:cs="Times New Roman"/>
                <w:color w:val="auto"/>
                <w:sz w:val="24"/>
                <w:szCs w:val="24"/>
                <w:highlight w:val="none"/>
              </w:rPr>
              <w:t>（MPa）</w:t>
            </w:r>
          </w:p>
        </w:tc>
        <w:tc>
          <w:tcPr>
            <w:tcW w:w="1535" w:type="dxa"/>
          </w:tcPr>
          <w:p w14:paraId="5D19C618">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所有结构</w:t>
            </w:r>
          </w:p>
        </w:tc>
        <w:tc>
          <w:tcPr>
            <w:tcW w:w="1725" w:type="dxa"/>
          </w:tcPr>
          <w:p w14:paraId="38E7D0B7">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2.0×10</w:t>
            </w:r>
            <w:r>
              <w:rPr>
                <w:rFonts w:hint="default" w:ascii="Times New Roman" w:hAnsi="Times New Roman" w:eastAsia="宋体" w:cs="Times New Roman"/>
                <w:color w:val="auto"/>
                <w:sz w:val="24"/>
                <w:szCs w:val="24"/>
                <w:highlight w:val="none"/>
                <w:vertAlign w:val="superscript"/>
              </w:rPr>
              <w:t>5</w:t>
            </w:r>
          </w:p>
        </w:tc>
        <w:tc>
          <w:tcPr>
            <w:tcW w:w="1843" w:type="dxa"/>
          </w:tcPr>
          <w:p w14:paraId="08A75832">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1.8×10</w:t>
            </w:r>
            <w:r>
              <w:rPr>
                <w:rFonts w:hint="default" w:ascii="Times New Roman" w:hAnsi="Times New Roman" w:eastAsia="宋体" w:cs="Times New Roman"/>
                <w:color w:val="auto"/>
                <w:sz w:val="24"/>
                <w:szCs w:val="24"/>
                <w:highlight w:val="none"/>
                <w:vertAlign w:val="superscript"/>
              </w:rPr>
              <w:t>5</w:t>
            </w:r>
          </w:p>
        </w:tc>
        <w:tc>
          <w:tcPr>
            <w:tcW w:w="1843" w:type="dxa"/>
          </w:tcPr>
          <w:p w14:paraId="406E52D1">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1.4×10</w:t>
            </w:r>
            <w:r>
              <w:rPr>
                <w:rFonts w:hint="default" w:ascii="Times New Roman" w:hAnsi="Times New Roman" w:eastAsia="宋体" w:cs="Times New Roman"/>
                <w:color w:val="auto"/>
                <w:sz w:val="24"/>
                <w:szCs w:val="24"/>
                <w:highlight w:val="none"/>
                <w:vertAlign w:val="superscript"/>
              </w:rPr>
              <w:t>5</w:t>
            </w:r>
          </w:p>
        </w:tc>
      </w:tr>
      <w:tr w14:paraId="631EA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Merge w:val="restart"/>
          </w:tcPr>
          <w:p w14:paraId="43EB3074">
            <w:pPr>
              <w:spacing w:before="72" w:beforeLines="30"/>
              <w:jc w:val="center"/>
              <w:rPr>
                <w:rFonts w:hint="default" w:ascii="Times New Roman" w:hAnsi="Times New Roman" w:eastAsia="宋体" w:cs="Times New Roman"/>
                <w:color w:val="auto"/>
                <w:sz w:val="24"/>
                <w:szCs w:val="24"/>
                <w:highlight w:val="none"/>
                <w:vertAlign w:val="subscript"/>
              </w:rPr>
            </w:pPr>
            <w:r>
              <w:rPr>
                <w:rFonts w:hint="default" w:ascii="Times New Roman" w:hAnsi="Times New Roman" w:eastAsia="宋体" w:cs="Times New Roman"/>
                <w:color w:val="auto"/>
                <w:sz w:val="24"/>
                <w:szCs w:val="24"/>
                <w:highlight w:val="none"/>
              </w:rPr>
              <w:t>拉应变设计值</w:t>
            </w:r>
            <w:r>
              <w:rPr>
                <w:rFonts w:hint="default" w:ascii="Times New Roman" w:hAnsi="Times New Roman" w:eastAsia="宋体" w:cs="Times New Roman"/>
                <w:i/>
                <w:iCs/>
                <w:color w:val="auto"/>
                <w:sz w:val="24"/>
                <w:szCs w:val="24"/>
                <w:highlight w:val="none"/>
              </w:rPr>
              <w:t>ε</w:t>
            </w:r>
            <w:r>
              <w:rPr>
                <w:rFonts w:hint="default" w:ascii="Times New Roman" w:hAnsi="Times New Roman" w:eastAsia="宋体" w:cs="Times New Roman"/>
                <w:color w:val="auto"/>
                <w:sz w:val="24"/>
                <w:szCs w:val="24"/>
                <w:highlight w:val="none"/>
                <w:vertAlign w:val="subscript"/>
              </w:rPr>
              <w:t>f</w:t>
            </w:r>
          </w:p>
        </w:tc>
        <w:tc>
          <w:tcPr>
            <w:tcW w:w="1535" w:type="dxa"/>
          </w:tcPr>
          <w:p w14:paraId="11519E2D">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重要结构</w:t>
            </w:r>
          </w:p>
        </w:tc>
        <w:tc>
          <w:tcPr>
            <w:tcW w:w="1725" w:type="dxa"/>
          </w:tcPr>
          <w:p w14:paraId="402C9038">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0.007</w:t>
            </w:r>
          </w:p>
        </w:tc>
        <w:tc>
          <w:tcPr>
            <w:tcW w:w="1843" w:type="dxa"/>
          </w:tcPr>
          <w:p w14:paraId="1F596930">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c>
          <w:tcPr>
            <w:tcW w:w="1843" w:type="dxa"/>
          </w:tcPr>
          <w:p w14:paraId="3425A4E2">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0.007</w:t>
            </w:r>
          </w:p>
        </w:tc>
      </w:tr>
      <w:tr w14:paraId="7E929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Merge w:val="continue"/>
          </w:tcPr>
          <w:p w14:paraId="4C25683A">
            <w:pPr>
              <w:rPr>
                <w:rFonts w:hint="default" w:ascii="Times New Roman" w:hAnsi="Times New Roman" w:eastAsia="宋体" w:cs="Times New Roman"/>
                <w:color w:val="auto"/>
                <w:sz w:val="24"/>
                <w:szCs w:val="24"/>
                <w:highlight w:val="none"/>
              </w:rPr>
            </w:pPr>
          </w:p>
        </w:tc>
        <w:tc>
          <w:tcPr>
            <w:tcW w:w="1535" w:type="dxa"/>
          </w:tcPr>
          <w:p w14:paraId="1ECD0B69">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一般结构</w:t>
            </w:r>
          </w:p>
        </w:tc>
        <w:tc>
          <w:tcPr>
            <w:tcW w:w="1725" w:type="dxa"/>
          </w:tcPr>
          <w:p w14:paraId="3C16B7DB">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0.01</w:t>
            </w:r>
          </w:p>
        </w:tc>
        <w:tc>
          <w:tcPr>
            <w:tcW w:w="1843" w:type="dxa"/>
          </w:tcPr>
          <w:p w14:paraId="7E37789E">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c>
          <w:tcPr>
            <w:tcW w:w="1843" w:type="dxa"/>
          </w:tcPr>
          <w:p w14:paraId="2CB895C3">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0.01</w:t>
            </w:r>
          </w:p>
        </w:tc>
      </w:tr>
    </w:tbl>
    <w:p w14:paraId="4F2B52A5">
      <w:pPr>
        <w:rPr>
          <w:rFonts w:hint="default" w:ascii="Times New Roman" w:hAnsi="Times New Roman" w:eastAsia="宋体" w:cs="Times New Roman"/>
          <w:color w:val="auto"/>
          <w:sz w:val="24"/>
          <w:szCs w:val="24"/>
          <w:highlight w:val="none"/>
        </w:rPr>
      </w:pPr>
    </w:p>
    <w:p w14:paraId="3E62D974">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default" w:ascii="宋体" w:hAnsi="宋体" w:eastAsia="宋体" w:cs="宋体"/>
          <w:color w:val="auto"/>
          <w:spacing w:val="-2"/>
          <w:sz w:val="28"/>
          <w:szCs w:val="28"/>
          <w:lang w:val="en-US" w:eastAsia="zh-CN"/>
        </w:rPr>
      </w:pPr>
      <w:r>
        <w:rPr>
          <w:rFonts w:hint="default" w:ascii="宋体" w:hAnsi="宋体" w:eastAsia="宋体" w:cs="宋体"/>
          <w:color w:val="auto"/>
          <w:spacing w:val="-2"/>
          <w:sz w:val="28"/>
          <w:szCs w:val="28"/>
          <w:lang w:val="en-US" w:eastAsia="zh-CN"/>
        </w:rPr>
        <w:t>表6.3.40-2 玻璃纤维复合材设计指标</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7"/>
        <w:gridCol w:w="1407"/>
        <w:gridCol w:w="1407"/>
        <w:gridCol w:w="1408"/>
        <w:gridCol w:w="1408"/>
        <w:gridCol w:w="1408"/>
        <w:gridCol w:w="1408"/>
      </w:tblGrid>
      <w:tr w14:paraId="69181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restart"/>
          </w:tcPr>
          <w:p w14:paraId="61F26F0E">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材料</w:t>
            </w:r>
          </w:p>
          <w:p w14:paraId="7824A91A">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类别</w:t>
            </w:r>
          </w:p>
        </w:tc>
        <w:tc>
          <w:tcPr>
            <w:tcW w:w="2814" w:type="dxa"/>
            <w:gridSpan w:val="2"/>
          </w:tcPr>
          <w:p w14:paraId="5F2E0029">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抗拉强度设计值</w:t>
            </w:r>
            <w:r>
              <w:rPr>
                <w:rFonts w:hint="default" w:ascii="Times New Roman" w:hAnsi="Times New Roman" w:eastAsia="宋体" w:cs="Times New Roman"/>
                <w:i/>
                <w:iCs/>
                <w:color w:val="auto"/>
                <w:sz w:val="24"/>
                <w:szCs w:val="24"/>
                <w:highlight w:val="none"/>
              </w:rPr>
              <w:t>f</w:t>
            </w:r>
            <w:r>
              <w:rPr>
                <w:rFonts w:hint="default" w:ascii="Times New Roman" w:hAnsi="Times New Roman" w:eastAsia="宋体" w:cs="Times New Roman"/>
                <w:color w:val="auto"/>
                <w:sz w:val="24"/>
                <w:szCs w:val="24"/>
                <w:highlight w:val="none"/>
                <w:vertAlign w:val="subscript"/>
              </w:rPr>
              <w:t>f</w:t>
            </w:r>
            <w:r>
              <w:rPr>
                <w:rFonts w:hint="default" w:ascii="Times New Roman" w:hAnsi="Times New Roman" w:eastAsia="宋体" w:cs="Times New Roman"/>
                <w:color w:val="auto"/>
                <w:sz w:val="24"/>
                <w:szCs w:val="24"/>
                <w:highlight w:val="none"/>
              </w:rPr>
              <w:t>（MPa）</w:t>
            </w:r>
          </w:p>
        </w:tc>
        <w:tc>
          <w:tcPr>
            <w:tcW w:w="2816" w:type="dxa"/>
            <w:gridSpan w:val="2"/>
          </w:tcPr>
          <w:p w14:paraId="2649A637">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弹性模量设计值</w:t>
            </w:r>
            <w:r>
              <w:rPr>
                <w:rFonts w:hint="default" w:ascii="Times New Roman" w:hAnsi="Times New Roman" w:eastAsia="宋体" w:cs="Times New Roman"/>
                <w:i/>
                <w:iCs/>
                <w:color w:val="auto"/>
                <w:sz w:val="24"/>
                <w:szCs w:val="24"/>
                <w:highlight w:val="none"/>
              </w:rPr>
              <w:t>E</w:t>
            </w:r>
            <w:r>
              <w:rPr>
                <w:rFonts w:hint="default" w:ascii="Times New Roman" w:hAnsi="Times New Roman" w:eastAsia="宋体" w:cs="Times New Roman"/>
                <w:color w:val="auto"/>
                <w:sz w:val="24"/>
                <w:szCs w:val="24"/>
                <w:highlight w:val="none"/>
                <w:vertAlign w:val="subscript"/>
              </w:rPr>
              <w:t>f</w:t>
            </w:r>
            <w:r>
              <w:rPr>
                <w:rFonts w:hint="default" w:ascii="Times New Roman" w:hAnsi="Times New Roman" w:eastAsia="宋体" w:cs="Times New Roman"/>
                <w:color w:val="auto"/>
                <w:sz w:val="24"/>
                <w:szCs w:val="24"/>
                <w:highlight w:val="none"/>
              </w:rPr>
              <w:t>（MPa）</w:t>
            </w:r>
          </w:p>
        </w:tc>
        <w:tc>
          <w:tcPr>
            <w:tcW w:w="2816" w:type="dxa"/>
            <w:gridSpan w:val="2"/>
          </w:tcPr>
          <w:p w14:paraId="190F2A2F">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拉应变设计值</w:t>
            </w:r>
            <w:r>
              <w:rPr>
                <w:rFonts w:hint="default" w:ascii="Times New Roman" w:hAnsi="Times New Roman" w:eastAsia="宋体" w:cs="Times New Roman"/>
                <w:i/>
                <w:iCs/>
                <w:color w:val="auto"/>
                <w:sz w:val="24"/>
                <w:szCs w:val="24"/>
                <w:highlight w:val="none"/>
              </w:rPr>
              <w:t>ε</w:t>
            </w:r>
            <w:r>
              <w:rPr>
                <w:rFonts w:hint="default" w:ascii="Times New Roman" w:hAnsi="Times New Roman" w:eastAsia="宋体" w:cs="Times New Roman"/>
                <w:color w:val="auto"/>
                <w:sz w:val="24"/>
                <w:szCs w:val="24"/>
                <w:highlight w:val="none"/>
                <w:vertAlign w:val="subscript"/>
              </w:rPr>
              <w:t>f</w:t>
            </w:r>
          </w:p>
        </w:tc>
      </w:tr>
      <w:tr w14:paraId="3A9FB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tcPr>
          <w:p w14:paraId="61A84D9A">
            <w:pPr>
              <w:jc w:val="center"/>
              <w:rPr>
                <w:rFonts w:hint="default" w:ascii="Times New Roman" w:hAnsi="Times New Roman" w:eastAsia="宋体" w:cs="Times New Roman"/>
                <w:color w:val="auto"/>
                <w:sz w:val="24"/>
                <w:szCs w:val="24"/>
                <w:highlight w:val="none"/>
              </w:rPr>
            </w:pPr>
          </w:p>
        </w:tc>
        <w:tc>
          <w:tcPr>
            <w:tcW w:w="1407" w:type="dxa"/>
          </w:tcPr>
          <w:p w14:paraId="2A84978A">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重要结构</w:t>
            </w:r>
          </w:p>
        </w:tc>
        <w:tc>
          <w:tcPr>
            <w:tcW w:w="1407" w:type="dxa"/>
          </w:tcPr>
          <w:p w14:paraId="2D6EB2D9">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一般结构</w:t>
            </w:r>
          </w:p>
        </w:tc>
        <w:tc>
          <w:tcPr>
            <w:tcW w:w="1408" w:type="dxa"/>
          </w:tcPr>
          <w:p w14:paraId="4D7D8505">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重要结构</w:t>
            </w:r>
          </w:p>
        </w:tc>
        <w:tc>
          <w:tcPr>
            <w:tcW w:w="1408" w:type="dxa"/>
          </w:tcPr>
          <w:p w14:paraId="3D8EEC54">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一般结构</w:t>
            </w:r>
          </w:p>
        </w:tc>
        <w:tc>
          <w:tcPr>
            <w:tcW w:w="1408" w:type="dxa"/>
          </w:tcPr>
          <w:p w14:paraId="18AB78BA">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重要结构</w:t>
            </w:r>
          </w:p>
        </w:tc>
        <w:tc>
          <w:tcPr>
            <w:tcW w:w="1408" w:type="dxa"/>
          </w:tcPr>
          <w:p w14:paraId="04B0A78B">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一般结构</w:t>
            </w:r>
          </w:p>
        </w:tc>
      </w:tr>
      <w:tr w14:paraId="42B87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tcPr>
          <w:p w14:paraId="4EBBF7B0">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S玻璃纤维</w:t>
            </w:r>
          </w:p>
        </w:tc>
        <w:tc>
          <w:tcPr>
            <w:tcW w:w="1407" w:type="dxa"/>
          </w:tcPr>
          <w:p w14:paraId="4D6E50D4">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500</w:t>
            </w:r>
          </w:p>
        </w:tc>
        <w:tc>
          <w:tcPr>
            <w:tcW w:w="1407" w:type="dxa"/>
          </w:tcPr>
          <w:p w14:paraId="36155675">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700</w:t>
            </w:r>
          </w:p>
        </w:tc>
        <w:tc>
          <w:tcPr>
            <w:tcW w:w="2816" w:type="dxa"/>
            <w:gridSpan w:val="2"/>
          </w:tcPr>
          <w:p w14:paraId="56875D6A">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7.0×10</w:t>
            </w:r>
            <w:r>
              <w:rPr>
                <w:rFonts w:hint="default" w:ascii="Times New Roman" w:hAnsi="Times New Roman" w:eastAsia="宋体" w:cs="Times New Roman"/>
                <w:color w:val="auto"/>
                <w:sz w:val="24"/>
                <w:szCs w:val="24"/>
                <w:highlight w:val="none"/>
                <w:vertAlign w:val="superscript"/>
              </w:rPr>
              <w:t>4</w:t>
            </w:r>
          </w:p>
        </w:tc>
        <w:tc>
          <w:tcPr>
            <w:tcW w:w="1408" w:type="dxa"/>
          </w:tcPr>
          <w:p w14:paraId="1B844CAA">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0.007</w:t>
            </w:r>
          </w:p>
        </w:tc>
        <w:tc>
          <w:tcPr>
            <w:tcW w:w="1408" w:type="dxa"/>
          </w:tcPr>
          <w:p w14:paraId="2DA3FFE2">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0.01</w:t>
            </w:r>
          </w:p>
        </w:tc>
      </w:tr>
      <w:tr w14:paraId="6C81D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tcPr>
          <w:p w14:paraId="322EEF71">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E玻璃纤维</w:t>
            </w:r>
          </w:p>
        </w:tc>
        <w:tc>
          <w:tcPr>
            <w:tcW w:w="1407" w:type="dxa"/>
          </w:tcPr>
          <w:p w14:paraId="42255E6B">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350</w:t>
            </w:r>
          </w:p>
        </w:tc>
        <w:tc>
          <w:tcPr>
            <w:tcW w:w="1407" w:type="dxa"/>
          </w:tcPr>
          <w:p w14:paraId="19704E7D">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500</w:t>
            </w:r>
          </w:p>
        </w:tc>
        <w:tc>
          <w:tcPr>
            <w:tcW w:w="2816" w:type="dxa"/>
            <w:gridSpan w:val="2"/>
          </w:tcPr>
          <w:p w14:paraId="5C339B7F">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5.0×10</w:t>
            </w:r>
            <w:r>
              <w:rPr>
                <w:rFonts w:hint="default" w:ascii="Times New Roman" w:hAnsi="Times New Roman" w:eastAsia="宋体" w:cs="Times New Roman"/>
                <w:color w:val="auto"/>
                <w:sz w:val="24"/>
                <w:szCs w:val="24"/>
                <w:highlight w:val="none"/>
                <w:vertAlign w:val="superscript"/>
              </w:rPr>
              <w:t>4</w:t>
            </w:r>
          </w:p>
        </w:tc>
        <w:tc>
          <w:tcPr>
            <w:tcW w:w="1408" w:type="dxa"/>
          </w:tcPr>
          <w:p w14:paraId="30499837">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0.007</w:t>
            </w:r>
          </w:p>
        </w:tc>
        <w:tc>
          <w:tcPr>
            <w:tcW w:w="1408" w:type="dxa"/>
          </w:tcPr>
          <w:p w14:paraId="49C814AE">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0.01</w:t>
            </w:r>
          </w:p>
        </w:tc>
      </w:tr>
    </w:tbl>
    <w:p w14:paraId="07A765EA">
      <w:pPr>
        <w:rPr>
          <w:rFonts w:hint="default" w:ascii="Times New Roman" w:hAnsi="Times New Roman" w:eastAsia="宋体" w:cs="Times New Roman"/>
          <w:color w:val="auto"/>
          <w:sz w:val="24"/>
          <w:szCs w:val="24"/>
          <w:highlight w:val="cyan"/>
        </w:rPr>
      </w:pPr>
    </w:p>
    <w:p w14:paraId="39EE8142">
      <w:pPr>
        <w:spacing w:line="36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lang w:val="en-US" w:eastAsia="zh-CN"/>
        </w:rPr>
        <w:t>6</w:t>
      </w:r>
      <w:r>
        <w:rPr>
          <w:rFonts w:hint="default" w:ascii="Times New Roman" w:hAnsi="Times New Roman" w:eastAsia="宋体" w:cs="Times New Roman"/>
          <w:b/>
          <w:color w:val="auto"/>
          <w:sz w:val="24"/>
          <w:szCs w:val="24"/>
          <w:highlight w:val="none"/>
        </w:rPr>
        <w:t>.3.</w:t>
      </w:r>
      <w:r>
        <w:rPr>
          <w:rFonts w:hint="default" w:ascii="Times New Roman" w:hAnsi="Times New Roman" w:eastAsia="宋体" w:cs="Times New Roman"/>
          <w:b/>
          <w:color w:val="auto"/>
          <w:sz w:val="24"/>
          <w:szCs w:val="24"/>
          <w:highlight w:val="none"/>
          <w:lang w:val="en-US" w:eastAsia="zh-CN"/>
        </w:rPr>
        <w:t>41</w:t>
      </w:r>
      <w:r>
        <w:rPr>
          <w:rFonts w:hint="default" w:ascii="Times New Roman" w:hAnsi="Times New Roman" w:eastAsia="宋体" w:cs="Times New Roman"/>
          <w:b/>
          <w:color w:val="auto"/>
          <w:sz w:val="24"/>
          <w:szCs w:val="24"/>
          <w:highlight w:val="none"/>
        </w:rPr>
        <w:t xml:space="preserve"> </w:t>
      </w:r>
      <w:r>
        <w:rPr>
          <w:rFonts w:hint="default" w:ascii="Times New Roman" w:hAnsi="Times New Roman" w:eastAsia="宋体" w:cs="Times New Roman"/>
          <w:color w:val="auto"/>
          <w:sz w:val="24"/>
          <w:szCs w:val="24"/>
          <w:highlight w:val="none"/>
        </w:rPr>
        <w:t>当被加固构件的表面有防火要求时，应按现行国家标准《建筑设计防火规范》GB 50016规定的耐火等级及耐火极限要求，对胶层和纤维复合材进行防护。</w:t>
      </w:r>
    </w:p>
    <w:p w14:paraId="7711DED5">
      <w:pPr>
        <w:spacing w:line="36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lang w:val="en-US" w:eastAsia="zh-CN"/>
        </w:rPr>
        <w:t>6</w:t>
      </w:r>
      <w:r>
        <w:rPr>
          <w:rFonts w:hint="default" w:ascii="Times New Roman" w:hAnsi="Times New Roman" w:eastAsia="宋体" w:cs="Times New Roman"/>
          <w:b/>
          <w:color w:val="auto"/>
          <w:sz w:val="24"/>
          <w:szCs w:val="24"/>
          <w:highlight w:val="none"/>
        </w:rPr>
        <w:t>.3.</w:t>
      </w:r>
      <w:r>
        <w:rPr>
          <w:rFonts w:hint="default" w:ascii="Times New Roman" w:hAnsi="Times New Roman" w:eastAsia="宋体" w:cs="Times New Roman"/>
          <w:b/>
          <w:color w:val="auto"/>
          <w:sz w:val="24"/>
          <w:szCs w:val="24"/>
          <w:highlight w:val="none"/>
          <w:lang w:val="en-US" w:eastAsia="zh-CN"/>
        </w:rPr>
        <w:t>42</w:t>
      </w:r>
      <w:r>
        <w:rPr>
          <w:rFonts w:hint="default" w:ascii="Times New Roman" w:hAnsi="Times New Roman" w:eastAsia="宋体" w:cs="Times New Roman"/>
          <w:color w:val="auto"/>
          <w:sz w:val="24"/>
          <w:szCs w:val="24"/>
          <w:highlight w:val="none"/>
        </w:rPr>
        <w:t xml:space="preserve"> 粘贴纤维复合材提高砌体墙平面内受剪承载力的加固方式，可根据工程实际情况选用：水平粘贴方式、交叉粘贴方式、平叉粘贴方式或双叉粘贴方式等(图</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42</w:t>
      </w:r>
      <w:r>
        <w:rPr>
          <w:rFonts w:hint="default" w:ascii="Times New Roman" w:hAnsi="Times New Roman" w:eastAsia="宋体" w:cs="Times New Roman"/>
          <w:color w:val="auto"/>
          <w:sz w:val="24"/>
          <w:szCs w:val="24"/>
          <w:highlight w:val="none"/>
        </w:rPr>
        <w:t>-1及图</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42</w:t>
      </w:r>
      <w:r>
        <w:rPr>
          <w:rFonts w:hint="default" w:ascii="Times New Roman" w:hAnsi="Times New Roman" w:eastAsia="宋体" w:cs="Times New Roman"/>
          <w:color w:val="auto"/>
          <w:sz w:val="24"/>
          <w:szCs w:val="24"/>
          <w:highlight w:val="none"/>
        </w:rPr>
        <w:t>-2)。每一种方式的端部均应加贴竖向或横向压条。</w:t>
      </w:r>
    </w:p>
    <w:p w14:paraId="37AD83C6">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drawing>
          <wp:anchor distT="0" distB="0" distL="0" distR="0" simplePos="0" relativeHeight="251673600" behindDoc="0" locked="0" layoutInCell="1" allowOverlap="1">
            <wp:simplePos x="0" y="0"/>
            <wp:positionH relativeFrom="column">
              <wp:posOffset>1179830</wp:posOffset>
            </wp:positionH>
            <wp:positionV relativeFrom="paragraph">
              <wp:posOffset>86360</wp:posOffset>
            </wp:positionV>
            <wp:extent cx="3721100" cy="1079500"/>
            <wp:effectExtent l="0" t="0" r="12700" b="6350"/>
            <wp:wrapTopAndBottom/>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21"/>
                    <a:stretch>
                      <a:fillRect/>
                    </a:stretch>
                  </pic:blipFill>
                  <pic:spPr>
                    <a:xfrm>
                      <a:off x="0" y="0"/>
                      <a:ext cx="3721306" cy="1079592"/>
                    </a:xfrm>
                    <a:prstGeom prst="rect">
                      <a:avLst/>
                    </a:prstGeom>
                  </pic:spPr>
                </pic:pic>
              </a:graphicData>
            </a:graphic>
          </wp:anchor>
        </w:drawing>
      </w:r>
    </w:p>
    <w:p w14:paraId="7E1DA9C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  (a)水平粘贴方式       (b)交叉粘贴方式      (c)平叉粘贴方式</w:t>
      </w:r>
    </w:p>
    <w:p w14:paraId="134B3019">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图 </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42</w:t>
      </w:r>
      <w:r>
        <w:rPr>
          <w:rFonts w:hint="default" w:ascii="Times New Roman" w:hAnsi="Times New Roman" w:eastAsia="宋体" w:cs="Times New Roman"/>
          <w:color w:val="auto"/>
          <w:sz w:val="24"/>
          <w:szCs w:val="24"/>
          <w:highlight w:val="none"/>
        </w:rPr>
        <w:t>-1 纤维复合材（布）粘贴方式示例</w:t>
      </w:r>
    </w:p>
    <w:p w14:paraId="05225642">
      <w:pPr>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drawing>
          <wp:anchor distT="0" distB="0" distL="0" distR="0" simplePos="0" relativeHeight="251674624" behindDoc="0" locked="0" layoutInCell="1" allowOverlap="1">
            <wp:simplePos x="0" y="0"/>
            <wp:positionH relativeFrom="column">
              <wp:posOffset>1511300</wp:posOffset>
            </wp:positionH>
            <wp:positionV relativeFrom="paragraph">
              <wp:posOffset>138430</wp:posOffset>
            </wp:positionV>
            <wp:extent cx="3111500" cy="1358900"/>
            <wp:effectExtent l="0" t="0" r="12700" b="12700"/>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22"/>
                    <a:stretch>
                      <a:fillRect/>
                    </a:stretch>
                  </pic:blipFill>
                  <pic:spPr>
                    <a:xfrm>
                      <a:off x="0" y="0"/>
                      <a:ext cx="3111618" cy="1358968"/>
                    </a:xfrm>
                    <a:prstGeom prst="rect">
                      <a:avLst/>
                    </a:prstGeom>
                  </pic:spPr>
                </pic:pic>
              </a:graphicData>
            </a:graphic>
          </wp:anchor>
        </w:drawing>
      </w:r>
    </w:p>
    <w:p w14:paraId="5BB91CDA">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图 </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42</w:t>
      </w:r>
      <w:r>
        <w:rPr>
          <w:rFonts w:hint="default" w:ascii="Times New Roman" w:hAnsi="Times New Roman" w:eastAsia="宋体" w:cs="Times New Roman"/>
          <w:color w:val="auto"/>
          <w:sz w:val="24"/>
          <w:szCs w:val="24"/>
          <w:highlight w:val="none"/>
        </w:rPr>
        <w:t>-2 纤维复合材（条形板）粘贴方式示例</w:t>
      </w:r>
    </w:p>
    <w:p w14:paraId="3A025ED0">
      <w:pPr>
        <w:rPr>
          <w:rFonts w:hint="default" w:ascii="Times New Roman" w:hAnsi="Times New Roman" w:eastAsia="宋体" w:cs="Times New Roman"/>
          <w:color w:val="auto"/>
          <w:sz w:val="24"/>
          <w:szCs w:val="24"/>
          <w:highlight w:val="none"/>
        </w:rPr>
      </w:pPr>
    </w:p>
    <w:p w14:paraId="2FDAF972">
      <w:pPr>
        <w:rPr>
          <w:rFonts w:hint="default" w:ascii="Times New Roman" w:hAnsi="Times New Roman" w:eastAsia="宋体" w:cs="Times New Roman"/>
          <w:color w:val="auto"/>
          <w:sz w:val="24"/>
          <w:szCs w:val="24"/>
          <w:highlight w:val="none"/>
        </w:rPr>
      </w:pPr>
      <w:bookmarkStart w:id="106" w:name="_Toc23591"/>
      <w:r>
        <w:rPr>
          <w:rFonts w:hint="default" w:ascii="Times New Roman" w:hAnsi="Times New Roman" w:eastAsia="宋体" w:cs="Times New Roman"/>
          <w:b/>
          <w:color w:val="auto"/>
          <w:sz w:val="24"/>
          <w:szCs w:val="24"/>
          <w:highlight w:val="none"/>
          <w:lang w:val="en-US" w:eastAsia="zh-CN"/>
        </w:rPr>
        <w:t>6</w:t>
      </w:r>
      <w:r>
        <w:rPr>
          <w:rFonts w:hint="default" w:ascii="Times New Roman" w:hAnsi="Times New Roman" w:eastAsia="宋体" w:cs="Times New Roman"/>
          <w:b/>
          <w:color w:val="auto"/>
          <w:sz w:val="24"/>
          <w:szCs w:val="24"/>
          <w:highlight w:val="none"/>
        </w:rPr>
        <w:t>.3.4</w:t>
      </w:r>
      <w:r>
        <w:rPr>
          <w:rFonts w:hint="default" w:ascii="Times New Roman" w:hAnsi="Times New Roman" w:eastAsia="宋体" w:cs="Times New Roman"/>
          <w:b/>
          <w:color w:val="auto"/>
          <w:sz w:val="24"/>
          <w:szCs w:val="24"/>
          <w:highlight w:val="none"/>
          <w:lang w:val="en-US" w:eastAsia="zh-CN"/>
        </w:rPr>
        <w:t>3</w:t>
      </w:r>
      <w:r>
        <w:rPr>
          <w:rFonts w:hint="default" w:ascii="Times New Roman" w:hAnsi="Times New Roman" w:eastAsia="宋体" w:cs="Times New Roman"/>
          <w:color w:val="auto"/>
          <w:sz w:val="24"/>
          <w:szCs w:val="24"/>
          <w:highlight w:val="none"/>
        </w:rPr>
        <w:t xml:space="preserve"> 粘贴纤维复合材对砌体墙平面内受剪加固的受剪承载力应符合下列条件：</w:t>
      </w:r>
      <w:bookmarkEnd w:id="106"/>
    </w:p>
    <w:p w14:paraId="16E2F289">
      <w:pPr>
        <w:ind w:firstLine="4320" w:firstLineChars="1800"/>
        <w:rPr>
          <w:rFonts w:hint="default" w:ascii="Times New Roman" w:hAnsi="Times New Roman" w:eastAsia="宋体" w:cs="Times New Roman"/>
          <w:color w:val="auto"/>
          <w:sz w:val="24"/>
          <w:szCs w:val="24"/>
          <w:highlight w:val="none"/>
        </w:rPr>
      </w:pPr>
      <w:bookmarkStart w:id="107" w:name="_Toc32131"/>
      <w:r>
        <w:rPr>
          <w:rFonts w:hint="default" w:ascii="Times New Roman" w:hAnsi="Times New Roman" w:eastAsia="宋体" w:cs="Times New Roman"/>
          <w:color w:val="auto"/>
          <w:position w:val="-12"/>
          <w:sz w:val="24"/>
          <w:szCs w:val="24"/>
          <w:highlight w:val="none"/>
        </w:rPr>
        <w:object>
          <v:shape id="_x0000_i1140" o:spt="75" type="#_x0000_t75" style="height:18pt;width:56.5pt;" o:ole="t" filled="f" o:preferrelative="t" stroked="f" coordsize="21600,21600">
            <v:path/>
            <v:fill on="f" focussize="0,0"/>
            <v:stroke on="f" joinstyle="miter"/>
            <v:imagedata r:id="rId224" o:title=""/>
            <o:lock v:ext="edit" aspectratio="t"/>
            <w10:wrap type="none"/>
            <w10:anchorlock/>
          </v:shape>
          <o:OLEObject Type="Embed" ProgID="Equation.DSMT4" ShapeID="_x0000_i1140" DrawAspect="Content" ObjectID="_1468075840" r:id="rId223">
            <o:LockedField>false</o:LockedField>
          </o:OLEObject>
        </w:objec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.4</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-1）</w:t>
      </w:r>
    </w:p>
    <w:p w14:paraId="08B6B872">
      <w:pPr>
        <w:ind w:firstLine="4320" w:firstLineChars="18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position w:val="-12"/>
          <w:sz w:val="24"/>
          <w:szCs w:val="24"/>
          <w:highlight w:val="none"/>
        </w:rPr>
        <w:object>
          <v:shape id="_x0000_i1141" o:spt="75" type="#_x0000_t75" style="height:18pt;width:61pt;" o:ole="t" filled="f" o:preferrelative="t" stroked="f" coordsize="21600,21600">
            <v:path/>
            <v:fill on="f" focussize="0,0"/>
            <v:stroke on="f" joinstyle="miter"/>
            <v:imagedata r:id="rId226" o:title=""/>
            <o:lock v:ext="edit" aspectratio="t"/>
            <w10:wrap type="none"/>
            <w10:anchorlock/>
          </v:shape>
          <o:OLEObject Type="Embed" ProgID="Equation.DSMT4" ShapeID="_x0000_i1141" DrawAspect="Content" ObjectID="_1468075841" r:id="rId225">
            <o:LockedField>false</o:LockedField>
          </o:OLEObject>
        </w:objec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.4</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-2）</w:t>
      </w:r>
    </w:p>
    <w:p w14:paraId="5283F475">
      <w:pPr>
        <w:widowControl/>
        <w:jc w:val="left"/>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b/>
          <w:color w:val="auto"/>
          <w:sz w:val="24"/>
          <w:szCs w:val="24"/>
          <w:highlight w:val="none"/>
        </w:rPr>
        <w:t>式中</w:t>
      </w:r>
      <w:r>
        <w:rPr>
          <w:rFonts w:hint="default" w:ascii="Times New Roman" w:hAnsi="Times New Roman" w:eastAsia="宋体" w:cs="Times New Roman"/>
          <w:i/>
          <w:iCs/>
          <w:color w:val="auto"/>
          <w:kern w:val="0"/>
          <w:sz w:val="24"/>
          <w:szCs w:val="24"/>
          <w:highlight w:val="none"/>
        </w:rPr>
        <w:t>V</w:t>
      </w:r>
      <w:r>
        <w:rPr>
          <w:rFonts w:hint="default" w:ascii="Times New Roman" w:hAnsi="Times New Roman" w:eastAsia="宋体" w:cs="Times New Roman"/>
          <w:color w:val="auto"/>
          <w:kern w:val="0"/>
          <w:sz w:val="24"/>
          <w:szCs w:val="24"/>
          <w:highlight w:val="none"/>
        </w:rPr>
        <w:t>——砌体墙平面内剪力设计值；</w:t>
      </w:r>
    </w:p>
    <w:p w14:paraId="7CB99231">
      <w:pPr>
        <w:widowControl/>
        <w:ind w:firstLine="480" w:firstLineChars="200"/>
        <w:jc w:val="left"/>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position w:val="-12"/>
          <w:sz w:val="24"/>
          <w:szCs w:val="24"/>
          <w:highlight w:val="none"/>
        </w:rPr>
        <w:object>
          <v:shape id="_x0000_i1142" o:spt="75" type="#_x0000_t75" style="height:18pt;width:15pt;" o:ole="t" filled="f" o:preferrelative="t" stroked="f" coordsize="21600,21600">
            <v:path/>
            <v:fill on="f" focussize="0,0"/>
            <v:stroke on="f" joinstyle="miter"/>
            <v:imagedata r:id="rId228" o:title=""/>
            <o:lock v:ext="edit" aspectratio="t"/>
            <w10:wrap type="none"/>
            <w10:anchorlock/>
          </v:shape>
          <o:OLEObject Type="Embed" ProgID="Equation.DSMT4" ShapeID="_x0000_i1142" DrawAspect="Content" ObjectID="_1468075842" r:id="rId227">
            <o:LockedField>false</o:LockedField>
          </o:OLEObject>
        </w:object>
      </w:r>
      <w:r>
        <w:rPr>
          <w:rFonts w:hint="default" w:ascii="Times New Roman" w:hAnsi="Times New Roman" w:eastAsia="宋体" w:cs="Times New Roman"/>
          <w:color w:val="auto"/>
          <w:kern w:val="0"/>
          <w:sz w:val="24"/>
          <w:szCs w:val="24"/>
          <w:highlight w:val="none"/>
        </w:rPr>
        <w:t>——原砌体受剪承载力，按现行国家标准《砌体结构设计规范》GB 50003的规定计算确定；</w:t>
      </w:r>
    </w:p>
    <w:p w14:paraId="7BFE7361">
      <w:pPr>
        <w:widowControl/>
        <w:ind w:firstLine="480" w:firstLineChars="200"/>
        <w:jc w:val="left"/>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position w:val="-12"/>
          <w:sz w:val="24"/>
          <w:szCs w:val="24"/>
          <w:highlight w:val="none"/>
        </w:rPr>
        <w:object>
          <v:shape id="_x0000_i1143" o:spt="75" type="#_x0000_t75" style="height:18pt;width:14pt;" o:ole="t" filled="f" o:preferrelative="t" stroked="f" coordsize="21600,21600">
            <v:path/>
            <v:fill on="f" focussize="0,0"/>
            <v:stroke on="f" joinstyle="miter"/>
            <v:imagedata r:id="rId230" o:title=""/>
            <o:lock v:ext="edit" aspectratio="t"/>
            <w10:wrap type="none"/>
            <w10:anchorlock/>
          </v:shape>
          <o:OLEObject Type="Embed" ProgID="Equation.DSMT4" ShapeID="_x0000_i1143" DrawAspect="Content" ObjectID="_1468075843" r:id="rId229">
            <o:LockedField>false</o:LockedField>
          </o:OLEObject>
        </w:object>
      </w:r>
      <w:r>
        <w:rPr>
          <w:rFonts w:hint="default" w:ascii="Times New Roman" w:hAnsi="Times New Roman" w:eastAsia="宋体" w:cs="Times New Roman"/>
          <w:color w:val="auto"/>
          <w:kern w:val="0"/>
          <w:sz w:val="24"/>
          <w:szCs w:val="24"/>
          <w:highlight w:val="none"/>
        </w:rPr>
        <w:t>——采用纤维复合材加固后提高的受剪承载力；</w:t>
      </w:r>
    </w:p>
    <w:p w14:paraId="2C0E3E8F">
      <w:pPr>
        <w:widowControl/>
        <w:ind w:firstLine="480" w:firstLineChars="200"/>
        <w:jc w:val="left"/>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position w:val="-12"/>
          <w:sz w:val="24"/>
          <w:szCs w:val="24"/>
          <w:highlight w:val="none"/>
        </w:rPr>
        <w:object>
          <v:shape id="_x0000_i1144" o:spt="75" type="#_x0000_t75" style="height:18pt;width:15pt;" o:ole="t" filled="f" o:preferrelative="t" stroked="f" coordsize="21600,21600">
            <v:path/>
            <v:fill on="f" focussize="0,0"/>
            <v:stroke on="f" joinstyle="miter"/>
            <v:imagedata r:id="rId232" o:title=""/>
            <o:lock v:ext="edit" aspectratio="t"/>
            <w10:wrap type="none"/>
            <w10:anchorlock/>
          </v:shape>
          <o:OLEObject Type="Embed" ProgID="Equation.DSMT4" ShapeID="_x0000_i1144" DrawAspect="Content" ObjectID="_1468075844" r:id="rId231">
            <o:LockedField>false</o:LockedField>
          </o:OLEObject>
        </w:object>
      </w:r>
      <w:r>
        <w:rPr>
          <w:rFonts w:hint="default" w:ascii="Times New Roman" w:hAnsi="Times New Roman" w:eastAsia="宋体" w:cs="Times New Roman"/>
          <w:color w:val="auto"/>
          <w:sz w:val="24"/>
          <w:szCs w:val="24"/>
          <w:highlight w:val="none"/>
        </w:rPr>
        <w:t>——原砌体压应力影响系数，对一般情况，取</w:t>
      </w:r>
      <w:r>
        <w:rPr>
          <w:rFonts w:hint="default" w:ascii="Times New Roman" w:hAnsi="Times New Roman" w:eastAsia="宋体" w:cs="Times New Roman"/>
          <w:color w:val="auto"/>
          <w:position w:val="-12"/>
          <w:sz w:val="24"/>
          <w:szCs w:val="24"/>
          <w:highlight w:val="none"/>
        </w:rPr>
        <w:object>
          <v:shape id="_x0000_i1145" o:spt="75" type="#_x0000_t75" style="height:18pt;width:15pt;" o:ole="t" filled="f" o:preferrelative="t" stroked="f" coordsize="21600,21600">
            <v:path/>
            <v:fill on="f" focussize="0,0"/>
            <v:stroke on="f" joinstyle="miter"/>
            <v:imagedata r:id="rId232" o:title=""/>
            <o:lock v:ext="edit" aspectratio="t"/>
            <w10:wrap type="none"/>
            <w10:anchorlock/>
          </v:shape>
          <o:OLEObject Type="Embed" ProgID="Equation.DSMT4" ShapeID="_x0000_i1145" DrawAspect="Content" ObjectID="_1468075845" r:id="rId233">
            <o:LockedField>false</o:LockedField>
          </o:OLEObject>
        </w:object>
      </w:r>
      <w:r>
        <w:rPr>
          <w:rFonts w:hint="default" w:ascii="Times New Roman" w:hAnsi="Times New Roman" w:eastAsia="宋体" w:cs="Times New Roman"/>
          <w:color w:val="auto"/>
          <w:sz w:val="24"/>
          <w:szCs w:val="24"/>
          <w:highlight w:val="none"/>
        </w:rPr>
        <w:t>为1.0；对原砌体砂浆强度等级不低于M5，且原构件轴压比不小于0.5的情况，取</w:t>
      </w:r>
      <w:r>
        <w:rPr>
          <w:rFonts w:hint="default" w:ascii="Times New Roman" w:hAnsi="Times New Roman" w:eastAsia="宋体" w:cs="Times New Roman"/>
          <w:color w:val="auto"/>
          <w:position w:val="-12"/>
          <w:sz w:val="24"/>
          <w:szCs w:val="24"/>
          <w:highlight w:val="none"/>
        </w:rPr>
        <w:object>
          <v:shape id="_x0000_i1146" o:spt="75" type="#_x0000_t75" style="height:18pt;width:15pt;" o:ole="t" filled="f" o:preferrelative="t" stroked="f" coordsize="21600,21600">
            <v:path/>
            <v:fill on="f" focussize="0,0"/>
            <v:stroke on="f" joinstyle="miter"/>
            <v:imagedata r:id="rId232" o:title=""/>
            <o:lock v:ext="edit" aspectratio="t"/>
            <w10:wrap type="none"/>
            <w10:anchorlock/>
          </v:shape>
          <o:OLEObject Type="Embed" ProgID="Equation.DSMT4" ShapeID="_x0000_i1146" DrawAspect="Content" ObjectID="_1468075846" r:id="rId234">
            <o:LockedField>false</o:LockedField>
          </o:OLEObject>
        </w:object>
      </w:r>
      <w:r>
        <w:rPr>
          <w:rFonts w:hint="default" w:ascii="Times New Roman" w:hAnsi="Times New Roman" w:eastAsia="宋体" w:cs="Times New Roman"/>
          <w:color w:val="auto"/>
          <w:sz w:val="24"/>
          <w:szCs w:val="24"/>
          <w:highlight w:val="none"/>
        </w:rPr>
        <w:t>为0.90。</w:t>
      </w:r>
    </w:p>
    <w:p w14:paraId="6BE79A27">
      <w:pP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lang w:val="en-US" w:eastAsia="zh-CN"/>
        </w:rPr>
        <w:t>6</w:t>
      </w:r>
      <w:r>
        <w:rPr>
          <w:rFonts w:hint="default" w:ascii="Times New Roman" w:hAnsi="Times New Roman" w:eastAsia="宋体" w:cs="Times New Roman"/>
          <w:b/>
          <w:color w:val="auto"/>
          <w:sz w:val="24"/>
          <w:szCs w:val="24"/>
          <w:highlight w:val="none"/>
        </w:rPr>
        <w:t>.3.4</w:t>
      </w:r>
      <w:r>
        <w:rPr>
          <w:rFonts w:hint="default" w:ascii="Times New Roman" w:hAnsi="Times New Roman" w:eastAsia="宋体" w:cs="Times New Roman"/>
          <w:b/>
          <w:color w:val="auto"/>
          <w:sz w:val="24"/>
          <w:szCs w:val="24"/>
          <w:highlight w:val="none"/>
          <w:lang w:val="en-US" w:eastAsia="zh-CN"/>
        </w:rPr>
        <w:t>4</w:t>
      </w:r>
      <w:r>
        <w:rPr>
          <w:rFonts w:hint="default" w:ascii="Times New Roman" w:hAnsi="Times New Roman" w:eastAsia="宋体" w:cs="Times New Roman"/>
          <w:color w:val="auto"/>
          <w:sz w:val="24"/>
          <w:szCs w:val="24"/>
          <w:highlight w:val="none"/>
        </w:rPr>
        <w:t xml:space="preserve"> 粘贴纤维复合材后提高的受剪承载力</w:t>
      </w:r>
      <w:r>
        <w:rPr>
          <w:rFonts w:hint="default" w:ascii="Times New Roman" w:hAnsi="Times New Roman" w:eastAsia="宋体" w:cs="Times New Roman"/>
          <w:i/>
          <w:iCs/>
          <w:color w:val="auto"/>
          <w:sz w:val="24"/>
          <w:szCs w:val="24"/>
          <w:highlight w:val="none"/>
        </w:rPr>
        <w:t>V</w:t>
      </w:r>
      <w:r>
        <w:rPr>
          <w:rFonts w:hint="default" w:ascii="Times New Roman" w:hAnsi="Times New Roman" w:eastAsia="宋体" w:cs="Times New Roman"/>
          <w:color w:val="auto"/>
          <w:sz w:val="24"/>
          <w:szCs w:val="24"/>
          <w:highlight w:val="none"/>
          <w:vertAlign w:val="subscript"/>
        </w:rPr>
        <w:t>F</w:t>
      </w:r>
      <w:r>
        <w:rPr>
          <w:rFonts w:hint="default" w:ascii="Times New Roman" w:hAnsi="Times New Roman" w:eastAsia="宋体" w:cs="Times New Roman"/>
          <w:color w:val="auto"/>
          <w:sz w:val="24"/>
          <w:szCs w:val="24"/>
          <w:highlight w:val="none"/>
        </w:rPr>
        <w:t>应按下列规定计算：</w:t>
      </w:r>
      <w:bookmarkEnd w:id="107"/>
    </w:p>
    <w:p w14:paraId="42DA5DA4">
      <w:pPr>
        <w:ind w:firstLine="4320" w:firstLineChars="18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position w:val="-28"/>
          <w:sz w:val="24"/>
          <w:szCs w:val="24"/>
          <w:highlight w:val="none"/>
        </w:rPr>
        <w:object>
          <v:shape id="_x0000_i1147" o:spt="75" type="#_x0000_t75" style="height:33.5pt;width:105.5pt;" o:ole="t" filled="f" o:preferrelative="t" stroked="f" coordsize="21600,21600">
            <v:path/>
            <v:fill on="f" focussize="0,0"/>
            <v:stroke on="f" joinstyle="miter"/>
            <v:imagedata r:id="rId236" o:title=""/>
            <o:lock v:ext="edit" aspectratio="t"/>
            <w10:wrap type="none"/>
            <w10:anchorlock/>
          </v:shape>
          <o:OLEObject Type="Embed" ProgID="Equation.DSMT4" ShapeID="_x0000_i1147" DrawAspect="Content" ObjectID="_1468075847" r:id="rId235">
            <o:LockedField>false</o:LockedField>
          </o:OLEObject>
        </w:object>
      </w:r>
      <w:r>
        <w:rPr>
          <w:rFonts w:hint="default"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.4</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w:t>
      </w:r>
    </w:p>
    <w:p w14:paraId="24FF85AF">
      <w:pPr>
        <w:widowControl/>
        <w:jc w:val="left"/>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b/>
          <w:color w:val="auto"/>
          <w:sz w:val="24"/>
          <w:szCs w:val="24"/>
          <w:highlight w:val="none"/>
        </w:rPr>
        <w:t xml:space="preserve">式中 </w:t>
      </w:r>
      <w:r>
        <w:rPr>
          <w:rFonts w:hint="default" w:ascii="Times New Roman" w:hAnsi="Times New Roman" w:eastAsia="宋体" w:cs="Times New Roman"/>
          <w:color w:val="auto"/>
          <w:position w:val="-12"/>
          <w:sz w:val="24"/>
          <w:szCs w:val="24"/>
          <w:highlight w:val="none"/>
        </w:rPr>
        <w:object>
          <v:shape id="_x0000_i1148" o:spt="75" type="#_x0000_t75" style="height:18pt;width:15pt;" o:ole="t" filled="f" o:preferrelative="t" stroked="f" coordsize="21600,21600">
            <v:path/>
            <v:fill on="f" focussize="0,0"/>
            <v:stroke on="f" joinstyle="miter"/>
            <v:imagedata r:id="rId238" o:title=""/>
            <o:lock v:ext="edit" aspectratio="t"/>
            <w10:wrap type="none"/>
            <w10:anchorlock/>
          </v:shape>
          <o:OLEObject Type="Embed" ProgID="Equation.DSMT4" ShapeID="_x0000_i1148" DrawAspect="Content" ObjectID="_1468075848" r:id="rId237">
            <o:LockedField>false</o:LockedField>
          </o:OLEObject>
        </w:object>
      </w:r>
      <w:r>
        <w:rPr>
          <w:rFonts w:hint="default" w:ascii="Times New Roman" w:hAnsi="Times New Roman" w:eastAsia="宋体" w:cs="Times New Roman"/>
          <w:color w:val="auto"/>
          <w:kern w:val="0"/>
          <w:sz w:val="24"/>
          <w:szCs w:val="24"/>
          <w:highlight w:val="none"/>
        </w:rPr>
        <w:t>——纤维复合材参与工作系数，对水平粘贴方式和交叉方式分别按表</w:t>
      </w:r>
      <w:r>
        <w:rPr>
          <w:rFonts w:hint="default" w:ascii="Times New Roman" w:hAnsi="Times New Roman" w:eastAsia="宋体" w:cs="Times New Roman"/>
          <w:color w:val="auto"/>
          <w:kern w:val="0"/>
          <w:sz w:val="24"/>
          <w:szCs w:val="24"/>
          <w:highlight w:val="none"/>
          <w:lang w:val="en-US" w:eastAsia="zh-CN"/>
        </w:rPr>
        <w:t>6</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kern w:val="0"/>
          <w:sz w:val="24"/>
          <w:szCs w:val="24"/>
          <w:highlight w:val="none"/>
          <w:lang w:val="en-US" w:eastAsia="zh-CN"/>
        </w:rPr>
        <w:t>3</w:t>
      </w:r>
      <w:r>
        <w:rPr>
          <w:rFonts w:hint="default" w:ascii="Times New Roman" w:hAnsi="Times New Roman" w:eastAsia="宋体" w:cs="Times New Roman"/>
          <w:color w:val="auto"/>
          <w:kern w:val="0"/>
          <w:sz w:val="24"/>
          <w:szCs w:val="24"/>
          <w:highlight w:val="none"/>
        </w:rPr>
        <w:t>.41-1及表</w:t>
      </w:r>
      <w:r>
        <w:rPr>
          <w:rFonts w:hint="default" w:ascii="Times New Roman" w:hAnsi="Times New Roman" w:eastAsia="宋体" w:cs="Times New Roman"/>
          <w:color w:val="auto"/>
          <w:kern w:val="0"/>
          <w:sz w:val="24"/>
          <w:szCs w:val="24"/>
          <w:highlight w:val="none"/>
          <w:lang w:val="en-US" w:eastAsia="zh-CN"/>
        </w:rPr>
        <w:t>6</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kern w:val="0"/>
          <w:sz w:val="24"/>
          <w:szCs w:val="24"/>
          <w:highlight w:val="none"/>
          <w:lang w:val="en-US" w:eastAsia="zh-CN"/>
        </w:rPr>
        <w:t>3</w:t>
      </w:r>
      <w:r>
        <w:rPr>
          <w:rFonts w:hint="default" w:ascii="Times New Roman" w:hAnsi="Times New Roman" w:eastAsia="宋体" w:cs="Times New Roman"/>
          <w:color w:val="auto"/>
          <w:kern w:val="0"/>
          <w:sz w:val="24"/>
          <w:szCs w:val="24"/>
          <w:highlight w:val="none"/>
        </w:rPr>
        <w:t>.4</w:t>
      </w:r>
      <w:r>
        <w:rPr>
          <w:rFonts w:hint="default" w:ascii="Times New Roman" w:hAnsi="Times New Roman" w:eastAsia="宋体" w:cs="Times New Roman"/>
          <w:color w:val="auto"/>
          <w:kern w:val="0"/>
          <w:sz w:val="24"/>
          <w:szCs w:val="24"/>
          <w:highlight w:val="none"/>
          <w:lang w:val="en-US" w:eastAsia="zh-CN"/>
        </w:rPr>
        <w:t>1</w:t>
      </w:r>
      <w:r>
        <w:rPr>
          <w:rFonts w:hint="default" w:ascii="Times New Roman" w:hAnsi="Times New Roman" w:eastAsia="宋体" w:cs="Times New Roman"/>
          <w:color w:val="auto"/>
          <w:kern w:val="0"/>
          <w:sz w:val="24"/>
          <w:szCs w:val="24"/>
          <w:highlight w:val="none"/>
        </w:rPr>
        <w:t>-2取值；</w:t>
      </w:r>
    </w:p>
    <w:p w14:paraId="45A8C422">
      <w:pPr>
        <w:widowControl/>
        <w:spacing w:line="360" w:lineRule="exact"/>
        <w:ind w:firstLine="600" w:firstLineChars="250"/>
        <w:jc w:val="left"/>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position w:val="-12"/>
          <w:sz w:val="24"/>
          <w:szCs w:val="24"/>
          <w:highlight w:val="none"/>
        </w:rPr>
        <w:object>
          <v:shape id="_x0000_i1149" o:spt="75" type="#_x0000_t75" style="height:18pt;width:13pt;" o:ole="t" filled="f" o:preferrelative="t" stroked="f" coordsize="21600,21600">
            <v:path/>
            <v:fill on="f" focussize="0,0"/>
            <v:stroke on="f" joinstyle="miter"/>
            <v:imagedata r:id="rId240" o:title=""/>
            <o:lock v:ext="edit" aspectratio="t"/>
            <w10:wrap type="none"/>
            <w10:anchorlock/>
          </v:shape>
          <o:OLEObject Type="Embed" ProgID="Equation.DSMT4" ShapeID="_x0000_i1149" DrawAspect="Content" ObjectID="_1468075849" r:id="rId239">
            <o:LockedField>false</o:LockedField>
          </o:OLEObject>
        </w:object>
      </w:r>
      <w:r>
        <w:rPr>
          <w:rFonts w:hint="default" w:ascii="Times New Roman" w:hAnsi="Times New Roman" w:eastAsia="宋体" w:cs="Times New Roman"/>
          <w:color w:val="auto"/>
          <w:kern w:val="0"/>
          <w:sz w:val="24"/>
          <w:szCs w:val="24"/>
          <w:highlight w:val="none"/>
        </w:rPr>
        <w:t>——受剪加固采用的纤维复合材抗拉强度设计值，按本规程第</w:t>
      </w:r>
      <w:r>
        <w:rPr>
          <w:rFonts w:hint="default" w:ascii="Times New Roman" w:hAnsi="Times New Roman" w:eastAsia="宋体" w:cs="Times New Roman"/>
          <w:color w:val="auto"/>
          <w:kern w:val="0"/>
          <w:sz w:val="24"/>
          <w:szCs w:val="24"/>
          <w:highlight w:val="none"/>
          <w:lang w:val="en-US" w:eastAsia="zh-CN"/>
        </w:rPr>
        <w:t>6</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kern w:val="0"/>
          <w:sz w:val="24"/>
          <w:szCs w:val="24"/>
          <w:highlight w:val="none"/>
          <w:lang w:val="en-US" w:eastAsia="zh-CN"/>
        </w:rPr>
        <w:t>3</w:t>
      </w:r>
      <w:r>
        <w:rPr>
          <w:rFonts w:hint="default" w:ascii="Times New Roman" w:hAnsi="Times New Roman" w:eastAsia="宋体" w:cs="Times New Roman"/>
          <w:color w:val="auto"/>
          <w:kern w:val="0"/>
          <w:sz w:val="24"/>
          <w:szCs w:val="24"/>
          <w:highlight w:val="none"/>
        </w:rPr>
        <w:t>.37条规定的抗拉强度设计值乘以调整系数0.28确定；</w:t>
      </w:r>
    </w:p>
    <w:p w14:paraId="2AE38678">
      <w:pPr>
        <w:widowControl/>
        <w:spacing w:line="360" w:lineRule="exact"/>
        <w:ind w:firstLine="600" w:firstLineChars="25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position w:val="-12"/>
          <w:sz w:val="24"/>
          <w:szCs w:val="24"/>
          <w:highlight w:val="none"/>
        </w:rPr>
        <w:object>
          <v:shape id="_x0000_i1150" o:spt="75" type="#_x0000_t75" style="height:18pt;width:16.5pt;" o:ole="t" filled="f" o:preferrelative="t" stroked="f" coordsize="21600,21600">
            <v:path/>
            <v:fill on="f" focussize="0,0"/>
            <v:stroke on="f" joinstyle="miter"/>
            <v:imagedata r:id="rId242" o:title=""/>
            <o:lock v:ext="edit" aspectratio="t"/>
            <w10:wrap type="none"/>
            <w10:anchorlock/>
          </v:shape>
          <o:OLEObject Type="Embed" ProgID="Equation.DSMT4" ShapeID="_x0000_i1150" DrawAspect="Content" ObjectID="_1468075850" r:id="rId241">
            <o:LockedField>false</o:LockedField>
          </o:OLEObject>
        </w:objec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sz w:val="24"/>
          <w:szCs w:val="24"/>
          <w:highlight w:val="none"/>
        </w:rPr>
        <w:t>穿过计算斜截面的第</w:t>
      </w:r>
      <w:r>
        <w:rPr>
          <w:rFonts w:hint="default" w:ascii="Times New Roman" w:hAnsi="Times New Roman" w:eastAsia="宋体" w:cs="Times New Roman"/>
          <w:i/>
          <w:iCs/>
          <w:color w:val="auto"/>
          <w:sz w:val="24"/>
          <w:szCs w:val="24"/>
          <w:highlight w:val="none"/>
        </w:rPr>
        <w:t>i</w:t>
      </w:r>
      <w:r>
        <w:rPr>
          <w:rFonts w:hint="default" w:ascii="Times New Roman" w:hAnsi="Times New Roman" w:eastAsia="宋体" w:cs="Times New Roman"/>
          <w:color w:val="auto"/>
          <w:sz w:val="24"/>
          <w:szCs w:val="24"/>
          <w:highlight w:val="none"/>
        </w:rPr>
        <w:t>个纤维复合材条带的截面面积；</w:t>
      </w:r>
    </w:p>
    <w:p w14:paraId="1C4240D2">
      <w:pPr>
        <w:widowControl/>
        <w:spacing w:line="360" w:lineRule="exact"/>
        <w:ind w:firstLine="600" w:firstLineChars="25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position w:val="-12"/>
          <w:sz w:val="24"/>
          <w:szCs w:val="24"/>
          <w:highlight w:val="none"/>
        </w:rPr>
        <w:object>
          <v:shape id="_x0000_i1151" o:spt="75" type="#_x0000_t75" style="height:18pt;width:13pt;" o:ole="t" filled="f" o:preferrelative="t" stroked="f" coordsize="21600,21600">
            <v:path/>
            <v:fill on="f" focussize="0,0"/>
            <v:stroke on="f" joinstyle="miter"/>
            <v:imagedata r:id="rId244" o:title=""/>
            <o:lock v:ext="edit" aspectratio="t"/>
            <w10:wrap type="none"/>
            <w10:anchorlock/>
          </v:shape>
          <o:OLEObject Type="Embed" ProgID="Equation.DSMT4" ShapeID="_x0000_i1151" DrawAspect="Content" ObjectID="_1468075851" r:id="rId243">
            <o:LockedField>false</o:LockedField>
          </o:OLEObject>
        </w:objec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sz w:val="24"/>
          <w:szCs w:val="24"/>
          <w:highlight w:val="none"/>
        </w:rPr>
        <w:t>第</w:t>
      </w:r>
      <w:r>
        <w:rPr>
          <w:rFonts w:hint="default" w:ascii="Times New Roman" w:hAnsi="Times New Roman" w:eastAsia="宋体" w:cs="Times New Roman"/>
          <w:i/>
          <w:iCs/>
          <w:color w:val="auto"/>
          <w:sz w:val="24"/>
          <w:szCs w:val="24"/>
          <w:highlight w:val="none"/>
        </w:rPr>
        <w:t>i</w:t>
      </w:r>
      <w:r>
        <w:rPr>
          <w:rFonts w:hint="default" w:ascii="Times New Roman" w:hAnsi="Times New Roman" w:eastAsia="宋体" w:cs="Times New Roman"/>
          <w:color w:val="auto"/>
          <w:sz w:val="24"/>
          <w:szCs w:val="24"/>
          <w:highlight w:val="none"/>
        </w:rPr>
        <w:t>个纤维复合材条带纤维方向与水平方向的夹角；</w:t>
      </w:r>
    </w:p>
    <w:p w14:paraId="4CDCE64C">
      <w:pPr>
        <w:widowControl/>
        <w:spacing w:line="360" w:lineRule="exact"/>
        <w:ind w:firstLine="600" w:firstLineChars="250"/>
        <w:jc w:val="left"/>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i/>
          <w:iCs/>
          <w:color w:val="auto"/>
          <w:sz w:val="24"/>
          <w:szCs w:val="24"/>
          <w:highlight w:val="none"/>
        </w:rPr>
        <w:t>n</w:t>
      </w:r>
      <w:r>
        <w:rPr>
          <w:rFonts w:hint="default" w:ascii="Times New Roman" w:hAnsi="Times New Roman" w:eastAsia="宋体" w:cs="Times New Roman"/>
          <w:color w:val="auto"/>
          <w:kern w:val="0"/>
          <w:sz w:val="24"/>
          <w:szCs w:val="24"/>
          <w:highlight w:val="none"/>
        </w:rPr>
        <w:t>——穿过计算斜截面的纤维复合材条带数。当纤维复合材在条带端部构造不满足本规程第</w:t>
      </w:r>
      <w:r>
        <w:rPr>
          <w:rFonts w:hint="default" w:ascii="Times New Roman" w:hAnsi="Times New Roman" w:eastAsia="宋体" w:cs="Times New Roman"/>
          <w:color w:val="auto"/>
          <w:kern w:val="0"/>
          <w:sz w:val="24"/>
          <w:szCs w:val="24"/>
          <w:highlight w:val="none"/>
          <w:lang w:val="en-US" w:eastAsia="zh-CN"/>
        </w:rPr>
        <w:t>6</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kern w:val="0"/>
          <w:sz w:val="24"/>
          <w:szCs w:val="24"/>
          <w:highlight w:val="none"/>
          <w:lang w:val="en-US" w:eastAsia="zh-CN"/>
        </w:rPr>
        <w:t>3</w:t>
      </w:r>
      <w:r>
        <w:rPr>
          <w:rFonts w:hint="default" w:ascii="Times New Roman" w:hAnsi="Times New Roman" w:eastAsia="宋体" w:cs="Times New Roman"/>
          <w:color w:val="auto"/>
          <w:kern w:val="0"/>
          <w:sz w:val="24"/>
          <w:szCs w:val="24"/>
          <w:highlight w:val="none"/>
        </w:rPr>
        <w:t>.4</w:t>
      </w:r>
      <w:r>
        <w:rPr>
          <w:rFonts w:hint="eastAsia" w:ascii="Times New Roman" w:hAnsi="Times New Roman" w:eastAsia="宋体" w:cs="Times New Roman"/>
          <w:color w:val="auto"/>
          <w:kern w:val="0"/>
          <w:sz w:val="24"/>
          <w:szCs w:val="24"/>
          <w:highlight w:val="none"/>
          <w:lang w:val="en-US" w:eastAsia="zh-CN"/>
        </w:rPr>
        <w:t>9</w:t>
      </w:r>
      <w:r>
        <w:rPr>
          <w:rFonts w:hint="default" w:ascii="Times New Roman" w:hAnsi="Times New Roman" w:eastAsia="宋体" w:cs="Times New Roman"/>
          <w:color w:val="auto"/>
          <w:kern w:val="0"/>
          <w:sz w:val="24"/>
          <w:szCs w:val="24"/>
          <w:highlight w:val="none"/>
        </w:rPr>
        <w:t>条锚固要求时，不应考虑其对受剪承载力的贡献。</w:t>
      </w:r>
    </w:p>
    <w:p w14:paraId="350FA860">
      <w:pPr>
        <w:widowControl/>
        <w:adjustRightInd w:val="0"/>
        <w:spacing w:line="360" w:lineRule="exact"/>
        <w:ind w:firstLine="840" w:firstLineChars="350"/>
        <w:jc w:val="left"/>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注：对平斜粘贴方式，应按水平粘贴方式和交叉方式分别用式（</w:t>
      </w:r>
      <w:r>
        <w:rPr>
          <w:rFonts w:hint="default" w:ascii="Times New Roman" w:hAnsi="Times New Roman" w:eastAsia="宋体" w:cs="Times New Roman"/>
          <w:color w:val="auto"/>
          <w:kern w:val="0"/>
          <w:sz w:val="24"/>
          <w:szCs w:val="24"/>
          <w:highlight w:val="none"/>
          <w:lang w:val="en-US" w:eastAsia="zh-CN"/>
        </w:rPr>
        <w:t>6</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kern w:val="0"/>
          <w:sz w:val="24"/>
          <w:szCs w:val="24"/>
          <w:highlight w:val="none"/>
          <w:lang w:val="en-US" w:eastAsia="zh-CN"/>
        </w:rPr>
        <w:t>3</w:t>
      </w:r>
      <w:r>
        <w:rPr>
          <w:rFonts w:hint="default" w:ascii="Times New Roman" w:hAnsi="Times New Roman" w:eastAsia="宋体" w:cs="Times New Roman"/>
          <w:color w:val="auto"/>
          <w:kern w:val="0"/>
          <w:sz w:val="24"/>
          <w:szCs w:val="24"/>
          <w:highlight w:val="none"/>
        </w:rPr>
        <w:t>.46）计算后叠加而得。</w:t>
      </w:r>
    </w:p>
    <w:p w14:paraId="737D524F">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default" w:ascii="宋体" w:hAnsi="宋体" w:eastAsia="宋体" w:cs="宋体"/>
          <w:color w:val="auto"/>
          <w:spacing w:val="-2"/>
          <w:sz w:val="28"/>
          <w:szCs w:val="28"/>
          <w:lang w:val="en-US" w:eastAsia="zh-CN"/>
        </w:rPr>
      </w:pPr>
      <w:r>
        <w:rPr>
          <w:rFonts w:hint="default" w:ascii="宋体" w:hAnsi="宋体" w:eastAsia="宋体" w:cs="宋体"/>
          <w:color w:val="auto"/>
          <w:spacing w:val="-2"/>
          <w:sz w:val="28"/>
          <w:szCs w:val="28"/>
          <w:lang w:val="en-US" w:eastAsia="zh-CN"/>
        </w:rPr>
        <w:t>表6.3.44-1 水平粘贴方式纤维复合材参与工作系数</w:t>
      </w:r>
      <w:r>
        <w:rPr>
          <w:rFonts w:hint="default" w:ascii="宋体" w:hAnsi="宋体" w:eastAsia="宋体" w:cs="宋体"/>
          <w:color w:val="auto"/>
          <w:spacing w:val="-2"/>
          <w:sz w:val="28"/>
          <w:szCs w:val="28"/>
          <w:lang w:val="en-US" w:eastAsia="zh-CN"/>
        </w:rPr>
        <w:sym w:font="Symbol" w:char="F061"/>
      </w:r>
      <w:r>
        <w:rPr>
          <w:rFonts w:hint="default" w:ascii="宋体" w:hAnsi="宋体" w:eastAsia="宋体" w:cs="宋体"/>
          <w:color w:val="auto"/>
          <w:spacing w:val="-2"/>
          <w:sz w:val="28"/>
          <w:szCs w:val="28"/>
          <w:vertAlign w:val="subscript"/>
          <w:lang w:val="en-US" w:eastAsia="zh-CN"/>
        </w:rPr>
        <w:t>f</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7"/>
        <w:gridCol w:w="1417"/>
        <w:gridCol w:w="1642"/>
        <w:gridCol w:w="1642"/>
        <w:gridCol w:w="1642"/>
        <w:gridCol w:w="1643"/>
      </w:tblGrid>
      <w:tr w14:paraId="4CBDE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7" w:type="dxa"/>
          </w:tcPr>
          <w:p w14:paraId="2FA703E8">
            <w:pPr>
              <w:widowControl/>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墙体高宽比</w:t>
            </w:r>
          </w:p>
        </w:tc>
        <w:tc>
          <w:tcPr>
            <w:tcW w:w="1417" w:type="dxa"/>
          </w:tcPr>
          <w:p w14:paraId="64B96BFA">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0.4</w:t>
            </w:r>
          </w:p>
        </w:tc>
        <w:tc>
          <w:tcPr>
            <w:tcW w:w="1642" w:type="dxa"/>
          </w:tcPr>
          <w:p w14:paraId="0B56FF44">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0.6</w:t>
            </w:r>
          </w:p>
        </w:tc>
        <w:tc>
          <w:tcPr>
            <w:tcW w:w="1642" w:type="dxa"/>
          </w:tcPr>
          <w:p w14:paraId="42FE2802">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0.8</w:t>
            </w:r>
          </w:p>
        </w:tc>
        <w:tc>
          <w:tcPr>
            <w:tcW w:w="1642" w:type="dxa"/>
          </w:tcPr>
          <w:p w14:paraId="5A8FCD8B">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1.0</w:t>
            </w:r>
          </w:p>
        </w:tc>
        <w:tc>
          <w:tcPr>
            <w:tcW w:w="1643" w:type="dxa"/>
          </w:tcPr>
          <w:p w14:paraId="1A35BF63">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1.2</w:t>
            </w:r>
          </w:p>
        </w:tc>
      </w:tr>
      <w:tr w14:paraId="641A7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7" w:type="dxa"/>
          </w:tcPr>
          <w:p w14:paraId="3CACF464">
            <w:pPr>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kern w:val="0"/>
                <w:sz w:val="24"/>
                <w:szCs w:val="24"/>
                <w:highlight w:val="none"/>
              </w:rPr>
              <w:t>参与工作系数</w:t>
            </w:r>
            <w:r>
              <w:rPr>
                <w:rFonts w:hint="default" w:ascii="Times New Roman" w:hAnsi="Times New Roman" w:eastAsia="宋体" w:cs="Times New Roman"/>
                <w:i/>
                <w:iCs/>
                <w:color w:val="auto"/>
                <w:kern w:val="0"/>
                <w:sz w:val="24"/>
                <w:szCs w:val="24"/>
                <w:highlight w:val="none"/>
              </w:rPr>
              <w:sym w:font="Symbol" w:char="F061"/>
            </w:r>
            <w:r>
              <w:rPr>
                <w:rFonts w:hint="default" w:ascii="Times New Roman" w:hAnsi="Times New Roman" w:eastAsia="宋体" w:cs="Times New Roman"/>
                <w:color w:val="auto"/>
                <w:kern w:val="0"/>
                <w:sz w:val="24"/>
                <w:szCs w:val="24"/>
                <w:highlight w:val="none"/>
                <w:vertAlign w:val="subscript"/>
              </w:rPr>
              <w:t>f</w:t>
            </w:r>
          </w:p>
        </w:tc>
        <w:tc>
          <w:tcPr>
            <w:tcW w:w="1417" w:type="dxa"/>
          </w:tcPr>
          <w:p w14:paraId="7C970574">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0.40</w:t>
            </w:r>
          </w:p>
        </w:tc>
        <w:tc>
          <w:tcPr>
            <w:tcW w:w="1642" w:type="dxa"/>
          </w:tcPr>
          <w:p w14:paraId="526C7B14">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0.50</w:t>
            </w:r>
          </w:p>
        </w:tc>
        <w:tc>
          <w:tcPr>
            <w:tcW w:w="1642" w:type="dxa"/>
          </w:tcPr>
          <w:p w14:paraId="3A2E9D10">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0.55</w:t>
            </w:r>
          </w:p>
        </w:tc>
        <w:tc>
          <w:tcPr>
            <w:tcW w:w="1642" w:type="dxa"/>
          </w:tcPr>
          <w:p w14:paraId="5E54F564">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0.60</w:t>
            </w:r>
          </w:p>
        </w:tc>
        <w:tc>
          <w:tcPr>
            <w:tcW w:w="1643" w:type="dxa"/>
          </w:tcPr>
          <w:p w14:paraId="478405EF">
            <w:pPr>
              <w:jc w:val="center"/>
              <w:rPr>
                <w:rFonts w:hint="eastAsia"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rPr>
              <w:t>0.6</w:t>
            </w:r>
            <w:r>
              <w:rPr>
                <w:rFonts w:hint="eastAsia" w:ascii="Times New Roman" w:hAnsi="Times New Roman" w:eastAsia="宋体" w:cs="Times New Roman"/>
                <w:bCs/>
                <w:color w:val="auto"/>
                <w:sz w:val="24"/>
                <w:szCs w:val="24"/>
                <w:highlight w:val="none"/>
                <w:lang w:val="en-US" w:eastAsia="zh-CN"/>
              </w:rPr>
              <w:t>0</w:t>
            </w:r>
          </w:p>
        </w:tc>
      </w:tr>
    </w:tbl>
    <w:p w14:paraId="1AAF7094">
      <w:pPr>
        <w:rPr>
          <w:rFonts w:hint="default" w:ascii="Times New Roman" w:hAnsi="Times New Roman" w:eastAsia="宋体" w:cs="Times New Roman"/>
          <w:b/>
          <w:color w:val="auto"/>
          <w:sz w:val="24"/>
          <w:szCs w:val="24"/>
          <w:highlight w:val="none"/>
        </w:rPr>
      </w:pPr>
    </w:p>
    <w:p w14:paraId="028AEA57">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default" w:ascii="宋体" w:hAnsi="宋体" w:eastAsia="宋体" w:cs="宋体"/>
          <w:color w:val="auto"/>
          <w:spacing w:val="-2"/>
          <w:sz w:val="28"/>
          <w:szCs w:val="28"/>
          <w:lang w:val="en-US" w:eastAsia="zh-CN"/>
        </w:rPr>
      </w:pPr>
      <w:r>
        <w:rPr>
          <w:rFonts w:hint="default" w:ascii="宋体" w:hAnsi="宋体" w:eastAsia="宋体" w:cs="宋体"/>
          <w:color w:val="auto"/>
          <w:spacing w:val="-2"/>
          <w:sz w:val="28"/>
          <w:szCs w:val="28"/>
          <w:lang w:val="en-US" w:eastAsia="zh-CN"/>
        </w:rPr>
        <w:t>表6.3.44-2 交叉粘贴方式纤维复合材参与工作系数</w:t>
      </w:r>
      <w:r>
        <w:rPr>
          <w:rFonts w:hint="default" w:ascii="宋体" w:hAnsi="宋体" w:eastAsia="宋体" w:cs="宋体"/>
          <w:color w:val="auto"/>
          <w:spacing w:val="-2"/>
          <w:sz w:val="28"/>
          <w:szCs w:val="28"/>
          <w:lang w:val="en-US" w:eastAsia="zh-CN"/>
        </w:rPr>
        <w:sym w:font="Symbol" w:char="F061"/>
      </w:r>
      <w:r>
        <w:rPr>
          <w:rFonts w:hint="default" w:ascii="宋体" w:hAnsi="宋体" w:eastAsia="宋体" w:cs="宋体"/>
          <w:color w:val="auto"/>
          <w:spacing w:val="-2"/>
          <w:sz w:val="28"/>
          <w:szCs w:val="28"/>
          <w:vertAlign w:val="subscript"/>
          <w:lang w:val="en-US" w:eastAsia="zh-CN"/>
        </w:rPr>
        <w:t>f</w:t>
      </w:r>
    </w:p>
    <w:tbl>
      <w:tblPr>
        <w:tblStyle w:val="25"/>
        <w:tblpPr w:leftFromText="180" w:rightFromText="180" w:vertAnchor="text" w:horzAnchor="page" w:tblpX="1409" w:tblpY="322"/>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92"/>
        <w:gridCol w:w="1404"/>
        <w:gridCol w:w="1404"/>
        <w:gridCol w:w="1404"/>
        <w:gridCol w:w="1405"/>
      </w:tblGrid>
      <w:tr w14:paraId="7A4E2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2" w:type="dxa"/>
          </w:tcPr>
          <w:p w14:paraId="6A0D052D">
            <w:pPr>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穿过计算斜截面纤维布条带数</w:t>
            </w:r>
            <w:r>
              <w:rPr>
                <w:rFonts w:hint="default" w:ascii="Times New Roman" w:hAnsi="Times New Roman" w:eastAsia="宋体" w:cs="Times New Roman"/>
                <w:i/>
                <w:iCs/>
                <w:color w:val="auto"/>
                <w:sz w:val="24"/>
                <w:szCs w:val="24"/>
                <w:highlight w:val="none"/>
              </w:rPr>
              <w:t>n</w:t>
            </w:r>
          </w:p>
        </w:tc>
        <w:tc>
          <w:tcPr>
            <w:tcW w:w="1404" w:type="dxa"/>
          </w:tcPr>
          <w:p w14:paraId="67DBE4A9">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1</w:t>
            </w:r>
          </w:p>
        </w:tc>
        <w:tc>
          <w:tcPr>
            <w:tcW w:w="1404" w:type="dxa"/>
          </w:tcPr>
          <w:p w14:paraId="63D53A97">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2</w:t>
            </w:r>
          </w:p>
        </w:tc>
        <w:tc>
          <w:tcPr>
            <w:tcW w:w="1404" w:type="dxa"/>
          </w:tcPr>
          <w:p w14:paraId="755A058A">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3</w:t>
            </w:r>
          </w:p>
        </w:tc>
        <w:tc>
          <w:tcPr>
            <w:tcW w:w="1405" w:type="dxa"/>
          </w:tcPr>
          <w:p w14:paraId="09CCCC35">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4</w:t>
            </w:r>
          </w:p>
        </w:tc>
      </w:tr>
      <w:tr w14:paraId="6E2B8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2" w:type="dxa"/>
          </w:tcPr>
          <w:p w14:paraId="4319E253">
            <w:pPr>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kern w:val="0"/>
                <w:sz w:val="24"/>
                <w:szCs w:val="24"/>
                <w:highlight w:val="none"/>
              </w:rPr>
              <w:t>参与工作系数</w:t>
            </w:r>
            <w:r>
              <w:rPr>
                <w:rFonts w:hint="default" w:ascii="Times New Roman" w:hAnsi="Times New Roman" w:eastAsia="宋体" w:cs="Times New Roman"/>
                <w:i/>
                <w:iCs/>
                <w:color w:val="auto"/>
                <w:kern w:val="0"/>
                <w:sz w:val="24"/>
                <w:szCs w:val="24"/>
                <w:highlight w:val="none"/>
              </w:rPr>
              <w:sym w:font="Symbol" w:char="F061"/>
            </w:r>
            <w:r>
              <w:rPr>
                <w:rFonts w:hint="default" w:ascii="Times New Roman" w:hAnsi="Times New Roman" w:eastAsia="宋体" w:cs="Times New Roman"/>
                <w:color w:val="auto"/>
                <w:kern w:val="0"/>
                <w:sz w:val="24"/>
                <w:szCs w:val="24"/>
                <w:highlight w:val="none"/>
                <w:vertAlign w:val="subscript"/>
              </w:rPr>
              <w:t>f</w:t>
            </w:r>
          </w:p>
        </w:tc>
        <w:tc>
          <w:tcPr>
            <w:tcW w:w="1404" w:type="dxa"/>
          </w:tcPr>
          <w:p w14:paraId="5F8C77D2">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1.0</w:t>
            </w:r>
          </w:p>
        </w:tc>
        <w:tc>
          <w:tcPr>
            <w:tcW w:w="1404" w:type="dxa"/>
          </w:tcPr>
          <w:p w14:paraId="456B0887">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0.85</w:t>
            </w:r>
          </w:p>
        </w:tc>
        <w:tc>
          <w:tcPr>
            <w:tcW w:w="1404" w:type="dxa"/>
          </w:tcPr>
          <w:p w14:paraId="617393F6">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0.70</w:t>
            </w:r>
          </w:p>
        </w:tc>
        <w:tc>
          <w:tcPr>
            <w:tcW w:w="1405" w:type="dxa"/>
          </w:tcPr>
          <w:p w14:paraId="4FD37717">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0.60</w:t>
            </w:r>
          </w:p>
        </w:tc>
      </w:tr>
    </w:tbl>
    <w:p w14:paraId="70CB6383">
      <w:pPr>
        <w:rPr>
          <w:rFonts w:hint="default" w:ascii="Times New Roman" w:hAnsi="Times New Roman" w:eastAsia="宋体" w:cs="Times New Roman"/>
          <w:b/>
          <w:color w:val="auto"/>
          <w:sz w:val="24"/>
          <w:szCs w:val="24"/>
          <w:highlight w:val="none"/>
        </w:rPr>
      </w:pPr>
    </w:p>
    <w:p w14:paraId="3D2206F0">
      <w:pPr>
        <w:spacing w:line="36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lang w:val="en-US" w:eastAsia="zh-CN"/>
        </w:rPr>
        <w:t>6</w:t>
      </w:r>
      <w:r>
        <w:rPr>
          <w:rFonts w:hint="default" w:ascii="Times New Roman" w:hAnsi="Times New Roman" w:eastAsia="宋体" w:cs="Times New Roman"/>
          <w:b/>
          <w:color w:val="auto"/>
          <w:sz w:val="24"/>
          <w:szCs w:val="24"/>
          <w:highlight w:val="none"/>
        </w:rPr>
        <w:t>.3.4</w:t>
      </w:r>
      <w:r>
        <w:rPr>
          <w:rFonts w:hint="default" w:ascii="Times New Roman" w:hAnsi="Times New Roman" w:eastAsia="宋体" w:cs="Times New Roman"/>
          <w:b/>
          <w:color w:val="auto"/>
          <w:sz w:val="24"/>
          <w:szCs w:val="24"/>
          <w:highlight w:val="none"/>
          <w:lang w:val="en-US" w:eastAsia="zh-CN"/>
        </w:rPr>
        <w:t>5</w:t>
      </w:r>
      <w:r>
        <w:rPr>
          <w:rFonts w:hint="default" w:ascii="Times New Roman" w:hAnsi="Times New Roman" w:eastAsia="宋体" w:cs="Times New Roman"/>
          <w:b/>
          <w:color w:val="auto"/>
          <w:sz w:val="24"/>
          <w:szCs w:val="24"/>
          <w:highlight w:val="none"/>
        </w:rPr>
        <w:t xml:space="preserve"> </w:t>
      </w:r>
      <w:r>
        <w:rPr>
          <w:rFonts w:hint="default" w:ascii="Times New Roman" w:hAnsi="Times New Roman" w:eastAsia="宋体" w:cs="Times New Roman"/>
          <w:color w:val="auto"/>
          <w:sz w:val="24"/>
          <w:szCs w:val="24"/>
          <w:highlight w:val="none"/>
        </w:rPr>
        <w:t>粘贴纤维布对砖墙进行抗震加固时，应采用连续粘贴形式，以增强墙体的整体性能。</w:t>
      </w:r>
    </w:p>
    <w:p w14:paraId="279A4102">
      <w:pPr>
        <w:spacing w:line="360" w:lineRule="exact"/>
        <w:rPr>
          <w:rFonts w:hint="default" w:ascii="Times New Roman" w:hAnsi="Times New Roman" w:eastAsia="宋体" w:cs="Times New Roman"/>
          <w:snapToGrid w:val="0"/>
          <w:color w:val="auto"/>
          <w:sz w:val="24"/>
          <w:szCs w:val="24"/>
          <w:highlight w:val="none"/>
        </w:rPr>
      </w:pPr>
      <w:bookmarkStart w:id="108" w:name="_Toc15874"/>
      <w:r>
        <w:rPr>
          <w:rFonts w:hint="default" w:ascii="Times New Roman" w:hAnsi="Times New Roman" w:eastAsia="宋体" w:cs="Times New Roman"/>
          <w:b/>
          <w:snapToGrid w:val="0"/>
          <w:color w:val="auto"/>
          <w:sz w:val="24"/>
          <w:szCs w:val="24"/>
          <w:highlight w:val="none"/>
          <w:lang w:val="en-US" w:eastAsia="zh-CN"/>
        </w:rPr>
        <w:t>6</w:t>
      </w:r>
      <w:r>
        <w:rPr>
          <w:rFonts w:hint="default" w:ascii="Times New Roman" w:hAnsi="Times New Roman" w:eastAsia="宋体" w:cs="Times New Roman"/>
          <w:b/>
          <w:snapToGrid w:val="0"/>
          <w:color w:val="auto"/>
          <w:sz w:val="24"/>
          <w:szCs w:val="24"/>
          <w:highlight w:val="none"/>
        </w:rPr>
        <w:t>.3.4</w:t>
      </w:r>
      <w:r>
        <w:rPr>
          <w:rFonts w:hint="default" w:ascii="Times New Roman" w:hAnsi="Times New Roman" w:eastAsia="宋体" w:cs="Times New Roman"/>
          <w:b/>
          <w:snapToGrid w:val="0"/>
          <w:color w:val="auto"/>
          <w:sz w:val="24"/>
          <w:szCs w:val="24"/>
          <w:highlight w:val="none"/>
          <w:lang w:val="en-US" w:eastAsia="zh-CN"/>
        </w:rPr>
        <w:t>6</w:t>
      </w:r>
      <w:r>
        <w:rPr>
          <w:rFonts w:hint="default" w:ascii="Times New Roman" w:hAnsi="Times New Roman" w:eastAsia="宋体" w:cs="Times New Roman"/>
          <w:snapToGrid w:val="0"/>
          <w:color w:val="auto"/>
          <w:sz w:val="24"/>
          <w:szCs w:val="24"/>
          <w:highlight w:val="none"/>
        </w:rPr>
        <w:t xml:space="preserve"> 粘贴纤维布加固砌体墙的抗震受剪承载力应按下列公式计算：</w:t>
      </w:r>
      <w:bookmarkEnd w:id="108"/>
    </w:p>
    <w:p w14:paraId="06AB7CA8">
      <w:pPr>
        <w:spacing w:line="360" w:lineRule="exact"/>
        <w:ind w:firstLine="4320" w:firstLineChars="18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position w:val="-12"/>
          <w:sz w:val="24"/>
          <w:szCs w:val="24"/>
          <w:highlight w:val="none"/>
        </w:rPr>
        <w:object>
          <v:shape id="_x0000_i1152" o:spt="75" type="#_x0000_t75" style="height:18pt;width:61.5pt;" o:ole="t" filled="f" o:preferrelative="t" stroked="f" coordsize="21600,21600">
            <v:path/>
            <v:fill on="f" focussize="0,0"/>
            <v:stroke on="f" joinstyle="miter"/>
            <v:imagedata r:id="rId246" o:title=""/>
            <o:lock v:ext="edit" aspectratio="t"/>
            <w10:wrap type="none"/>
            <w10:anchorlock/>
          </v:shape>
          <o:OLEObject Type="Embed" ProgID="Equation.DSMT4" ShapeID="_x0000_i1152" DrawAspect="Content" ObjectID="_1468075852" r:id="rId245">
            <o:LockedField>false</o:LockedField>
          </o:OLEObject>
        </w:objec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.4</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-1）</w:t>
      </w:r>
    </w:p>
    <w:p w14:paraId="06489788">
      <w:pPr>
        <w:spacing w:line="360" w:lineRule="exact"/>
        <w:ind w:firstLine="4320" w:firstLineChars="18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position w:val="-12"/>
          <w:sz w:val="24"/>
          <w:szCs w:val="24"/>
          <w:highlight w:val="none"/>
        </w:rPr>
        <w:object>
          <v:shape id="_x0000_i1153" o:spt="75" type="#_x0000_t75" style="height:18pt;width:65.5pt;" o:ole="t" filled="f" o:preferrelative="t" stroked="f" coordsize="21600,21600">
            <v:path/>
            <v:fill on="f" focussize="0,0"/>
            <v:stroke on="f" joinstyle="miter"/>
            <v:imagedata r:id="rId248" o:title=""/>
            <o:lock v:ext="edit" aspectratio="t"/>
            <w10:wrap type="none"/>
            <w10:anchorlock/>
          </v:shape>
          <o:OLEObject Type="Embed" ProgID="Equation.DSMT4" ShapeID="_x0000_i1153" DrawAspect="Content" ObjectID="_1468075853" r:id="rId247">
            <o:LockedField>false</o:LockedField>
          </o:OLEObject>
        </w:objec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.4</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-2）</w:t>
      </w:r>
    </w:p>
    <w:p w14:paraId="7CCEAC78">
      <w:pPr>
        <w:widowControl/>
        <w:spacing w:line="360" w:lineRule="exact"/>
        <w:jc w:val="left"/>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式中</w:t>
      </w:r>
      <w:r>
        <w:rPr>
          <w:rFonts w:hint="default" w:ascii="Times New Roman" w:hAnsi="Times New Roman" w:eastAsia="宋体" w:cs="Times New Roman"/>
          <w:i/>
          <w:iCs/>
          <w:color w:val="auto"/>
          <w:kern w:val="0"/>
          <w:sz w:val="24"/>
          <w:szCs w:val="24"/>
          <w:highlight w:val="none"/>
        </w:rPr>
        <w:t>V</w:t>
      </w:r>
      <w:r>
        <w:rPr>
          <w:rFonts w:hint="default" w:ascii="Times New Roman" w:hAnsi="Times New Roman" w:eastAsia="宋体" w:cs="Times New Roman"/>
          <w:color w:val="auto"/>
          <w:kern w:val="0"/>
          <w:sz w:val="24"/>
          <w:szCs w:val="24"/>
          <w:highlight w:val="none"/>
        </w:rPr>
        <w:t>——考虑地震组合的墙体剪力设计值；</w:t>
      </w:r>
    </w:p>
    <w:p w14:paraId="17C4300D">
      <w:pPr>
        <w:widowControl/>
        <w:spacing w:line="360" w:lineRule="exact"/>
        <w:ind w:firstLine="480" w:firstLineChars="200"/>
        <w:jc w:val="left"/>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position w:val="-12"/>
          <w:sz w:val="24"/>
          <w:szCs w:val="24"/>
          <w:highlight w:val="none"/>
        </w:rPr>
        <w:object>
          <v:shape id="_x0000_i1154" o:spt="75" type="#_x0000_t75" style="height:18pt;width:20pt;" o:ole="t" filled="f" o:preferrelative="t" stroked="f" coordsize="21600,21600">
            <v:path/>
            <v:fill on="f" focussize="0,0"/>
            <v:stroke on="f" joinstyle="miter"/>
            <v:imagedata r:id="rId250" o:title=""/>
            <o:lock v:ext="edit" aspectratio="t"/>
            <w10:wrap type="none"/>
            <w10:anchorlock/>
          </v:shape>
          <o:OLEObject Type="Embed" ProgID="Equation.DSMT4" ShapeID="_x0000_i1154" DrawAspect="Content" ObjectID="_1468075854" r:id="rId249">
            <o:LockedField>false</o:LockedField>
          </o:OLEObject>
        </w:object>
      </w:r>
      <w:r>
        <w:rPr>
          <w:rFonts w:hint="default" w:ascii="Times New Roman" w:hAnsi="Times New Roman" w:eastAsia="宋体" w:cs="Times New Roman"/>
          <w:color w:val="auto"/>
          <w:kern w:val="0"/>
          <w:sz w:val="24"/>
          <w:szCs w:val="24"/>
          <w:highlight w:val="none"/>
        </w:rPr>
        <w:t>——原砌体抗震受剪承载力，按现行国家标准《砌体结构设计规范》GB 50003的有关规定计算确定；</w:t>
      </w:r>
    </w:p>
    <w:p w14:paraId="5FE1B956">
      <w:pPr>
        <w:widowControl/>
        <w:spacing w:line="360" w:lineRule="exact"/>
        <w:ind w:firstLine="480" w:firstLineChars="200"/>
        <w:jc w:val="left"/>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position w:val="-12"/>
          <w:sz w:val="24"/>
          <w:szCs w:val="24"/>
          <w:highlight w:val="none"/>
        </w:rPr>
        <w:object>
          <v:shape id="_x0000_i1155" o:spt="75" type="#_x0000_t75" style="height:18pt;width:14pt;" o:ole="t" filled="f" o:preferrelative="t" stroked="f" coordsize="21600,21600">
            <v:path/>
            <v:fill on="f" focussize="0,0"/>
            <v:stroke on="f" joinstyle="miter"/>
            <v:imagedata r:id="rId252" o:title=""/>
            <o:lock v:ext="edit" aspectratio="t"/>
            <w10:wrap type="none"/>
            <w10:anchorlock/>
          </v:shape>
          <o:OLEObject Type="Embed" ProgID="Equation.DSMT4" ShapeID="_x0000_i1155" DrawAspect="Content" ObjectID="_1468075855" r:id="rId251">
            <o:LockedField>false</o:LockedField>
          </o:OLEObject>
        </w:object>
      </w:r>
      <w:r>
        <w:rPr>
          <w:rFonts w:hint="default" w:ascii="Times New Roman" w:hAnsi="Times New Roman" w:eastAsia="宋体" w:cs="Times New Roman"/>
          <w:color w:val="auto"/>
          <w:kern w:val="0"/>
          <w:sz w:val="24"/>
          <w:szCs w:val="24"/>
          <w:highlight w:val="none"/>
        </w:rPr>
        <w:t>——采用纤维复合材加固后提高的抗震受剪承载力，按本规程第</w:t>
      </w:r>
      <w:r>
        <w:rPr>
          <w:rFonts w:hint="default" w:ascii="Times New Roman" w:hAnsi="Times New Roman" w:eastAsia="宋体" w:cs="Times New Roman"/>
          <w:color w:val="auto"/>
          <w:kern w:val="0"/>
          <w:sz w:val="24"/>
          <w:szCs w:val="24"/>
          <w:highlight w:val="none"/>
          <w:lang w:val="en-US" w:eastAsia="zh-CN"/>
        </w:rPr>
        <w:t>6</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kern w:val="0"/>
          <w:sz w:val="24"/>
          <w:szCs w:val="24"/>
          <w:highlight w:val="none"/>
          <w:lang w:val="en-US" w:eastAsia="zh-CN"/>
        </w:rPr>
        <w:t>3</w:t>
      </w:r>
      <w:r>
        <w:rPr>
          <w:rFonts w:hint="default" w:ascii="Times New Roman" w:hAnsi="Times New Roman" w:eastAsia="宋体" w:cs="Times New Roman"/>
          <w:color w:val="auto"/>
          <w:kern w:val="0"/>
          <w:sz w:val="24"/>
          <w:szCs w:val="24"/>
          <w:highlight w:val="none"/>
        </w:rPr>
        <w:t>.4</w:t>
      </w:r>
      <w:r>
        <w:rPr>
          <w:rFonts w:hint="default" w:ascii="Times New Roman" w:hAnsi="Times New Roman" w:eastAsia="宋体" w:cs="Times New Roman"/>
          <w:color w:val="auto"/>
          <w:kern w:val="0"/>
          <w:sz w:val="24"/>
          <w:szCs w:val="24"/>
          <w:highlight w:val="none"/>
          <w:lang w:val="en-US" w:eastAsia="zh-CN"/>
        </w:rPr>
        <w:t>4</w:t>
      </w:r>
      <w:r>
        <w:rPr>
          <w:rFonts w:hint="default" w:ascii="Times New Roman" w:hAnsi="Times New Roman" w:eastAsia="宋体" w:cs="Times New Roman"/>
          <w:color w:val="auto"/>
          <w:kern w:val="0"/>
          <w:sz w:val="24"/>
          <w:szCs w:val="24"/>
          <w:highlight w:val="none"/>
        </w:rPr>
        <w:t>条计算，但应除以承载力抗震调整系数</w:t>
      </w:r>
      <w:r>
        <w:rPr>
          <w:rFonts w:hint="default" w:ascii="Times New Roman" w:hAnsi="Times New Roman" w:eastAsia="宋体" w:cs="Times New Roman"/>
          <w:color w:val="auto"/>
          <w:position w:val="-12"/>
          <w:sz w:val="24"/>
          <w:szCs w:val="24"/>
          <w:highlight w:val="none"/>
        </w:rPr>
        <w:object>
          <v:shape id="_x0000_i1156" o:spt="75" type="#_x0000_t75" style="height:18pt;width:19pt;" o:ole="t" filled="f" o:preferrelative="t" stroked="f" coordsize="21600,21600">
            <v:path/>
            <v:fill on="f" focussize="0,0"/>
            <v:stroke on="f" joinstyle="miter"/>
            <v:imagedata r:id="rId254" o:title=""/>
            <o:lock v:ext="edit" aspectratio="t"/>
            <w10:wrap type="none"/>
            <w10:anchorlock/>
          </v:shape>
          <o:OLEObject Type="Embed" ProgID="Equation.DSMT4" ShapeID="_x0000_i1156" DrawAspect="Content" ObjectID="_1468075856" r:id="rId253">
            <o:LockedField>false</o:LockedField>
          </o:OLEObject>
        </w:object>
      </w:r>
      <w:r>
        <w:rPr>
          <w:rFonts w:hint="default" w:ascii="Times New Roman" w:hAnsi="Times New Roman" w:eastAsia="宋体" w:cs="Times New Roman"/>
          <w:color w:val="auto"/>
          <w:kern w:val="0"/>
          <w:sz w:val="24"/>
          <w:szCs w:val="24"/>
          <w:highlight w:val="none"/>
        </w:rPr>
        <w:t>，一般取</w:t>
      </w:r>
      <w:r>
        <w:rPr>
          <w:rFonts w:hint="default" w:ascii="Times New Roman" w:hAnsi="Times New Roman" w:eastAsia="宋体" w:cs="Times New Roman"/>
          <w:color w:val="auto"/>
          <w:position w:val="-12"/>
          <w:sz w:val="24"/>
          <w:szCs w:val="24"/>
          <w:highlight w:val="none"/>
        </w:rPr>
        <w:object>
          <v:shape id="_x0000_i1157" o:spt="75" type="#_x0000_t75" style="height:18pt;width:19pt;" o:ole="t" filled="f" o:preferrelative="t" stroked="f" coordsize="21600,21600">
            <v:path/>
            <v:fill on="f" focussize="0,0"/>
            <v:stroke on="f" joinstyle="miter"/>
            <v:imagedata r:id="rId256" o:title=""/>
            <o:lock v:ext="edit" aspectratio="t"/>
            <w10:wrap type="none"/>
            <w10:anchorlock/>
          </v:shape>
          <o:OLEObject Type="Embed" ProgID="Equation.DSMT4" ShapeID="_x0000_i1157" DrawAspect="Content" ObjectID="_1468075857" r:id="rId255">
            <o:LockedField>false</o:LockedField>
          </o:OLEObject>
        </w:object>
      </w:r>
      <w:r>
        <w:rPr>
          <w:rFonts w:hint="default" w:ascii="Times New Roman" w:hAnsi="Times New Roman" w:eastAsia="宋体" w:cs="Times New Roman"/>
          <w:color w:val="auto"/>
          <w:kern w:val="0"/>
          <w:sz w:val="24"/>
          <w:szCs w:val="24"/>
          <w:highlight w:val="none"/>
        </w:rPr>
        <w:t>为1.0；若原柱为组合砌体，取</w:t>
      </w:r>
      <w:r>
        <w:rPr>
          <w:rFonts w:hint="default" w:ascii="Times New Roman" w:hAnsi="Times New Roman" w:eastAsia="宋体" w:cs="Times New Roman"/>
          <w:color w:val="auto"/>
          <w:position w:val="-12"/>
          <w:sz w:val="24"/>
          <w:szCs w:val="24"/>
          <w:highlight w:val="none"/>
        </w:rPr>
        <w:object>
          <v:shape id="_x0000_i1158" o:spt="75" type="#_x0000_t75" style="height:18pt;width:19pt;" o:ole="t" filled="f" o:preferrelative="t" stroked="f" coordsize="21600,21600">
            <v:path/>
            <v:fill on="f" focussize="0,0"/>
            <v:stroke on="f" joinstyle="miter"/>
            <v:imagedata r:id="rId258" o:title=""/>
            <o:lock v:ext="edit" aspectratio="t"/>
            <w10:wrap type="none"/>
            <w10:anchorlock/>
          </v:shape>
          <o:OLEObject Type="Embed" ProgID="Equation.DSMT4" ShapeID="_x0000_i1158" DrawAspect="Content" ObjectID="_1468075858" r:id="rId257">
            <o:LockedField>false</o:LockedField>
          </o:OLEObject>
        </w:object>
      </w:r>
      <w:r>
        <w:rPr>
          <w:rFonts w:hint="default" w:ascii="Times New Roman" w:hAnsi="Times New Roman" w:eastAsia="宋体" w:cs="Times New Roman"/>
          <w:color w:val="auto"/>
          <w:kern w:val="0"/>
          <w:sz w:val="24"/>
          <w:szCs w:val="24"/>
          <w:highlight w:val="none"/>
        </w:rPr>
        <w:t>为0.85。</w:t>
      </w:r>
    </w:p>
    <w:p w14:paraId="24307D12">
      <w:pPr>
        <w:spacing w:line="36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lang w:val="en-US" w:eastAsia="zh-CN"/>
        </w:rPr>
        <w:t>6</w:t>
      </w:r>
      <w:r>
        <w:rPr>
          <w:rFonts w:hint="default" w:ascii="Times New Roman" w:hAnsi="Times New Roman" w:eastAsia="宋体" w:cs="Times New Roman"/>
          <w:b/>
          <w:color w:val="auto"/>
          <w:sz w:val="24"/>
          <w:szCs w:val="24"/>
          <w:highlight w:val="none"/>
        </w:rPr>
        <w:t>.3.4</w:t>
      </w:r>
      <w:r>
        <w:rPr>
          <w:rFonts w:hint="default" w:ascii="Times New Roman" w:hAnsi="Times New Roman" w:eastAsia="宋体" w:cs="Times New Roman"/>
          <w:b/>
          <w:color w:val="auto"/>
          <w:sz w:val="24"/>
          <w:szCs w:val="24"/>
          <w:highlight w:val="none"/>
          <w:lang w:val="en-US" w:eastAsia="zh-CN"/>
        </w:rPr>
        <w:t>7</w:t>
      </w:r>
      <w:r>
        <w:rPr>
          <w:rFonts w:hint="default" w:ascii="Times New Roman" w:hAnsi="Times New Roman" w:eastAsia="宋体" w:cs="Times New Roman"/>
          <w:color w:val="auto"/>
          <w:sz w:val="24"/>
          <w:szCs w:val="24"/>
          <w:highlight w:val="none"/>
        </w:rPr>
        <w:t xml:space="preserve"> 纤维布条带在全墙面上宜等间距均匀布置，条带宽度不宜小于100mm，条带的最大净间距不宜大于三皮砖块的高度，也不宜大于200mm。</w:t>
      </w:r>
    </w:p>
    <w:p w14:paraId="2783C303">
      <w:pPr>
        <w:spacing w:line="360" w:lineRule="exact"/>
        <w:rPr>
          <w:rFonts w:hint="default" w:ascii="Times New Roman" w:hAnsi="Times New Roman" w:eastAsia="宋体" w:cs="Times New Roman"/>
          <w:color w:val="auto"/>
          <w:sz w:val="24"/>
          <w:szCs w:val="24"/>
          <w:highlight w:val="none"/>
        </w:rPr>
      </w:pPr>
      <w:bookmarkStart w:id="109" w:name="_Toc831"/>
      <w:r>
        <w:rPr>
          <w:rFonts w:hint="default" w:ascii="Times New Roman" w:hAnsi="Times New Roman" w:eastAsia="宋体" w:cs="Times New Roman"/>
          <w:b/>
          <w:color w:val="auto"/>
          <w:sz w:val="24"/>
          <w:szCs w:val="24"/>
          <w:highlight w:val="none"/>
          <w:lang w:val="en-US" w:eastAsia="zh-CN"/>
        </w:rPr>
        <w:t>6</w:t>
      </w:r>
      <w:r>
        <w:rPr>
          <w:rFonts w:hint="default" w:ascii="Times New Roman" w:hAnsi="Times New Roman" w:eastAsia="宋体" w:cs="Times New Roman"/>
          <w:b/>
          <w:color w:val="auto"/>
          <w:sz w:val="24"/>
          <w:szCs w:val="24"/>
          <w:highlight w:val="none"/>
        </w:rPr>
        <w:t>.3.4</w:t>
      </w:r>
      <w:r>
        <w:rPr>
          <w:rFonts w:hint="default" w:ascii="Times New Roman" w:hAnsi="Times New Roman" w:eastAsia="宋体" w:cs="Times New Roman"/>
          <w:b/>
          <w:color w:val="auto"/>
          <w:sz w:val="24"/>
          <w:szCs w:val="24"/>
          <w:highlight w:val="none"/>
          <w:lang w:val="en-US" w:eastAsia="zh-CN"/>
        </w:rPr>
        <w:t>8</w:t>
      </w:r>
      <w:r>
        <w:rPr>
          <w:rFonts w:hint="default" w:ascii="Times New Roman" w:hAnsi="Times New Roman" w:eastAsia="宋体" w:cs="Times New Roman"/>
          <w:color w:val="auto"/>
          <w:sz w:val="24"/>
          <w:szCs w:val="24"/>
          <w:highlight w:val="none"/>
        </w:rPr>
        <w:t xml:space="preserve"> 沿纤维布条带方向应有可靠的锚固措施（图</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.4</w:t>
      </w:r>
      <w:r>
        <w:rPr>
          <w:rFonts w:hint="default"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w:t>
      </w:r>
      <w:r>
        <w:rPr>
          <w:rFonts w:ascii="宋体" w:hAnsi="宋体" w:eastAsia="宋体" w:cs="宋体"/>
          <w:color w:val="C00000"/>
          <w:sz w:val="24"/>
          <w:szCs w:val="24"/>
        </w:rPr>
        <w:t>设置拉结构造。在纤维布受压部位的拉结构造间距宜取300mm</w:t>
      </w:r>
      <w:r>
        <w:rPr>
          <w:rFonts w:hint="eastAsia" w:eastAsia="宋体" w:cs="宋体"/>
          <w:color w:val="C00000"/>
          <w:sz w:val="24"/>
          <w:szCs w:val="24"/>
          <w:lang w:val="en-US" w:eastAsia="zh-CN"/>
        </w:rPr>
        <w:t>~</w:t>
      </w:r>
      <w:r>
        <w:rPr>
          <w:rFonts w:ascii="宋体" w:hAnsi="宋体" w:eastAsia="宋体" w:cs="宋体"/>
          <w:color w:val="C00000"/>
          <w:sz w:val="24"/>
          <w:szCs w:val="24"/>
        </w:rPr>
        <w:t>40Omm，其余部位拉结构造间距宜取400mm</w:t>
      </w:r>
      <w:r>
        <w:rPr>
          <w:rFonts w:hint="eastAsia" w:ascii="宋体" w:hAnsi="宋体" w:eastAsia="宋体" w:cs="宋体"/>
          <w:color w:val="C00000"/>
          <w:sz w:val="24"/>
          <w:szCs w:val="24"/>
          <w:lang w:val="en-US" w:eastAsia="zh-CN"/>
        </w:rPr>
        <w:t>~</w:t>
      </w:r>
      <w:r>
        <w:rPr>
          <w:rFonts w:ascii="宋体" w:hAnsi="宋体" w:eastAsia="宋体" w:cs="宋体"/>
          <w:color w:val="C00000"/>
          <w:sz w:val="24"/>
          <w:szCs w:val="24"/>
        </w:rPr>
        <w:t>60Omm。拉结构造材料可与加固纤维布材料一致。</w:t>
      </w:r>
      <w:bookmarkEnd w:id="109"/>
    </w:p>
    <w:p w14:paraId="24E1AD0E">
      <w:pPr>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drawing>
          <wp:anchor distT="0" distB="0" distL="0" distR="0" simplePos="0" relativeHeight="251676672" behindDoc="0" locked="0" layoutInCell="1" allowOverlap="1">
            <wp:simplePos x="0" y="0"/>
            <wp:positionH relativeFrom="column">
              <wp:posOffset>1040130</wp:posOffset>
            </wp:positionH>
            <wp:positionV relativeFrom="paragraph">
              <wp:posOffset>202565</wp:posOffset>
            </wp:positionV>
            <wp:extent cx="4051300" cy="1397000"/>
            <wp:effectExtent l="0" t="0" r="6350" b="12700"/>
            <wp:wrapTopAndBottom/>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59"/>
                    <a:stretch>
                      <a:fillRect/>
                    </a:stretch>
                  </pic:blipFill>
                  <pic:spPr>
                    <a:xfrm>
                      <a:off x="0" y="0"/>
                      <a:ext cx="4051497" cy="1397109"/>
                    </a:xfrm>
                    <a:prstGeom prst="rect">
                      <a:avLst/>
                    </a:prstGeom>
                  </pic:spPr>
                </pic:pic>
              </a:graphicData>
            </a:graphic>
          </wp:anchor>
        </w:drawing>
      </w:r>
    </w:p>
    <w:p w14:paraId="71036F3D">
      <w:pPr>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 xml:space="preserve">图 </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.4</w:t>
      </w:r>
      <w:r>
        <w:rPr>
          <w:rFonts w:hint="default"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沿纤维布条带方向设置拉结构造</w:t>
      </w:r>
    </w:p>
    <w:p w14:paraId="256F269A">
      <w:pPr>
        <w:spacing w:line="36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lang w:val="en-US" w:eastAsia="zh-CN"/>
        </w:rPr>
        <w:t>6</w:t>
      </w:r>
      <w:r>
        <w:rPr>
          <w:rFonts w:hint="default" w:ascii="Times New Roman" w:hAnsi="Times New Roman" w:eastAsia="宋体" w:cs="Times New Roman"/>
          <w:b/>
          <w:color w:val="auto"/>
          <w:sz w:val="24"/>
          <w:szCs w:val="24"/>
          <w:highlight w:val="none"/>
        </w:rPr>
        <w:t>.3.4</w:t>
      </w:r>
      <w:r>
        <w:rPr>
          <w:rFonts w:hint="default" w:ascii="Times New Roman" w:hAnsi="Times New Roman" w:eastAsia="宋体" w:cs="Times New Roman"/>
          <w:b/>
          <w:color w:val="auto"/>
          <w:sz w:val="24"/>
          <w:szCs w:val="24"/>
          <w:highlight w:val="none"/>
          <w:lang w:val="en-US" w:eastAsia="zh-CN"/>
        </w:rPr>
        <w:t>9</w:t>
      </w:r>
      <w:r>
        <w:rPr>
          <w:rFonts w:hint="default" w:ascii="Times New Roman" w:hAnsi="Times New Roman" w:eastAsia="宋体" w:cs="Times New Roman"/>
          <w:color w:val="auto"/>
          <w:sz w:val="24"/>
          <w:szCs w:val="24"/>
          <w:highlight w:val="none"/>
        </w:rPr>
        <w:t xml:space="preserve"> 纤维布条带端部的锚固构造措施，可根据墙体端部情况，采用对穿螺栓垫板压牢（图</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.4</w:t>
      </w:r>
      <w:r>
        <w:rPr>
          <w:rFonts w:hint="default"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）。当纤维布条带需绕过阳角时，阳角转角处曲率半径不应小于20mm。当有可靠的工程经验或试验资料时，也可采用其他机械锚固方式。</w:t>
      </w:r>
    </w:p>
    <w:p w14:paraId="161C346F">
      <w:pPr>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 xml:space="preserve">    </w:t>
      </w:r>
      <w:r>
        <w:rPr>
          <w:rFonts w:hint="default" w:ascii="Times New Roman" w:hAnsi="Times New Roman" w:eastAsia="宋体" w:cs="Times New Roman"/>
          <w:color w:val="auto"/>
          <w:position w:val="-41"/>
          <w:sz w:val="24"/>
          <w:szCs w:val="24"/>
          <w:highlight w:val="none"/>
        </w:rPr>
        <w:t xml:space="preserve">  </w:t>
      </w:r>
    </w:p>
    <w:p w14:paraId="6815C7E0">
      <w:pPr>
        <w:widowControl/>
        <w:ind w:firstLine="1440" w:firstLineChars="6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position w:val="-41"/>
          <w:sz w:val="24"/>
          <w:szCs w:val="24"/>
          <w:highlight w:val="none"/>
        </w:rPr>
        <w:drawing>
          <wp:anchor distT="0" distB="0" distL="0" distR="0" simplePos="0" relativeHeight="251677696" behindDoc="0" locked="0" layoutInCell="1" allowOverlap="1">
            <wp:simplePos x="0" y="0"/>
            <wp:positionH relativeFrom="column">
              <wp:posOffset>2894965</wp:posOffset>
            </wp:positionH>
            <wp:positionV relativeFrom="paragraph">
              <wp:posOffset>258445</wp:posOffset>
            </wp:positionV>
            <wp:extent cx="3162300" cy="1353820"/>
            <wp:effectExtent l="0" t="0" r="0" b="17780"/>
            <wp:wrapNone/>
            <wp:docPr id="26" name="IM 36"/>
            <wp:cNvGraphicFramePr/>
            <a:graphic xmlns:a="http://schemas.openxmlformats.org/drawingml/2006/main">
              <a:graphicData uri="http://schemas.openxmlformats.org/drawingml/2006/picture">
                <pic:pic xmlns:pic="http://schemas.openxmlformats.org/drawingml/2006/picture">
                  <pic:nvPicPr>
                    <pic:cNvPr id="26" name="IM 36"/>
                    <pic:cNvPicPr/>
                  </pic:nvPicPr>
                  <pic:blipFill>
                    <a:blip r:embed="rId260"/>
                    <a:stretch>
                      <a:fillRect/>
                    </a:stretch>
                  </pic:blipFill>
                  <pic:spPr>
                    <a:xfrm>
                      <a:off x="0" y="0"/>
                      <a:ext cx="3162300" cy="1353820"/>
                    </a:xfrm>
                    <a:prstGeom prst="rect">
                      <a:avLst/>
                    </a:prstGeom>
                  </pic:spPr>
                </pic:pic>
              </a:graphicData>
            </a:graphic>
          </wp:anchor>
        </w:drawing>
      </w:r>
      <w:r>
        <w:rPr>
          <w:rFonts w:hint="default" w:ascii="Times New Roman" w:hAnsi="Times New Roman" w:eastAsia="宋体" w:cs="Times New Roman"/>
          <w:color w:val="auto"/>
          <w:sz w:val="24"/>
          <w:szCs w:val="24"/>
          <w:highlight w:val="none"/>
        </w:rPr>
        <w:drawing>
          <wp:anchor distT="0" distB="0" distL="0" distR="0" simplePos="0" relativeHeight="251670528" behindDoc="0" locked="0" layoutInCell="1" allowOverlap="1">
            <wp:simplePos x="0" y="0"/>
            <wp:positionH relativeFrom="column">
              <wp:posOffset>1524000</wp:posOffset>
            </wp:positionH>
            <wp:positionV relativeFrom="paragraph">
              <wp:posOffset>166370</wp:posOffset>
            </wp:positionV>
            <wp:extent cx="560705" cy="1346200"/>
            <wp:effectExtent l="0" t="0" r="10795" b="6350"/>
            <wp:wrapTopAndBottom/>
            <wp:docPr id="24" name="IM 34"/>
            <wp:cNvGraphicFramePr/>
            <a:graphic xmlns:a="http://schemas.openxmlformats.org/drawingml/2006/main">
              <a:graphicData uri="http://schemas.openxmlformats.org/drawingml/2006/picture">
                <pic:pic xmlns:pic="http://schemas.openxmlformats.org/drawingml/2006/picture">
                  <pic:nvPicPr>
                    <pic:cNvPr id="24" name="IM 34"/>
                    <pic:cNvPicPr/>
                  </pic:nvPicPr>
                  <pic:blipFill>
                    <a:blip r:embed="rId261"/>
                    <a:stretch>
                      <a:fillRect/>
                    </a:stretch>
                  </pic:blipFill>
                  <pic:spPr>
                    <a:xfrm>
                      <a:off x="0" y="0"/>
                      <a:ext cx="560831" cy="1346072"/>
                    </a:xfrm>
                    <a:prstGeom prst="rect">
                      <a:avLst/>
                    </a:prstGeom>
                  </pic:spPr>
                </pic:pic>
              </a:graphicData>
            </a:graphic>
          </wp:anchor>
        </w:drawing>
      </w:r>
    </w:p>
    <w:p w14:paraId="77FEAB23">
      <w:pPr>
        <w:widowControl/>
        <w:ind w:firstLine="2100" w:firstLineChars="100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（a）一字形墙端          （b）L 形墙端           （c）T 形墙端</w:t>
      </w:r>
    </w:p>
    <w:p w14:paraId="6DBF960E">
      <w:pPr>
        <w:widowControl/>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图</w:t>
      </w:r>
      <w:r>
        <w:rPr>
          <w:rFonts w:hint="default" w:ascii="Times New Roman" w:hAnsi="Times New Roman" w:eastAsia="宋体" w:cs="Times New Roman"/>
          <w:color w:val="auto"/>
          <w:kern w:val="0"/>
          <w:sz w:val="24"/>
          <w:szCs w:val="24"/>
          <w:highlight w:val="none"/>
          <w:lang w:val="en-US" w:eastAsia="zh-CN"/>
        </w:rPr>
        <w:t>6</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kern w:val="0"/>
          <w:sz w:val="24"/>
          <w:szCs w:val="24"/>
          <w:highlight w:val="none"/>
          <w:lang w:val="en-US" w:eastAsia="zh-CN"/>
        </w:rPr>
        <w:t>3</w:t>
      </w:r>
      <w:r>
        <w:rPr>
          <w:rFonts w:hint="default" w:ascii="Times New Roman" w:hAnsi="Times New Roman" w:eastAsia="宋体" w:cs="Times New Roman"/>
          <w:color w:val="auto"/>
          <w:kern w:val="0"/>
          <w:sz w:val="24"/>
          <w:szCs w:val="24"/>
          <w:highlight w:val="none"/>
        </w:rPr>
        <w:t>.4</w:t>
      </w:r>
      <w:r>
        <w:rPr>
          <w:rFonts w:hint="default" w:ascii="Times New Roman" w:hAnsi="Times New Roman" w:eastAsia="宋体" w:cs="Times New Roman"/>
          <w:color w:val="auto"/>
          <w:kern w:val="0"/>
          <w:sz w:val="24"/>
          <w:szCs w:val="24"/>
          <w:highlight w:val="none"/>
          <w:lang w:val="en-US" w:eastAsia="zh-CN"/>
        </w:rPr>
        <w:t>9</w:t>
      </w:r>
      <w:r>
        <w:rPr>
          <w:rFonts w:hint="default" w:ascii="Times New Roman" w:hAnsi="Times New Roman" w:eastAsia="宋体" w:cs="Times New Roman"/>
          <w:color w:val="auto"/>
          <w:kern w:val="0"/>
          <w:sz w:val="24"/>
          <w:szCs w:val="24"/>
          <w:highlight w:val="none"/>
        </w:rPr>
        <w:t xml:space="preserve"> 纤维布条带端部的锚固构造</w:t>
      </w:r>
    </w:p>
    <w:p w14:paraId="79151B25">
      <w:pPr>
        <w:spacing w:line="36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lang w:val="en-US" w:eastAsia="zh-CN"/>
        </w:rPr>
        <w:t>6</w:t>
      </w:r>
      <w:r>
        <w:rPr>
          <w:rFonts w:hint="default" w:ascii="Times New Roman" w:hAnsi="Times New Roman" w:eastAsia="宋体" w:cs="Times New Roman"/>
          <w:b/>
          <w:color w:val="auto"/>
          <w:sz w:val="24"/>
          <w:szCs w:val="24"/>
          <w:highlight w:val="none"/>
        </w:rPr>
        <w:t>.3.</w:t>
      </w:r>
      <w:r>
        <w:rPr>
          <w:rFonts w:hint="default" w:ascii="Times New Roman" w:hAnsi="Times New Roman" w:eastAsia="宋体" w:cs="Times New Roman"/>
          <w:b/>
          <w:color w:val="auto"/>
          <w:sz w:val="24"/>
          <w:szCs w:val="24"/>
          <w:highlight w:val="none"/>
          <w:lang w:val="en-US" w:eastAsia="zh-CN"/>
        </w:rPr>
        <w:t>50</w:t>
      </w:r>
      <w:r>
        <w:rPr>
          <w:rFonts w:hint="default" w:ascii="Times New Roman" w:hAnsi="Times New Roman" w:eastAsia="宋体" w:cs="Times New Roman"/>
          <w:color w:val="auto"/>
          <w:sz w:val="24"/>
          <w:szCs w:val="24"/>
          <w:highlight w:val="none"/>
        </w:rPr>
        <w:t xml:space="preserve"> 当采用搭接的方式接长纤维布条带时，搭接长度不应小于200mm，且应在搭接长度中部设置一道锚栓锚固。</w:t>
      </w:r>
    </w:p>
    <w:p w14:paraId="40564364">
      <w:pPr>
        <w:spacing w:line="36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lang w:val="en-US" w:eastAsia="zh-CN"/>
        </w:rPr>
        <w:t>6</w:t>
      </w:r>
      <w:r>
        <w:rPr>
          <w:rFonts w:hint="default" w:ascii="Times New Roman" w:hAnsi="Times New Roman" w:eastAsia="宋体" w:cs="Times New Roman"/>
          <w:b/>
          <w:color w:val="auto"/>
          <w:sz w:val="24"/>
          <w:szCs w:val="24"/>
          <w:highlight w:val="none"/>
        </w:rPr>
        <w:t>.3.</w:t>
      </w:r>
      <w:r>
        <w:rPr>
          <w:rFonts w:hint="default" w:ascii="Times New Roman" w:hAnsi="Times New Roman" w:eastAsia="宋体" w:cs="Times New Roman"/>
          <w:b/>
          <w:color w:val="auto"/>
          <w:sz w:val="24"/>
          <w:szCs w:val="24"/>
          <w:highlight w:val="none"/>
          <w:lang w:val="en-US" w:eastAsia="zh-CN"/>
        </w:rPr>
        <w:t>51</w:t>
      </w:r>
      <w:r>
        <w:rPr>
          <w:rFonts w:hint="default" w:ascii="Times New Roman" w:hAnsi="Times New Roman" w:eastAsia="宋体" w:cs="Times New Roman"/>
          <w:color w:val="auto"/>
          <w:sz w:val="24"/>
          <w:szCs w:val="24"/>
          <w:highlight w:val="none"/>
        </w:rPr>
        <w:t xml:space="preserve"> 当砖墙采用纤维复合材加固时，其墙、柱表面应先做水泥砂浆抹平层；层厚不应小于15mm且应平整；水泥砂浆强度等级应不低M10；粘贴纤维复合材应待抹平层硬化、干燥后方可进行。</w:t>
      </w:r>
    </w:p>
    <w:p w14:paraId="6565F7AA">
      <w:pPr>
        <w:spacing w:before="120" w:after="120"/>
        <w:ind w:firstLine="2891" w:firstLineChars="1200"/>
        <w:jc w:val="both"/>
        <w:rPr>
          <w:rFonts w:hint="default" w:ascii="Times New Roman" w:hAnsi="Times New Roman" w:eastAsia="宋体" w:cs="Times New Roman"/>
          <w:color w:val="auto"/>
          <w:sz w:val="24"/>
          <w:szCs w:val="24"/>
          <w:highlight w:val="none"/>
        </w:rPr>
      </w:pPr>
      <w:bookmarkStart w:id="110" w:name="_Toc525"/>
      <w:r>
        <w:rPr>
          <w:rFonts w:hint="default" w:ascii="Times New Roman" w:hAnsi="Times New Roman" w:eastAsia="宋体" w:cs="Times New Roman"/>
          <w:b/>
          <w:color w:val="auto"/>
          <w:sz w:val="24"/>
          <w:szCs w:val="24"/>
          <w:highlight w:val="none"/>
        </w:rPr>
        <w:t>Ⅸ</w:t>
      </w:r>
      <w:r>
        <w:rPr>
          <w:rFonts w:hint="default" w:ascii="Times New Roman" w:hAnsi="Times New Roman" w:eastAsia="宋体" w:cs="Times New Roman"/>
          <w:color w:val="auto"/>
          <w:sz w:val="24"/>
          <w:szCs w:val="24"/>
          <w:highlight w:val="none"/>
        </w:rPr>
        <w:t xml:space="preserve"> 钢丝绳网-聚合物改性水泥砂浆面层加固法</w:t>
      </w:r>
      <w:bookmarkEnd w:id="110"/>
    </w:p>
    <w:p w14:paraId="028EFF0F">
      <w:pP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lang w:val="en-US" w:eastAsia="zh-CN"/>
        </w:rPr>
        <w:t>6</w:t>
      </w:r>
      <w:r>
        <w:rPr>
          <w:rFonts w:hint="default" w:ascii="Times New Roman" w:hAnsi="Times New Roman" w:eastAsia="宋体" w:cs="Times New Roman"/>
          <w:b/>
          <w:color w:val="auto"/>
          <w:sz w:val="24"/>
          <w:szCs w:val="24"/>
          <w:highlight w:val="none"/>
        </w:rPr>
        <w:t>.3.</w:t>
      </w:r>
      <w:r>
        <w:rPr>
          <w:rFonts w:hint="default" w:ascii="Times New Roman" w:hAnsi="Times New Roman" w:eastAsia="宋体" w:cs="Times New Roman"/>
          <w:b/>
          <w:color w:val="auto"/>
          <w:sz w:val="24"/>
          <w:szCs w:val="24"/>
          <w:highlight w:val="none"/>
          <w:lang w:val="en-US" w:eastAsia="zh-CN"/>
        </w:rPr>
        <w:t>52</w:t>
      </w:r>
      <w:r>
        <w:rPr>
          <w:rFonts w:hint="default" w:ascii="Times New Roman" w:hAnsi="Times New Roman" w:eastAsia="宋体" w:cs="Times New Roman"/>
          <w:color w:val="auto"/>
          <w:sz w:val="24"/>
          <w:szCs w:val="24"/>
          <w:highlight w:val="none"/>
        </w:rPr>
        <w:t xml:space="preserve"> 本方法仅适用于以钢丝绳网-聚合物改性水泥砂浆面层对烧结普通砖墙进行的平面内受剪加固和抗震加固。</w:t>
      </w:r>
    </w:p>
    <w:p w14:paraId="7BD12B85">
      <w:pPr>
        <w:pStyle w:val="60"/>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注：单股钢丝绳也称钢绞线。</w:t>
      </w:r>
    </w:p>
    <w:p w14:paraId="00F24895">
      <w:pPr>
        <w:spacing w:line="36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lang w:val="en-US" w:eastAsia="zh-CN"/>
        </w:rPr>
        <w:t>6</w:t>
      </w:r>
      <w:r>
        <w:rPr>
          <w:rFonts w:hint="default" w:ascii="Times New Roman" w:hAnsi="Times New Roman" w:eastAsia="宋体" w:cs="Times New Roman"/>
          <w:b/>
          <w:color w:val="auto"/>
          <w:sz w:val="24"/>
          <w:szCs w:val="24"/>
          <w:highlight w:val="none"/>
        </w:rPr>
        <w:t>.3.5</w:t>
      </w:r>
      <w:r>
        <w:rPr>
          <w:rFonts w:hint="default" w:ascii="Times New Roman" w:hAnsi="Times New Roman" w:eastAsia="宋体" w:cs="Times New Roman"/>
          <w:b/>
          <w:color w:val="auto"/>
          <w:sz w:val="24"/>
          <w:szCs w:val="24"/>
          <w:highlight w:val="none"/>
          <w:lang w:val="en-US" w:eastAsia="zh-CN"/>
        </w:rPr>
        <w:t>3</w:t>
      </w:r>
      <w:r>
        <w:rPr>
          <w:rFonts w:hint="default" w:ascii="Times New Roman" w:hAnsi="Times New Roman" w:eastAsia="宋体" w:cs="Times New Roman"/>
          <w:color w:val="auto"/>
          <w:sz w:val="24"/>
          <w:szCs w:val="24"/>
          <w:highlight w:val="none"/>
        </w:rPr>
        <w:t xml:space="preserve"> 采用本方法加固的砌体结构，其长期使用的环境温度不应高于60</w:t>
      </w:r>
      <w:r>
        <w:rPr>
          <w:rFonts w:hint="default" w:ascii="Times New Roman" w:hAnsi="Times New Roman" w:eastAsia="宋体" w:cs="Times New Roman"/>
          <w:color w:val="auto"/>
          <w:sz w:val="24"/>
          <w:szCs w:val="24"/>
          <w:highlight w:val="none"/>
          <w:vertAlign w:val="superscript"/>
        </w:rPr>
        <w:t>o</w:t>
      </w:r>
      <w:r>
        <w:rPr>
          <w:rFonts w:hint="default" w:ascii="Times New Roman" w:hAnsi="Times New Roman" w:eastAsia="宋体" w:cs="Times New Roman"/>
          <w:color w:val="auto"/>
          <w:sz w:val="24"/>
          <w:szCs w:val="24"/>
          <w:highlight w:val="none"/>
        </w:rPr>
        <w:t>C；处于特殊环境的砌体结构采用本方法加固时，除应按国家现行有关标准的规定采取相应的防护措施外，尚应采用耐环境因素作用的聚合物改性水泥砂浆，并按专门的工艺要求施工。</w:t>
      </w:r>
    </w:p>
    <w:p w14:paraId="0313FE4E">
      <w:pPr>
        <w:spacing w:line="360" w:lineRule="exact"/>
        <w:rPr>
          <w:rFonts w:hint="default" w:ascii="Times New Roman" w:hAnsi="Times New Roman" w:eastAsia="宋体" w:cs="Times New Roman"/>
          <w:color w:val="auto"/>
          <w:sz w:val="24"/>
          <w:szCs w:val="24"/>
          <w:highlight w:val="none"/>
        </w:rPr>
      </w:pPr>
      <w:bookmarkStart w:id="111" w:name="_Toc12803"/>
      <w:r>
        <w:rPr>
          <w:rFonts w:hint="default" w:ascii="Times New Roman" w:hAnsi="Times New Roman" w:eastAsia="宋体" w:cs="Times New Roman"/>
          <w:b/>
          <w:color w:val="auto"/>
          <w:sz w:val="24"/>
          <w:szCs w:val="24"/>
          <w:highlight w:val="none"/>
          <w:lang w:val="en-US" w:eastAsia="zh-CN"/>
        </w:rPr>
        <w:t>6</w:t>
      </w:r>
      <w:r>
        <w:rPr>
          <w:rFonts w:hint="default" w:ascii="Times New Roman" w:hAnsi="Times New Roman" w:eastAsia="宋体" w:cs="Times New Roman"/>
          <w:b/>
          <w:color w:val="auto"/>
          <w:sz w:val="24"/>
          <w:szCs w:val="24"/>
          <w:highlight w:val="none"/>
        </w:rPr>
        <w:t>.3.5</w:t>
      </w:r>
      <w:r>
        <w:rPr>
          <w:rFonts w:hint="default" w:ascii="Times New Roman" w:hAnsi="Times New Roman" w:eastAsia="宋体" w:cs="Times New Roman"/>
          <w:b/>
          <w:color w:val="auto"/>
          <w:sz w:val="24"/>
          <w:szCs w:val="24"/>
          <w:highlight w:val="none"/>
          <w:lang w:val="en-US" w:eastAsia="zh-CN"/>
        </w:rPr>
        <w:t>4</w:t>
      </w:r>
      <w:r>
        <w:rPr>
          <w:rFonts w:hint="default" w:ascii="Times New Roman" w:hAnsi="Times New Roman" w:eastAsia="宋体" w:cs="Times New Roman"/>
          <w:color w:val="auto"/>
          <w:sz w:val="24"/>
          <w:szCs w:val="24"/>
          <w:highlight w:val="none"/>
        </w:rPr>
        <w:t xml:space="preserve"> 钢丝绳的强度设计值应按表</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.5</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采用。</w:t>
      </w:r>
      <w:bookmarkEnd w:id="111"/>
    </w:p>
    <w:p w14:paraId="7820A925">
      <w:pPr>
        <w:spacing w:before="120" w:beforeLines="50"/>
        <w:jc w:val="center"/>
        <w:rPr>
          <w:rFonts w:hint="default" w:ascii="Times New Roman" w:hAnsi="Times New Roman" w:eastAsia="宋体" w:cs="Times New Roman"/>
          <w:b/>
          <w:color w:val="auto"/>
          <w:sz w:val="28"/>
          <w:szCs w:val="28"/>
          <w:highlight w:val="none"/>
        </w:rPr>
      </w:pPr>
      <w:r>
        <w:rPr>
          <w:rFonts w:hint="default" w:ascii="Times New Roman" w:hAnsi="Times New Roman" w:eastAsia="宋体" w:cs="Times New Roman"/>
          <w:color w:val="auto"/>
          <w:sz w:val="28"/>
          <w:szCs w:val="28"/>
          <w:highlight w:val="none"/>
        </w:rPr>
        <w:t>表</w:t>
      </w:r>
      <w:r>
        <w:rPr>
          <w:rFonts w:hint="default" w:ascii="Times New Roman" w:hAnsi="Times New Roman" w:eastAsia="宋体" w:cs="Times New Roman"/>
          <w:b/>
          <w:bCs/>
          <w:color w:val="auto"/>
          <w:sz w:val="28"/>
          <w:szCs w:val="28"/>
          <w:highlight w:val="none"/>
          <w:lang w:val="en-US" w:eastAsia="zh-CN"/>
        </w:rPr>
        <w:t>6</w:t>
      </w:r>
      <w:r>
        <w:rPr>
          <w:rFonts w:hint="default" w:ascii="Times New Roman" w:hAnsi="Times New Roman" w:eastAsia="宋体" w:cs="Times New Roman"/>
          <w:b/>
          <w:bCs/>
          <w:color w:val="auto"/>
          <w:sz w:val="28"/>
          <w:szCs w:val="28"/>
          <w:highlight w:val="none"/>
        </w:rPr>
        <w:t>.</w:t>
      </w:r>
      <w:r>
        <w:rPr>
          <w:rFonts w:hint="default" w:ascii="Times New Roman" w:hAnsi="Times New Roman" w:eastAsia="宋体" w:cs="Times New Roman"/>
          <w:b/>
          <w:bCs/>
          <w:color w:val="auto"/>
          <w:sz w:val="28"/>
          <w:szCs w:val="28"/>
          <w:highlight w:val="none"/>
          <w:lang w:val="en-US" w:eastAsia="zh-CN"/>
        </w:rPr>
        <w:t>3</w:t>
      </w:r>
      <w:r>
        <w:rPr>
          <w:rFonts w:hint="default" w:ascii="Times New Roman" w:hAnsi="Times New Roman" w:eastAsia="宋体" w:cs="Times New Roman"/>
          <w:b/>
          <w:bCs/>
          <w:color w:val="auto"/>
          <w:sz w:val="28"/>
          <w:szCs w:val="28"/>
          <w:highlight w:val="none"/>
        </w:rPr>
        <w:t>.5</w:t>
      </w:r>
      <w:r>
        <w:rPr>
          <w:rFonts w:hint="default" w:ascii="Times New Roman" w:hAnsi="Times New Roman" w:eastAsia="宋体" w:cs="Times New Roman"/>
          <w:b/>
          <w:bCs/>
          <w:color w:val="auto"/>
          <w:sz w:val="28"/>
          <w:szCs w:val="28"/>
          <w:highlight w:val="none"/>
          <w:lang w:val="en-US" w:eastAsia="zh-CN"/>
        </w:rPr>
        <w:t>4</w:t>
      </w:r>
      <w:r>
        <w:rPr>
          <w:rFonts w:hint="default" w:ascii="Times New Roman" w:hAnsi="Times New Roman" w:eastAsia="宋体" w:cs="Times New Roman"/>
          <w:color w:val="auto"/>
          <w:sz w:val="28"/>
          <w:szCs w:val="28"/>
          <w:highlight w:val="none"/>
        </w:rPr>
        <w:t xml:space="preserve"> 钢丝绳抗拉强度设计值（MPa）</w:t>
      </w:r>
    </w:p>
    <w:tbl>
      <w:tblPr>
        <w:tblStyle w:val="25"/>
        <w:tblW w:w="0" w:type="auto"/>
        <w:tblInd w:w="9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879"/>
        <w:gridCol w:w="1389"/>
        <w:gridCol w:w="1418"/>
        <w:gridCol w:w="1417"/>
        <w:gridCol w:w="1559"/>
      </w:tblGrid>
      <w:tr w14:paraId="4AC24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vMerge w:val="restart"/>
            <w:vAlign w:val="center"/>
          </w:tcPr>
          <w:p w14:paraId="6E1956D2">
            <w:pPr>
              <w:spacing w:before="240" w:beforeLines="10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种类</w:t>
            </w:r>
          </w:p>
        </w:tc>
        <w:tc>
          <w:tcPr>
            <w:tcW w:w="879" w:type="dxa"/>
            <w:vMerge w:val="restart"/>
            <w:vAlign w:val="center"/>
          </w:tcPr>
          <w:p w14:paraId="6E6F581E">
            <w:pPr>
              <w:spacing w:before="240" w:beforeLines="10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符号</w:t>
            </w:r>
          </w:p>
        </w:tc>
        <w:tc>
          <w:tcPr>
            <w:tcW w:w="2807" w:type="dxa"/>
            <w:gridSpan w:val="2"/>
            <w:vAlign w:val="center"/>
          </w:tcPr>
          <w:p w14:paraId="56ABA511">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不锈钢丝绳</w:t>
            </w:r>
          </w:p>
        </w:tc>
        <w:tc>
          <w:tcPr>
            <w:tcW w:w="2976" w:type="dxa"/>
            <w:gridSpan w:val="2"/>
            <w:vAlign w:val="center"/>
          </w:tcPr>
          <w:p w14:paraId="4CBF8FDA">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镀锌钢丝绳</w:t>
            </w:r>
          </w:p>
        </w:tc>
      </w:tr>
      <w:tr w14:paraId="71D31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vMerge w:val="continue"/>
            <w:vAlign w:val="center"/>
          </w:tcPr>
          <w:p w14:paraId="636A3B23">
            <w:pPr>
              <w:jc w:val="center"/>
              <w:rPr>
                <w:rFonts w:hint="default" w:ascii="Times New Roman" w:hAnsi="Times New Roman" w:eastAsia="宋体" w:cs="Times New Roman"/>
                <w:bCs/>
                <w:color w:val="auto"/>
                <w:sz w:val="24"/>
                <w:szCs w:val="24"/>
                <w:highlight w:val="none"/>
              </w:rPr>
            </w:pPr>
          </w:p>
        </w:tc>
        <w:tc>
          <w:tcPr>
            <w:tcW w:w="879" w:type="dxa"/>
            <w:vMerge w:val="continue"/>
            <w:vAlign w:val="center"/>
          </w:tcPr>
          <w:p w14:paraId="23883E3C">
            <w:pPr>
              <w:jc w:val="center"/>
              <w:rPr>
                <w:rFonts w:hint="default" w:ascii="Times New Roman" w:hAnsi="Times New Roman" w:eastAsia="宋体" w:cs="Times New Roman"/>
                <w:b/>
                <w:color w:val="auto"/>
                <w:sz w:val="24"/>
                <w:szCs w:val="24"/>
                <w:highlight w:val="none"/>
              </w:rPr>
            </w:pPr>
          </w:p>
        </w:tc>
        <w:tc>
          <w:tcPr>
            <w:tcW w:w="1389" w:type="dxa"/>
            <w:vAlign w:val="center"/>
          </w:tcPr>
          <w:p w14:paraId="696D3D0E">
            <w:pPr>
              <w:widowControl/>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钢丝绳公称</w:t>
            </w:r>
          </w:p>
          <w:p w14:paraId="7BFFEEB1">
            <w:pPr>
              <w:widowControl/>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直径(mm)</w:t>
            </w:r>
          </w:p>
        </w:tc>
        <w:tc>
          <w:tcPr>
            <w:tcW w:w="1418" w:type="dxa"/>
            <w:vAlign w:val="center"/>
          </w:tcPr>
          <w:p w14:paraId="2D171E6D">
            <w:pPr>
              <w:widowControl/>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抗拉强度</w:t>
            </w:r>
          </w:p>
          <w:p w14:paraId="64463FD7">
            <w:pPr>
              <w:widowControl/>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设计值</w:t>
            </w:r>
            <w:r>
              <w:rPr>
                <w:rFonts w:hint="default" w:ascii="Times New Roman" w:hAnsi="Times New Roman" w:eastAsia="宋体" w:cs="Times New Roman"/>
                <w:i/>
                <w:iCs/>
                <w:color w:val="auto"/>
                <w:kern w:val="0"/>
                <w:sz w:val="24"/>
                <w:szCs w:val="24"/>
                <w:highlight w:val="none"/>
              </w:rPr>
              <w:t xml:space="preserve"> f</w:t>
            </w:r>
            <w:r>
              <w:rPr>
                <w:rFonts w:hint="default" w:ascii="Times New Roman" w:hAnsi="Times New Roman" w:eastAsia="宋体" w:cs="Times New Roman"/>
                <w:color w:val="auto"/>
                <w:kern w:val="0"/>
                <w:sz w:val="24"/>
                <w:szCs w:val="24"/>
                <w:highlight w:val="none"/>
                <w:vertAlign w:val="subscript"/>
              </w:rPr>
              <w:t>rw</w:t>
            </w:r>
          </w:p>
        </w:tc>
        <w:tc>
          <w:tcPr>
            <w:tcW w:w="1417" w:type="dxa"/>
            <w:vAlign w:val="center"/>
          </w:tcPr>
          <w:p w14:paraId="38B1A85D">
            <w:pPr>
              <w:widowControl/>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钢丝绳公称</w:t>
            </w:r>
          </w:p>
          <w:p w14:paraId="0D312CDE">
            <w:pPr>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kern w:val="0"/>
                <w:sz w:val="24"/>
                <w:szCs w:val="24"/>
                <w:highlight w:val="none"/>
              </w:rPr>
              <w:t>直径(mm)</w:t>
            </w:r>
          </w:p>
        </w:tc>
        <w:tc>
          <w:tcPr>
            <w:tcW w:w="1559" w:type="dxa"/>
            <w:vAlign w:val="center"/>
          </w:tcPr>
          <w:p w14:paraId="249F1DF2">
            <w:pPr>
              <w:widowControl/>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抗拉强度</w:t>
            </w:r>
          </w:p>
          <w:p w14:paraId="7B407959">
            <w:pPr>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kern w:val="0"/>
                <w:sz w:val="24"/>
                <w:szCs w:val="24"/>
                <w:highlight w:val="none"/>
              </w:rPr>
              <w:t>设计值</w:t>
            </w:r>
            <w:r>
              <w:rPr>
                <w:rFonts w:hint="default" w:ascii="Times New Roman" w:hAnsi="Times New Roman" w:eastAsia="宋体" w:cs="Times New Roman"/>
                <w:i/>
                <w:iCs/>
                <w:color w:val="auto"/>
                <w:kern w:val="0"/>
                <w:sz w:val="24"/>
                <w:szCs w:val="24"/>
                <w:highlight w:val="none"/>
              </w:rPr>
              <w:t xml:space="preserve"> f</w:t>
            </w:r>
            <w:r>
              <w:rPr>
                <w:rFonts w:hint="default" w:ascii="Times New Roman" w:hAnsi="Times New Roman" w:eastAsia="宋体" w:cs="Times New Roman"/>
                <w:color w:val="auto"/>
                <w:kern w:val="0"/>
                <w:sz w:val="24"/>
                <w:szCs w:val="24"/>
                <w:highlight w:val="none"/>
                <w:vertAlign w:val="subscript"/>
              </w:rPr>
              <w:t>rw</w:t>
            </w:r>
          </w:p>
        </w:tc>
      </w:tr>
      <w:tr w14:paraId="08E8A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vMerge w:val="restart"/>
            <w:vAlign w:val="center"/>
          </w:tcPr>
          <w:p w14:paraId="6D4DB2A4">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6×7+IWS</w:t>
            </w:r>
          </w:p>
        </w:tc>
        <w:tc>
          <w:tcPr>
            <w:tcW w:w="879" w:type="dxa"/>
            <w:vMerge w:val="restart"/>
            <w:vAlign w:val="center"/>
          </w:tcPr>
          <w:p w14:paraId="4CB27C47">
            <w:pPr>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sym w:font="Symbol" w:char="F066"/>
            </w:r>
            <w:r>
              <w:rPr>
                <w:rFonts w:hint="default" w:ascii="Times New Roman" w:hAnsi="Times New Roman" w:eastAsia="宋体" w:cs="Times New Roman"/>
                <w:color w:val="auto"/>
                <w:sz w:val="24"/>
                <w:szCs w:val="24"/>
                <w:highlight w:val="none"/>
                <w:vertAlign w:val="subscript"/>
              </w:rPr>
              <w:t>r</w:t>
            </w:r>
          </w:p>
        </w:tc>
        <w:tc>
          <w:tcPr>
            <w:tcW w:w="1389" w:type="dxa"/>
            <w:vMerge w:val="restart"/>
            <w:vAlign w:val="center"/>
          </w:tcPr>
          <w:p w14:paraId="4B4EABED">
            <w:pPr>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2.4～4.0</w:t>
            </w:r>
          </w:p>
        </w:tc>
        <w:tc>
          <w:tcPr>
            <w:tcW w:w="1418" w:type="dxa"/>
            <w:vAlign w:val="center"/>
          </w:tcPr>
          <w:p w14:paraId="54AA631F">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1100</w:t>
            </w:r>
          </w:p>
        </w:tc>
        <w:tc>
          <w:tcPr>
            <w:tcW w:w="1417" w:type="dxa"/>
            <w:vMerge w:val="restart"/>
            <w:vAlign w:val="center"/>
          </w:tcPr>
          <w:p w14:paraId="1942B362">
            <w:pPr>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2.5～4.5</w:t>
            </w:r>
          </w:p>
        </w:tc>
        <w:tc>
          <w:tcPr>
            <w:tcW w:w="1559" w:type="dxa"/>
            <w:vAlign w:val="center"/>
          </w:tcPr>
          <w:p w14:paraId="0EC95126">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1050</w:t>
            </w:r>
          </w:p>
        </w:tc>
      </w:tr>
      <w:tr w14:paraId="60D36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vMerge w:val="continue"/>
            <w:vAlign w:val="center"/>
          </w:tcPr>
          <w:p w14:paraId="299AF261">
            <w:pPr>
              <w:jc w:val="center"/>
              <w:rPr>
                <w:rFonts w:hint="default" w:ascii="Times New Roman" w:hAnsi="Times New Roman" w:eastAsia="宋体" w:cs="Times New Roman"/>
                <w:bCs/>
                <w:color w:val="auto"/>
                <w:sz w:val="24"/>
                <w:szCs w:val="24"/>
                <w:highlight w:val="none"/>
              </w:rPr>
            </w:pPr>
          </w:p>
        </w:tc>
        <w:tc>
          <w:tcPr>
            <w:tcW w:w="879" w:type="dxa"/>
            <w:vMerge w:val="continue"/>
            <w:vAlign w:val="center"/>
          </w:tcPr>
          <w:p w14:paraId="3F4D6B48">
            <w:pPr>
              <w:jc w:val="center"/>
              <w:rPr>
                <w:rFonts w:hint="default" w:ascii="Times New Roman" w:hAnsi="Times New Roman" w:eastAsia="宋体" w:cs="Times New Roman"/>
                <w:b/>
                <w:color w:val="auto"/>
                <w:sz w:val="24"/>
                <w:szCs w:val="24"/>
                <w:highlight w:val="none"/>
              </w:rPr>
            </w:pPr>
          </w:p>
        </w:tc>
        <w:tc>
          <w:tcPr>
            <w:tcW w:w="1389" w:type="dxa"/>
            <w:vMerge w:val="continue"/>
            <w:vAlign w:val="center"/>
          </w:tcPr>
          <w:p w14:paraId="4B85C038">
            <w:pPr>
              <w:jc w:val="center"/>
              <w:rPr>
                <w:rFonts w:hint="default" w:ascii="Times New Roman" w:hAnsi="Times New Roman" w:eastAsia="宋体" w:cs="Times New Roman"/>
                <w:b/>
                <w:color w:val="auto"/>
                <w:sz w:val="24"/>
                <w:szCs w:val="24"/>
                <w:highlight w:val="none"/>
              </w:rPr>
            </w:pPr>
          </w:p>
        </w:tc>
        <w:tc>
          <w:tcPr>
            <w:tcW w:w="1418" w:type="dxa"/>
            <w:vAlign w:val="center"/>
          </w:tcPr>
          <w:p w14:paraId="61934303">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1050</w:t>
            </w:r>
          </w:p>
        </w:tc>
        <w:tc>
          <w:tcPr>
            <w:tcW w:w="1417" w:type="dxa"/>
            <w:vMerge w:val="continue"/>
            <w:vAlign w:val="center"/>
          </w:tcPr>
          <w:p w14:paraId="59452BA2">
            <w:pPr>
              <w:jc w:val="center"/>
              <w:rPr>
                <w:rFonts w:hint="default" w:ascii="Times New Roman" w:hAnsi="Times New Roman" w:eastAsia="宋体" w:cs="Times New Roman"/>
                <w:b/>
                <w:color w:val="auto"/>
                <w:sz w:val="24"/>
                <w:szCs w:val="24"/>
                <w:highlight w:val="none"/>
              </w:rPr>
            </w:pPr>
          </w:p>
        </w:tc>
        <w:tc>
          <w:tcPr>
            <w:tcW w:w="1559" w:type="dxa"/>
            <w:vAlign w:val="center"/>
          </w:tcPr>
          <w:p w14:paraId="3092E3B3">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1100</w:t>
            </w:r>
          </w:p>
        </w:tc>
      </w:tr>
      <w:tr w14:paraId="49208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vAlign w:val="center"/>
          </w:tcPr>
          <w:p w14:paraId="468BF0A7">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1×19</w:t>
            </w:r>
          </w:p>
        </w:tc>
        <w:tc>
          <w:tcPr>
            <w:tcW w:w="879" w:type="dxa"/>
            <w:vAlign w:val="center"/>
          </w:tcPr>
          <w:p w14:paraId="57143577">
            <w:pPr>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sym w:font="Symbol" w:char="F066"/>
            </w:r>
            <w:r>
              <w:rPr>
                <w:rFonts w:hint="default" w:ascii="Times New Roman" w:hAnsi="Times New Roman" w:eastAsia="宋体" w:cs="Times New Roman"/>
                <w:color w:val="auto"/>
                <w:sz w:val="24"/>
                <w:szCs w:val="24"/>
                <w:highlight w:val="none"/>
                <w:vertAlign w:val="subscript"/>
              </w:rPr>
              <w:t>s</w:t>
            </w:r>
          </w:p>
        </w:tc>
        <w:tc>
          <w:tcPr>
            <w:tcW w:w="1389" w:type="dxa"/>
            <w:vAlign w:val="center"/>
          </w:tcPr>
          <w:p w14:paraId="5DE5F658">
            <w:pPr>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2.5</w:t>
            </w:r>
          </w:p>
        </w:tc>
        <w:tc>
          <w:tcPr>
            <w:tcW w:w="1418" w:type="dxa"/>
            <w:vAlign w:val="center"/>
          </w:tcPr>
          <w:p w14:paraId="28AFC262">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1050</w:t>
            </w:r>
          </w:p>
        </w:tc>
        <w:tc>
          <w:tcPr>
            <w:tcW w:w="1417" w:type="dxa"/>
            <w:vAlign w:val="center"/>
          </w:tcPr>
          <w:p w14:paraId="1A317797">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2.5</w:t>
            </w:r>
          </w:p>
        </w:tc>
        <w:tc>
          <w:tcPr>
            <w:tcW w:w="1559" w:type="dxa"/>
            <w:vAlign w:val="center"/>
          </w:tcPr>
          <w:p w14:paraId="18E3F889">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1000</w:t>
            </w:r>
          </w:p>
        </w:tc>
      </w:tr>
    </w:tbl>
    <w:p w14:paraId="429FD1E5">
      <w:pPr>
        <w:rPr>
          <w:rFonts w:hint="default" w:ascii="Times New Roman" w:hAnsi="Times New Roman" w:eastAsia="宋体" w:cs="Times New Roman"/>
          <w:b/>
          <w:color w:val="auto"/>
          <w:sz w:val="24"/>
          <w:szCs w:val="24"/>
          <w:highlight w:val="none"/>
        </w:rPr>
      </w:pPr>
    </w:p>
    <w:p w14:paraId="18FA8906">
      <w:pP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lang w:val="en-US" w:eastAsia="zh-CN"/>
        </w:rPr>
        <w:t>6</w:t>
      </w:r>
      <w:r>
        <w:rPr>
          <w:rFonts w:hint="default" w:ascii="Times New Roman" w:hAnsi="Times New Roman" w:eastAsia="宋体" w:cs="Times New Roman"/>
          <w:b/>
          <w:color w:val="auto"/>
          <w:sz w:val="24"/>
          <w:szCs w:val="24"/>
          <w:highlight w:val="none"/>
        </w:rPr>
        <w:t>.3.5</w:t>
      </w:r>
      <w:r>
        <w:rPr>
          <w:rFonts w:hint="default" w:ascii="Times New Roman" w:hAnsi="Times New Roman" w:eastAsia="宋体" w:cs="Times New Roman"/>
          <w:b/>
          <w:color w:val="auto"/>
          <w:sz w:val="24"/>
          <w:szCs w:val="24"/>
          <w:highlight w:val="none"/>
          <w:lang w:val="en-US" w:eastAsia="zh-CN"/>
        </w:rPr>
        <w:t>5</w:t>
      </w:r>
      <w:r>
        <w:rPr>
          <w:rFonts w:hint="default" w:ascii="Times New Roman" w:hAnsi="Times New Roman" w:eastAsia="宋体" w:cs="Times New Roman"/>
          <w:color w:val="auto"/>
          <w:sz w:val="24"/>
          <w:szCs w:val="24"/>
          <w:highlight w:val="none"/>
        </w:rPr>
        <w:t xml:space="preserve"> 不锈钢丝绳和镀锌钢丝绳的弹性模量设计值及拉应变设计值应按表</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.5</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采用。</w:t>
      </w:r>
    </w:p>
    <w:p w14:paraId="2701DA7A">
      <w:pPr>
        <w:spacing w:before="120" w:beforeLines="50"/>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8"/>
          <w:szCs w:val="28"/>
          <w:highlight w:val="none"/>
        </w:rPr>
        <w:t>表</w:t>
      </w:r>
      <w:r>
        <w:rPr>
          <w:rFonts w:hint="default" w:ascii="Times New Roman" w:hAnsi="Times New Roman" w:eastAsia="宋体" w:cs="Times New Roman"/>
          <w:color w:val="auto"/>
          <w:sz w:val="28"/>
          <w:szCs w:val="28"/>
          <w:highlight w:val="none"/>
          <w:lang w:val="en-US" w:eastAsia="zh-CN"/>
        </w:rPr>
        <w:t>6</w:t>
      </w:r>
      <w:r>
        <w:rPr>
          <w:rFonts w:hint="default" w:ascii="Times New Roman" w:hAnsi="Times New Roman" w:eastAsia="宋体" w:cs="Times New Roman"/>
          <w:color w:val="auto"/>
          <w:sz w:val="28"/>
          <w:szCs w:val="28"/>
          <w:highlight w:val="none"/>
        </w:rPr>
        <w:t>.</w:t>
      </w:r>
      <w:r>
        <w:rPr>
          <w:rFonts w:hint="default" w:ascii="Times New Roman" w:hAnsi="Times New Roman" w:eastAsia="宋体" w:cs="Times New Roman"/>
          <w:color w:val="auto"/>
          <w:sz w:val="28"/>
          <w:szCs w:val="28"/>
          <w:highlight w:val="none"/>
          <w:lang w:val="en-US" w:eastAsia="zh-CN"/>
        </w:rPr>
        <w:t>3</w:t>
      </w:r>
      <w:r>
        <w:rPr>
          <w:rFonts w:hint="default" w:ascii="Times New Roman" w:hAnsi="Times New Roman" w:eastAsia="宋体" w:cs="Times New Roman"/>
          <w:color w:val="auto"/>
          <w:sz w:val="28"/>
          <w:szCs w:val="28"/>
          <w:highlight w:val="none"/>
        </w:rPr>
        <w:t>.5</w:t>
      </w:r>
      <w:r>
        <w:rPr>
          <w:rFonts w:hint="default" w:ascii="Times New Roman" w:hAnsi="Times New Roman" w:eastAsia="宋体" w:cs="Times New Roman"/>
          <w:color w:val="auto"/>
          <w:sz w:val="28"/>
          <w:szCs w:val="28"/>
          <w:highlight w:val="none"/>
          <w:lang w:val="en-US" w:eastAsia="zh-CN"/>
        </w:rPr>
        <w:t>5</w:t>
      </w:r>
      <w:r>
        <w:rPr>
          <w:rFonts w:hint="default" w:ascii="Times New Roman" w:hAnsi="Times New Roman" w:eastAsia="宋体" w:cs="Times New Roman"/>
          <w:color w:val="auto"/>
          <w:sz w:val="28"/>
          <w:szCs w:val="28"/>
          <w:highlight w:val="none"/>
        </w:rPr>
        <w:t xml:space="preserve"> 钢丝绳弹性模量及拉应变设计值</w:t>
      </w:r>
    </w:p>
    <w:tbl>
      <w:tblPr>
        <w:tblStyle w:val="25"/>
        <w:tblW w:w="0" w:type="auto"/>
        <w:tblInd w:w="19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6"/>
        <w:gridCol w:w="2126"/>
        <w:gridCol w:w="1843"/>
      </w:tblGrid>
      <w:tr w14:paraId="19E69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6" w:type="dxa"/>
            <w:vAlign w:val="center"/>
          </w:tcPr>
          <w:p w14:paraId="31EB4E65">
            <w:pPr>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类 别</w:t>
            </w:r>
          </w:p>
        </w:tc>
        <w:tc>
          <w:tcPr>
            <w:tcW w:w="2126" w:type="dxa"/>
            <w:vAlign w:val="center"/>
          </w:tcPr>
          <w:p w14:paraId="4B3F1853">
            <w:pPr>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 xml:space="preserve">弹性模量设计值 </w:t>
            </w:r>
            <w:r>
              <w:rPr>
                <w:rFonts w:hint="default" w:ascii="Times New Roman" w:hAnsi="Times New Roman" w:eastAsia="宋体" w:cs="Times New Roman"/>
                <w:i/>
                <w:iCs/>
                <w:color w:val="auto"/>
                <w:sz w:val="24"/>
                <w:szCs w:val="24"/>
                <w:highlight w:val="none"/>
              </w:rPr>
              <w:t>E</w:t>
            </w:r>
            <w:r>
              <w:rPr>
                <w:rFonts w:hint="default" w:ascii="Times New Roman" w:hAnsi="Times New Roman" w:eastAsia="宋体" w:cs="Times New Roman"/>
                <w:color w:val="auto"/>
                <w:sz w:val="24"/>
                <w:szCs w:val="24"/>
                <w:highlight w:val="none"/>
                <w:vertAlign w:val="subscript"/>
              </w:rPr>
              <w:t>rw</w:t>
            </w:r>
            <w:r>
              <w:rPr>
                <w:rFonts w:hint="default" w:ascii="Times New Roman" w:hAnsi="Times New Roman" w:eastAsia="宋体" w:cs="Times New Roman"/>
                <w:color w:val="auto"/>
                <w:sz w:val="24"/>
                <w:szCs w:val="24"/>
                <w:highlight w:val="none"/>
              </w:rPr>
              <w:t>（MPa）</w:t>
            </w:r>
          </w:p>
        </w:tc>
        <w:tc>
          <w:tcPr>
            <w:tcW w:w="1843" w:type="dxa"/>
            <w:vAlign w:val="center"/>
          </w:tcPr>
          <w:p w14:paraId="0CC7DAA2">
            <w:pPr>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拉应变设计值</w:t>
            </w:r>
            <w:r>
              <w:rPr>
                <w:rFonts w:hint="default" w:ascii="Times New Roman" w:hAnsi="Times New Roman" w:eastAsia="宋体" w:cs="Times New Roman"/>
                <w:i/>
                <w:iCs/>
                <w:color w:val="auto"/>
                <w:sz w:val="24"/>
                <w:szCs w:val="24"/>
                <w:highlight w:val="none"/>
              </w:rPr>
              <w:sym w:font="Symbol" w:char="F065"/>
            </w:r>
            <w:r>
              <w:rPr>
                <w:rFonts w:hint="default" w:ascii="Times New Roman" w:hAnsi="Times New Roman" w:eastAsia="宋体" w:cs="Times New Roman"/>
                <w:color w:val="auto"/>
                <w:sz w:val="24"/>
                <w:szCs w:val="24"/>
                <w:highlight w:val="none"/>
                <w:vertAlign w:val="subscript"/>
              </w:rPr>
              <w:t>rw</w:t>
            </w:r>
          </w:p>
        </w:tc>
      </w:tr>
      <w:tr w14:paraId="12ECA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6" w:type="dxa"/>
            <w:vAlign w:val="center"/>
          </w:tcPr>
          <w:p w14:paraId="14FF1360">
            <w:pPr>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不锈钢丝绳</w:t>
            </w:r>
          </w:p>
        </w:tc>
        <w:tc>
          <w:tcPr>
            <w:tcW w:w="2126" w:type="dxa"/>
            <w:vAlign w:val="center"/>
          </w:tcPr>
          <w:p w14:paraId="1A2161AB">
            <w:pPr>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1.05×10</w:t>
            </w:r>
            <w:r>
              <w:rPr>
                <w:rFonts w:hint="default" w:ascii="Times New Roman" w:hAnsi="Times New Roman" w:eastAsia="宋体" w:cs="Times New Roman"/>
                <w:color w:val="auto"/>
                <w:sz w:val="24"/>
                <w:szCs w:val="24"/>
                <w:highlight w:val="none"/>
                <w:vertAlign w:val="superscript"/>
              </w:rPr>
              <w:t>5</w:t>
            </w:r>
          </w:p>
        </w:tc>
        <w:tc>
          <w:tcPr>
            <w:tcW w:w="1843" w:type="dxa"/>
            <w:vAlign w:val="center"/>
          </w:tcPr>
          <w:p w14:paraId="425E4972">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0.01</w:t>
            </w:r>
          </w:p>
        </w:tc>
      </w:tr>
      <w:tr w14:paraId="09EE7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6" w:type="dxa"/>
            <w:vAlign w:val="center"/>
          </w:tcPr>
          <w:p w14:paraId="4C65F2F5">
            <w:pPr>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镀锌钢丝绳</w:t>
            </w:r>
          </w:p>
        </w:tc>
        <w:tc>
          <w:tcPr>
            <w:tcW w:w="2126" w:type="dxa"/>
            <w:vAlign w:val="center"/>
          </w:tcPr>
          <w:p w14:paraId="17009565">
            <w:pPr>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1.30×10</w:t>
            </w:r>
            <w:r>
              <w:rPr>
                <w:rFonts w:hint="default" w:ascii="Times New Roman" w:hAnsi="Times New Roman" w:eastAsia="宋体" w:cs="Times New Roman"/>
                <w:color w:val="auto"/>
                <w:sz w:val="24"/>
                <w:szCs w:val="24"/>
                <w:highlight w:val="none"/>
                <w:vertAlign w:val="superscript"/>
              </w:rPr>
              <w:t>5</w:t>
            </w:r>
          </w:p>
        </w:tc>
        <w:tc>
          <w:tcPr>
            <w:tcW w:w="1843" w:type="dxa"/>
            <w:vAlign w:val="center"/>
          </w:tcPr>
          <w:p w14:paraId="47A11D0C">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0.008</w:t>
            </w:r>
          </w:p>
        </w:tc>
      </w:tr>
    </w:tbl>
    <w:p w14:paraId="55B35D83">
      <w:pPr>
        <w:rPr>
          <w:rFonts w:hint="default" w:ascii="Times New Roman" w:hAnsi="Times New Roman" w:eastAsia="宋体" w:cs="Times New Roman"/>
          <w:b/>
          <w:color w:val="auto"/>
          <w:sz w:val="24"/>
          <w:szCs w:val="24"/>
          <w:highlight w:val="none"/>
        </w:rPr>
      </w:pPr>
    </w:p>
    <w:p w14:paraId="6C1BC884">
      <w:pP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lang w:val="en-US" w:eastAsia="zh-CN"/>
        </w:rPr>
        <w:t>6</w:t>
      </w:r>
      <w:r>
        <w:rPr>
          <w:rFonts w:hint="default" w:ascii="Times New Roman" w:hAnsi="Times New Roman" w:eastAsia="宋体" w:cs="Times New Roman"/>
          <w:b/>
          <w:color w:val="auto"/>
          <w:sz w:val="24"/>
          <w:szCs w:val="24"/>
          <w:highlight w:val="none"/>
        </w:rPr>
        <w:t>.3.5</w:t>
      </w:r>
      <w:r>
        <w:rPr>
          <w:rFonts w:hint="default" w:ascii="Times New Roman" w:hAnsi="Times New Roman" w:eastAsia="宋体" w:cs="Times New Roman"/>
          <w:b/>
          <w:color w:val="auto"/>
          <w:sz w:val="24"/>
          <w:szCs w:val="24"/>
          <w:highlight w:val="none"/>
          <w:lang w:val="en-US" w:eastAsia="zh-CN"/>
        </w:rPr>
        <w:t>6</w:t>
      </w:r>
      <w:r>
        <w:rPr>
          <w:rFonts w:hint="default" w:ascii="Times New Roman" w:hAnsi="Times New Roman" w:eastAsia="宋体" w:cs="Times New Roman"/>
          <w:color w:val="auto"/>
          <w:sz w:val="24"/>
          <w:szCs w:val="24"/>
          <w:highlight w:val="none"/>
        </w:rPr>
        <w:t xml:space="preserve"> 钢丝绳计算用的截面面积及其参考质量，可按表</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.5</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的规定值采用。</w:t>
      </w:r>
    </w:p>
    <w:p w14:paraId="4179CF04">
      <w:pPr>
        <w:spacing w:before="120" w:beforeLines="50"/>
        <w:jc w:val="center"/>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 xml:space="preserve">表 </w:t>
      </w:r>
      <w:r>
        <w:rPr>
          <w:rFonts w:hint="default" w:ascii="Times New Roman" w:hAnsi="Times New Roman" w:eastAsia="宋体" w:cs="Times New Roman"/>
          <w:color w:val="auto"/>
          <w:sz w:val="28"/>
          <w:szCs w:val="28"/>
          <w:highlight w:val="none"/>
          <w:lang w:val="en-US" w:eastAsia="zh-CN"/>
        </w:rPr>
        <w:t>6</w:t>
      </w:r>
      <w:r>
        <w:rPr>
          <w:rFonts w:hint="default" w:ascii="Times New Roman" w:hAnsi="Times New Roman" w:eastAsia="宋体" w:cs="Times New Roman"/>
          <w:color w:val="auto"/>
          <w:sz w:val="28"/>
          <w:szCs w:val="28"/>
          <w:highlight w:val="none"/>
        </w:rPr>
        <w:t>.</w:t>
      </w:r>
      <w:r>
        <w:rPr>
          <w:rFonts w:hint="default" w:ascii="Times New Roman" w:hAnsi="Times New Roman" w:eastAsia="宋体" w:cs="Times New Roman"/>
          <w:color w:val="auto"/>
          <w:sz w:val="28"/>
          <w:szCs w:val="28"/>
          <w:highlight w:val="none"/>
          <w:lang w:val="en-US" w:eastAsia="zh-CN"/>
        </w:rPr>
        <w:t>3</w:t>
      </w:r>
      <w:r>
        <w:rPr>
          <w:rFonts w:hint="default" w:ascii="Times New Roman" w:hAnsi="Times New Roman" w:eastAsia="宋体" w:cs="Times New Roman"/>
          <w:color w:val="auto"/>
          <w:sz w:val="28"/>
          <w:szCs w:val="28"/>
          <w:highlight w:val="none"/>
        </w:rPr>
        <w:t>.5</w:t>
      </w:r>
      <w:r>
        <w:rPr>
          <w:rFonts w:hint="default" w:ascii="Times New Roman" w:hAnsi="Times New Roman" w:eastAsia="宋体" w:cs="Times New Roman"/>
          <w:color w:val="auto"/>
          <w:sz w:val="28"/>
          <w:szCs w:val="28"/>
          <w:highlight w:val="none"/>
          <w:lang w:val="en-US" w:eastAsia="zh-CN"/>
        </w:rPr>
        <w:t>6</w:t>
      </w:r>
      <w:r>
        <w:rPr>
          <w:rFonts w:hint="default" w:ascii="Times New Roman" w:hAnsi="Times New Roman" w:eastAsia="宋体" w:cs="Times New Roman"/>
          <w:color w:val="auto"/>
          <w:sz w:val="28"/>
          <w:szCs w:val="28"/>
          <w:highlight w:val="none"/>
        </w:rPr>
        <w:t xml:space="preserve"> 钢丝绳计算用截面面积及参考重量</w:t>
      </w:r>
    </w:p>
    <w:tbl>
      <w:tblPr>
        <w:tblStyle w:val="25"/>
        <w:tblW w:w="0" w:type="auto"/>
        <w:tblInd w:w="19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1559"/>
        <w:gridCol w:w="1116"/>
        <w:gridCol w:w="1597"/>
        <w:gridCol w:w="1276"/>
      </w:tblGrid>
      <w:tr w14:paraId="2BE6F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Align w:val="center"/>
          </w:tcPr>
          <w:p w14:paraId="6DD52706">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种类</w:t>
            </w:r>
          </w:p>
        </w:tc>
        <w:tc>
          <w:tcPr>
            <w:tcW w:w="1559" w:type="dxa"/>
            <w:vAlign w:val="center"/>
          </w:tcPr>
          <w:p w14:paraId="1E4CBFAF">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钢丝绳公称直径（mm）</w:t>
            </w:r>
          </w:p>
        </w:tc>
        <w:tc>
          <w:tcPr>
            <w:tcW w:w="1096" w:type="dxa"/>
            <w:vAlign w:val="center"/>
          </w:tcPr>
          <w:p w14:paraId="58498428">
            <w:pPr>
              <w:widowControl/>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钢丝直径</w:t>
            </w:r>
          </w:p>
          <w:p w14:paraId="495DCB13">
            <w:pPr>
              <w:widowControl/>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(mm)</w:t>
            </w:r>
          </w:p>
        </w:tc>
        <w:tc>
          <w:tcPr>
            <w:tcW w:w="1597" w:type="dxa"/>
            <w:vAlign w:val="center"/>
          </w:tcPr>
          <w:p w14:paraId="60C7118E">
            <w:pPr>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计算用截面面积(mm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 xml:space="preserve"> )</w:t>
            </w:r>
          </w:p>
        </w:tc>
        <w:tc>
          <w:tcPr>
            <w:tcW w:w="1276" w:type="dxa"/>
            <w:vAlign w:val="center"/>
          </w:tcPr>
          <w:p w14:paraId="569AC11E">
            <w:pPr>
              <w:widowControl/>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参考质量</w:t>
            </w:r>
          </w:p>
          <w:p w14:paraId="046C360F">
            <w:pPr>
              <w:widowControl/>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(kg/100 m)</w:t>
            </w:r>
          </w:p>
        </w:tc>
      </w:tr>
      <w:tr w14:paraId="6AC16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Merge w:val="restart"/>
            <w:vAlign w:val="top"/>
          </w:tcPr>
          <w:p w14:paraId="298D2807">
            <w:pPr>
              <w:spacing w:before="720" w:beforeLines="300"/>
              <w:ind w:firstLine="240" w:firstLineChars="100"/>
              <w:jc w:val="both"/>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color w:val="auto"/>
                <w:sz w:val="24"/>
                <w:szCs w:val="24"/>
                <w:highlight w:val="none"/>
              </w:rPr>
              <w:t>6×7＋IWS</w:t>
            </w:r>
          </w:p>
        </w:tc>
        <w:tc>
          <w:tcPr>
            <w:tcW w:w="1559" w:type="dxa"/>
            <w:vAlign w:val="center"/>
          </w:tcPr>
          <w:p w14:paraId="278AA114">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2.4</w:t>
            </w:r>
          </w:p>
        </w:tc>
        <w:tc>
          <w:tcPr>
            <w:tcW w:w="1096" w:type="dxa"/>
            <w:vAlign w:val="center"/>
          </w:tcPr>
          <w:p w14:paraId="7D0F1372">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（0.27）</w:t>
            </w:r>
          </w:p>
        </w:tc>
        <w:tc>
          <w:tcPr>
            <w:tcW w:w="1597" w:type="dxa"/>
            <w:vAlign w:val="center"/>
          </w:tcPr>
          <w:p w14:paraId="4C141723">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2.81</w:t>
            </w:r>
          </w:p>
        </w:tc>
        <w:tc>
          <w:tcPr>
            <w:tcW w:w="1276" w:type="dxa"/>
            <w:vAlign w:val="center"/>
          </w:tcPr>
          <w:p w14:paraId="6FF8E47A">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2.4</w:t>
            </w:r>
          </w:p>
        </w:tc>
      </w:tr>
      <w:tr w14:paraId="3A1DB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Merge w:val="continue"/>
            <w:vAlign w:val="center"/>
          </w:tcPr>
          <w:p w14:paraId="70CBAA7F">
            <w:pPr>
              <w:jc w:val="center"/>
              <w:rPr>
                <w:rFonts w:hint="default" w:ascii="Times New Roman" w:hAnsi="Times New Roman" w:eastAsia="宋体" w:cs="Times New Roman"/>
                <w:bCs/>
                <w:color w:val="auto"/>
                <w:sz w:val="24"/>
                <w:szCs w:val="24"/>
                <w:highlight w:val="none"/>
              </w:rPr>
            </w:pPr>
          </w:p>
        </w:tc>
        <w:tc>
          <w:tcPr>
            <w:tcW w:w="1559" w:type="dxa"/>
            <w:vAlign w:val="center"/>
          </w:tcPr>
          <w:p w14:paraId="13137611">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2.5</w:t>
            </w:r>
          </w:p>
        </w:tc>
        <w:tc>
          <w:tcPr>
            <w:tcW w:w="1096" w:type="dxa"/>
            <w:vAlign w:val="center"/>
          </w:tcPr>
          <w:p w14:paraId="3162D85D">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0.28</w:t>
            </w:r>
          </w:p>
        </w:tc>
        <w:tc>
          <w:tcPr>
            <w:tcW w:w="1597" w:type="dxa"/>
            <w:vAlign w:val="center"/>
          </w:tcPr>
          <w:p w14:paraId="6B000F92">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3.02</w:t>
            </w:r>
          </w:p>
        </w:tc>
        <w:tc>
          <w:tcPr>
            <w:tcW w:w="1276" w:type="dxa"/>
            <w:vAlign w:val="center"/>
          </w:tcPr>
          <w:p w14:paraId="4C3BA659">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2.73</w:t>
            </w:r>
          </w:p>
        </w:tc>
      </w:tr>
      <w:tr w14:paraId="52C02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Merge w:val="continue"/>
            <w:vAlign w:val="center"/>
          </w:tcPr>
          <w:p w14:paraId="60277D00">
            <w:pPr>
              <w:jc w:val="center"/>
              <w:rPr>
                <w:rFonts w:hint="default" w:ascii="Times New Roman" w:hAnsi="Times New Roman" w:eastAsia="宋体" w:cs="Times New Roman"/>
                <w:bCs/>
                <w:color w:val="auto"/>
                <w:sz w:val="24"/>
                <w:szCs w:val="24"/>
                <w:highlight w:val="none"/>
              </w:rPr>
            </w:pPr>
          </w:p>
        </w:tc>
        <w:tc>
          <w:tcPr>
            <w:tcW w:w="1559" w:type="dxa"/>
            <w:vAlign w:val="center"/>
          </w:tcPr>
          <w:p w14:paraId="5D130AD8">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3.0</w:t>
            </w:r>
          </w:p>
        </w:tc>
        <w:tc>
          <w:tcPr>
            <w:tcW w:w="1096" w:type="dxa"/>
            <w:vAlign w:val="center"/>
          </w:tcPr>
          <w:p w14:paraId="03EB70DD">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0.32</w:t>
            </w:r>
          </w:p>
        </w:tc>
        <w:tc>
          <w:tcPr>
            <w:tcW w:w="1597" w:type="dxa"/>
            <w:vAlign w:val="center"/>
          </w:tcPr>
          <w:p w14:paraId="0A662742">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3.94</w:t>
            </w:r>
          </w:p>
        </w:tc>
        <w:tc>
          <w:tcPr>
            <w:tcW w:w="1276" w:type="dxa"/>
            <w:vAlign w:val="center"/>
          </w:tcPr>
          <w:p w14:paraId="1E4DBDD7">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3.36</w:t>
            </w:r>
          </w:p>
        </w:tc>
      </w:tr>
      <w:tr w14:paraId="06736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Merge w:val="continue"/>
            <w:vAlign w:val="center"/>
          </w:tcPr>
          <w:p w14:paraId="33081836">
            <w:pPr>
              <w:jc w:val="center"/>
              <w:rPr>
                <w:rFonts w:hint="default" w:ascii="Times New Roman" w:hAnsi="Times New Roman" w:eastAsia="宋体" w:cs="Times New Roman"/>
                <w:bCs/>
                <w:color w:val="auto"/>
                <w:sz w:val="24"/>
                <w:szCs w:val="24"/>
                <w:highlight w:val="none"/>
              </w:rPr>
            </w:pPr>
          </w:p>
        </w:tc>
        <w:tc>
          <w:tcPr>
            <w:tcW w:w="1559" w:type="dxa"/>
            <w:vAlign w:val="center"/>
          </w:tcPr>
          <w:p w14:paraId="3FA8A94B">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3.05</w:t>
            </w:r>
          </w:p>
        </w:tc>
        <w:tc>
          <w:tcPr>
            <w:tcW w:w="1096" w:type="dxa"/>
            <w:vAlign w:val="center"/>
          </w:tcPr>
          <w:p w14:paraId="764008A6">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（0.34）</w:t>
            </w:r>
          </w:p>
        </w:tc>
        <w:tc>
          <w:tcPr>
            <w:tcW w:w="1597" w:type="dxa"/>
            <w:vAlign w:val="center"/>
          </w:tcPr>
          <w:p w14:paraId="3E2C78D4">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4.45</w:t>
            </w:r>
          </w:p>
        </w:tc>
        <w:tc>
          <w:tcPr>
            <w:tcW w:w="1276" w:type="dxa"/>
            <w:vAlign w:val="center"/>
          </w:tcPr>
          <w:p w14:paraId="08C26706">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3.83</w:t>
            </w:r>
          </w:p>
        </w:tc>
      </w:tr>
      <w:tr w14:paraId="4FDBF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Merge w:val="continue"/>
            <w:vAlign w:val="center"/>
          </w:tcPr>
          <w:p w14:paraId="702E99E6">
            <w:pPr>
              <w:jc w:val="center"/>
              <w:rPr>
                <w:rFonts w:hint="default" w:ascii="Times New Roman" w:hAnsi="Times New Roman" w:eastAsia="宋体" w:cs="Times New Roman"/>
                <w:bCs/>
                <w:color w:val="auto"/>
                <w:sz w:val="24"/>
                <w:szCs w:val="24"/>
                <w:highlight w:val="none"/>
              </w:rPr>
            </w:pPr>
          </w:p>
        </w:tc>
        <w:tc>
          <w:tcPr>
            <w:tcW w:w="1559" w:type="dxa"/>
            <w:vAlign w:val="center"/>
          </w:tcPr>
          <w:p w14:paraId="27084535">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3.2</w:t>
            </w:r>
          </w:p>
        </w:tc>
        <w:tc>
          <w:tcPr>
            <w:tcW w:w="1096" w:type="dxa"/>
            <w:vAlign w:val="center"/>
          </w:tcPr>
          <w:p w14:paraId="303DD0F9">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0.35</w:t>
            </w:r>
          </w:p>
        </w:tc>
        <w:tc>
          <w:tcPr>
            <w:tcW w:w="1597" w:type="dxa"/>
            <w:vAlign w:val="center"/>
          </w:tcPr>
          <w:p w14:paraId="69036B2B">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4.71</w:t>
            </w:r>
          </w:p>
        </w:tc>
        <w:tc>
          <w:tcPr>
            <w:tcW w:w="1276" w:type="dxa"/>
            <w:vAlign w:val="center"/>
          </w:tcPr>
          <w:p w14:paraId="5663055F">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4.21</w:t>
            </w:r>
          </w:p>
        </w:tc>
      </w:tr>
      <w:tr w14:paraId="422CC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Merge w:val="continue"/>
            <w:vAlign w:val="center"/>
          </w:tcPr>
          <w:p w14:paraId="60904C87">
            <w:pPr>
              <w:jc w:val="center"/>
              <w:rPr>
                <w:rFonts w:hint="default" w:ascii="Times New Roman" w:hAnsi="Times New Roman" w:eastAsia="宋体" w:cs="Times New Roman"/>
                <w:bCs/>
                <w:color w:val="auto"/>
                <w:sz w:val="24"/>
                <w:szCs w:val="24"/>
                <w:highlight w:val="none"/>
              </w:rPr>
            </w:pPr>
          </w:p>
        </w:tc>
        <w:tc>
          <w:tcPr>
            <w:tcW w:w="1559" w:type="dxa"/>
            <w:vAlign w:val="center"/>
          </w:tcPr>
          <w:p w14:paraId="0CC2CBD8">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3.6</w:t>
            </w:r>
          </w:p>
        </w:tc>
        <w:tc>
          <w:tcPr>
            <w:tcW w:w="1096" w:type="dxa"/>
            <w:vAlign w:val="center"/>
          </w:tcPr>
          <w:p w14:paraId="2A3F9473">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0.40</w:t>
            </w:r>
          </w:p>
        </w:tc>
        <w:tc>
          <w:tcPr>
            <w:tcW w:w="1597" w:type="dxa"/>
            <w:vAlign w:val="center"/>
          </w:tcPr>
          <w:p w14:paraId="593CD86F">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6.16</w:t>
            </w:r>
          </w:p>
        </w:tc>
        <w:tc>
          <w:tcPr>
            <w:tcW w:w="1276" w:type="dxa"/>
            <w:vAlign w:val="center"/>
          </w:tcPr>
          <w:p w14:paraId="165364DE">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6.20</w:t>
            </w:r>
          </w:p>
        </w:tc>
      </w:tr>
      <w:tr w14:paraId="3E5A4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Merge w:val="continue"/>
            <w:vAlign w:val="center"/>
          </w:tcPr>
          <w:p w14:paraId="2586A43B">
            <w:pPr>
              <w:jc w:val="center"/>
              <w:rPr>
                <w:rFonts w:hint="default" w:ascii="Times New Roman" w:hAnsi="Times New Roman" w:eastAsia="宋体" w:cs="Times New Roman"/>
                <w:bCs/>
                <w:color w:val="auto"/>
                <w:sz w:val="24"/>
                <w:szCs w:val="24"/>
                <w:highlight w:val="none"/>
              </w:rPr>
            </w:pPr>
          </w:p>
        </w:tc>
        <w:tc>
          <w:tcPr>
            <w:tcW w:w="1559" w:type="dxa"/>
            <w:vAlign w:val="center"/>
          </w:tcPr>
          <w:p w14:paraId="266C7608">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4.0</w:t>
            </w:r>
          </w:p>
        </w:tc>
        <w:tc>
          <w:tcPr>
            <w:tcW w:w="1096" w:type="dxa"/>
            <w:vAlign w:val="center"/>
          </w:tcPr>
          <w:p w14:paraId="3341F85C">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（0.44）</w:t>
            </w:r>
          </w:p>
        </w:tc>
        <w:tc>
          <w:tcPr>
            <w:tcW w:w="1597" w:type="dxa"/>
            <w:vAlign w:val="center"/>
          </w:tcPr>
          <w:p w14:paraId="57FF133E">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7.45</w:t>
            </w:r>
          </w:p>
        </w:tc>
        <w:tc>
          <w:tcPr>
            <w:tcW w:w="1276" w:type="dxa"/>
            <w:vAlign w:val="center"/>
          </w:tcPr>
          <w:p w14:paraId="3CA2CF63">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6.70</w:t>
            </w:r>
          </w:p>
        </w:tc>
      </w:tr>
      <w:tr w14:paraId="466B6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trPr>
        <w:tc>
          <w:tcPr>
            <w:tcW w:w="1276" w:type="dxa"/>
            <w:vMerge w:val="continue"/>
            <w:vAlign w:val="center"/>
          </w:tcPr>
          <w:p w14:paraId="2E8C608A">
            <w:pPr>
              <w:jc w:val="center"/>
              <w:rPr>
                <w:rFonts w:hint="default" w:ascii="Times New Roman" w:hAnsi="Times New Roman" w:eastAsia="宋体" w:cs="Times New Roman"/>
                <w:bCs/>
                <w:color w:val="auto"/>
                <w:sz w:val="24"/>
                <w:szCs w:val="24"/>
                <w:highlight w:val="none"/>
              </w:rPr>
            </w:pPr>
          </w:p>
        </w:tc>
        <w:tc>
          <w:tcPr>
            <w:tcW w:w="1559" w:type="dxa"/>
            <w:vAlign w:val="center"/>
          </w:tcPr>
          <w:p w14:paraId="18AB7513">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4.2</w:t>
            </w:r>
          </w:p>
        </w:tc>
        <w:tc>
          <w:tcPr>
            <w:tcW w:w="1096" w:type="dxa"/>
            <w:vAlign w:val="center"/>
          </w:tcPr>
          <w:p w14:paraId="42776D81">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0.45</w:t>
            </w:r>
          </w:p>
        </w:tc>
        <w:tc>
          <w:tcPr>
            <w:tcW w:w="1597" w:type="dxa"/>
            <w:vAlign w:val="center"/>
          </w:tcPr>
          <w:p w14:paraId="3ED93F00">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7.79</w:t>
            </w:r>
          </w:p>
        </w:tc>
        <w:tc>
          <w:tcPr>
            <w:tcW w:w="1276" w:type="dxa"/>
            <w:vAlign w:val="center"/>
          </w:tcPr>
          <w:p w14:paraId="3B7C037E">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7.05</w:t>
            </w:r>
          </w:p>
        </w:tc>
      </w:tr>
      <w:tr w14:paraId="09C06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276" w:type="dxa"/>
            <w:vMerge w:val="continue"/>
            <w:vAlign w:val="center"/>
          </w:tcPr>
          <w:p w14:paraId="7A090F11">
            <w:pPr>
              <w:jc w:val="center"/>
              <w:rPr>
                <w:rFonts w:hint="default" w:ascii="Times New Roman" w:hAnsi="Times New Roman" w:eastAsia="宋体" w:cs="Times New Roman"/>
                <w:bCs/>
                <w:color w:val="auto"/>
                <w:sz w:val="24"/>
                <w:szCs w:val="24"/>
                <w:highlight w:val="none"/>
              </w:rPr>
            </w:pPr>
          </w:p>
        </w:tc>
        <w:tc>
          <w:tcPr>
            <w:tcW w:w="1559" w:type="dxa"/>
            <w:vAlign w:val="center"/>
          </w:tcPr>
          <w:p w14:paraId="6D918172">
            <w:pPr>
              <w:jc w:val="center"/>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4.5</w:t>
            </w:r>
          </w:p>
        </w:tc>
        <w:tc>
          <w:tcPr>
            <w:tcW w:w="1096" w:type="dxa"/>
            <w:vAlign w:val="center"/>
          </w:tcPr>
          <w:p w14:paraId="53749B50">
            <w:pPr>
              <w:jc w:val="center"/>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0.50</w:t>
            </w:r>
          </w:p>
        </w:tc>
        <w:tc>
          <w:tcPr>
            <w:tcW w:w="1597" w:type="dxa"/>
            <w:vAlign w:val="center"/>
          </w:tcPr>
          <w:p w14:paraId="4E4C9870">
            <w:pPr>
              <w:jc w:val="center"/>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9.62</w:t>
            </w:r>
          </w:p>
        </w:tc>
        <w:tc>
          <w:tcPr>
            <w:tcW w:w="1276" w:type="dxa"/>
            <w:vAlign w:val="center"/>
          </w:tcPr>
          <w:p w14:paraId="656447D4">
            <w:pPr>
              <w:jc w:val="center"/>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8.70</w:t>
            </w:r>
          </w:p>
        </w:tc>
      </w:tr>
      <w:tr w14:paraId="15664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Align w:val="center"/>
          </w:tcPr>
          <w:p w14:paraId="10E9B697">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color w:val="auto"/>
                <w:sz w:val="24"/>
                <w:szCs w:val="24"/>
                <w:highlight w:val="none"/>
              </w:rPr>
              <w:t>1×19</w:t>
            </w:r>
          </w:p>
        </w:tc>
        <w:tc>
          <w:tcPr>
            <w:tcW w:w="1559" w:type="dxa"/>
            <w:vAlign w:val="center"/>
          </w:tcPr>
          <w:p w14:paraId="6C6D740E">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2.5</w:t>
            </w:r>
          </w:p>
        </w:tc>
        <w:tc>
          <w:tcPr>
            <w:tcW w:w="1096" w:type="dxa"/>
            <w:vAlign w:val="center"/>
          </w:tcPr>
          <w:p w14:paraId="50FED0EE">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0.50</w:t>
            </w:r>
          </w:p>
        </w:tc>
        <w:tc>
          <w:tcPr>
            <w:tcW w:w="1597" w:type="dxa"/>
            <w:vAlign w:val="center"/>
          </w:tcPr>
          <w:p w14:paraId="6DBCACD0">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3.73</w:t>
            </w:r>
          </w:p>
        </w:tc>
        <w:tc>
          <w:tcPr>
            <w:tcW w:w="1276" w:type="dxa"/>
            <w:vAlign w:val="center"/>
          </w:tcPr>
          <w:p w14:paraId="2A9F3AF0">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3.10</w:t>
            </w:r>
          </w:p>
        </w:tc>
      </w:tr>
    </w:tbl>
    <w:p w14:paraId="4583404C">
      <w:pPr>
        <w:rPr>
          <w:rFonts w:hint="default" w:ascii="Times New Roman" w:hAnsi="Times New Roman" w:eastAsia="宋体" w:cs="Times New Roman"/>
          <w:b/>
          <w:color w:val="auto"/>
          <w:sz w:val="24"/>
          <w:szCs w:val="24"/>
          <w:highlight w:val="cyan"/>
        </w:rPr>
      </w:pPr>
    </w:p>
    <w:p w14:paraId="5243086F">
      <w:pPr>
        <w:spacing w:line="36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lang w:val="en-US" w:eastAsia="zh-CN"/>
        </w:rPr>
        <w:t>6</w:t>
      </w:r>
      <w:r>
        <w:rPr>
          <w:rFonts w:hint="default" w:ascii="Times New Roman" w:hAnsi="Times New Roman" w:eastAsia="宋体" w:cs="Times New Roman"/>
          <w:b/>
          <w:color w:val="auto"/>
          <w:sz w:val="24"/>
          <w:szCs w:val="24"/>
          <w:highlight w:val="none"/>
        </w:rPr>
        <w:t>.3.5</w:t>
      </w:r>
      <w:r>
        <w:rPr>
          <w:rFonts w:hint="default" w:ascii="Times New Roman" w:hAnsi="Times New Roman" w:eastAsia="宋体" w:cs="Times New Roman"/>
          <w:b/>
          <w:color w:val="auto"/>
          <w:sz w:val="24"/>
          <w:szCs w:val="24"/>
          <w:highlight w:val="none"/>
          <w:lang w:val="en-US" w:eastAsia="zh-CN"/>
        </w:rPr>
        <w:t>7</w:t>
      </w:r>
      <w:r>
        <w:rPr>
          <w:rFonts w:hint="default" w:ascii="Times New Roman" w:hAnsi="Times New Roman" w:eastAsia="宋体" w:cs="Times New Roman"/>
          <w:color w:val="auto"/>
          <w:sz w:val="24"/>
          <w:szCs w:val="24"/>
          <w:highlight w:val="none"/>
        </w:rPr>
        <w:t xml:space="preserve"> 当被加固构件的表面有防火要求时，应按现行国家标准《建筑设计防火规范》GB 50016规定的耐火等级及耐火极限要求，对钢丝绳网-聚合物砂浆面层进行防护。</w:t>
      </w:r>
    </w:p>
    <w:p w14:paraId="5758B919">
      <w:pPr>
        <w:spacing w:line="360" w:lineRule="exact"/>
        <w:rPr>
          <w:rFonts w:hint="default" w:ascii="Times New Roman" w:hAnsi="Times New Roman" w:eastAsia="宋体" w:cs="Times New Roman"/>
          <w:color w:val="auto"/>
          <w:sz w:val="24"/>
          <w:szCs w:val="24"/>
          <w:highlight w:val="none"/>
        </w:rPr>
      </w:pPr>
      <w:bookmarkStart w:id="112" w:name="_Toc5424"/>
      <w:r>
        <w:rPr>
          <w:rFonts w:hint="default" w:ascii="Times New Roman" w:hAnsi="Times New Roman" w:eastAsia="宋体" w:cs="Times New Roman"/>
          <w:b/>
          <w:color w:val="auto"/>
          <w:sz w:val="24"/>
          <w:szCs w:val="24"/>
          <w:highlight w:val="none"/>
          <w:lang w:val="en-US" w:eastAsia="zh-CN"/>
        </w:rPr>
        <w:t>6</w:t>
      </w:r>
      <w:r>
        <w:rPr>
          <w:rFonts w:hint="default" w:ascii="Times New Roman" w:hAnsi="Times New Roman" w:eastAsia="宋体" w:cs="Times New Roman"/>
          <w:b/>
          <w:color w:val="auto"/>
          <w:sz w:val="24"/>
          <w:szCs w:val="24"/>
          <w:highlight w:val="none"/>
        </w:rPr>
        <w:t>.3.5</w:t>
      </w:r>
      <w:r>
        <w:rPr>
          <w:rFonts w:hint="default" w:ascii="Times New Roman" w:hAnsi="Times New Roman" w:eastAsia="宋体" w:cs="Times New Roman"/>
          <w:b/>
          <w:color w:val="auto"/>
          <w:sz w:val="24"/>
          <w:szCs w:val="24"/>
          <w:highlight w:val="none"/>
          <w:lang w:val="en-US" w:eastAsia="zh-CN"/>
        </w:rPr>
        <w:t>8</w:t>
      </w:r>
      <w:r>
        <w:rPr>
          <w:rFonts w:hint="default" w:ascii="Times New Roman" w:hAnsi="Times New Roman" w:eastAsia="宋体" w:cs="Times New Roman"/>
          <w:color w:val="auto"/>
          <w:sz w:val="24"/>
          <w:szCs w:val="24"/>
          <w:highlight w:val="none"/>
        </w:rPr>
        <w:t xml:space="preserve"> 采用本方法加固时，应采取措施卸除或大部分卸除作用在结构上的活荷载。</w:t>
      </w:r>
      <w:bookmarkEnd w:id="112"/>
    </w:p>
    <w:p w14:paraId="1ACCAC8A">
      <w:pPr>
        <w:spacing w:line="360" w:lineRule="exact"/>
        <w:rPr>
          <w:rFonts w:hint="default" w:ascii="Times New Roman" w:hAnsi="Times New Roman" w:eastAsia="宋体" w:cs="Times New Roman"/>
          <w:color w:val="auto"/>
          <w:sz w:val="24"/>
          <w:szCs w:val="24"/>
          <w:highlight w:val="none"/>
        </w:rPr>
      </w:pPr>
      <w:bookmarkStart w:id="113" w:name="_Toc27115"/>
      <w:r>
        <w:rPr>
          <w:rFonts w:hint="default" w:ascii="Times New Roman" w:hAnsi="Times New Roman" w:eastAsia="宋体" w:cs="Times New Roman"/>
          <w:b/>
          <w:color w:val="auto"/>
          <w:sz w:val="24"/>
          <w:szCs w:val="24"/>
          <w:highlight w:val="none"/>
          <w:lang w:val="en-US" w:eastAsia="zh-CN"/>
        </w:rPr>
        <w:t>6</w:t>
      </w:r>
      <w:r>
        <w:rPr>
          <w:rFonts w:hint="default" w:ascii="Times New Roman" w:hAnsi="Times New Roman" w:eastAsia="宋体" w:cs="Times New Roman"/>
          <w:b/>
          <w:color w:val="auto"/>
          <w:sz w:val="24"/>
          <w:szCs w:val="24"/>
          <w:highlight w:val="none"/>
        </w:rPr>
        <w:t>.3.5</w:t>
      </w:r>
      <w:r>
        <w:rPr>
          <w:rFonts w:hint="default" w:ascii="Times New Roman" w:hAnsi="Times New Roman" w:eastAsia="宋体" w:cs="Times New Roman"/>
          <w:b/>
          <w:color w:val="auto"/>
          <w:sz w:val="24"/>
          <w:szCs w:val="24"/>
          <w:highlight w:val="none"/>
          <w:lang w:val="en-US" w:eastAsia="zh-CN"/>
        </w:rPr>
        <w:t>9</w:t>
      </w:r>
      <w:r>
        <w:rPr>
          <w:rFonts w:hint="default" w:ascii="Times New Roman" w:hAnsi="Times New Roman" w:eastAsia="宋体" w:cs="Times New Roman"/>
          <w:color w:val="auto"/>
          <w:sz w:val="24"/>
          <w:szCs w:val="24"/>
          <w:highlight w:val="none"/>
        </w:rPr>
        <w:t xml:space="preserve"> 钢丝绳网-聚合物改性水泥砂浆面层加固砌体墙的设计应符合下列要求：</w:t>
      </w:r>
      <w:bookmarkEnd w:id="113"/>
    </w:p>
    <w:p w14:paraId="00D2BD24">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 xml:space="preserve">1 </w:t>
      </w:r>
      <w:r>
        <w:rPr>
          <w:rFonts w:hint="default" w:ascii="Times New Roman" w:hAnsi="Times New Roman" w:eastAsia="宋体" w:cs="Times New Roman"/>
          <w:color w:val="auto"/>
          <w:sz w:val="24"/>
          <w:szCs w:val="24"/>
          <w:highlight w:val="none"/>
          <w:lang w:eastAsia="zh-CN"/>
        </w:rPr>
        <w:t>原砌体构件按现场检测结果推定的块体强度等级不应低于MU7.5，砂浆强度等级不应低于M1.0；块体表面与结构胶黏结的正拉黏结强度不应低于1.5MPa。</w:t>
      </w:r>
    </w:p>
    <w:p w14:paraId="7A443862">
      <w:pPr>
        <w:pStyle w:val="12"/>
        <w:ind w:firstLine="422"/>
        <w:rPr>
          <w:rFonts w:hint="default" w:ascii="Times New Roman" w:hAnsi="Times New Roman" w:eastAsia="宋体" w:cs="Times New Roman"/>
          <w:color w:val="auto"/>
          <w:sz w:val="24"/>
          <w:szCs w:val="24"/>
          <w:highlight w:val="none"/>
          <w:lang w:eastAsia="zh-CN"/>
        </w:rPr>
      </w:pPr>
      <w:bookmarkStart w:id="114" w:name="_Toc10916"/>
      <w:r>
        <w:rPr>
          <w:rFonts w:hint="default" w:ascii="Times New Roman" w:hAnsi="Times New Roman" w:eastAsia="宋体" w:cs="Times New Roman"/>
          <w:b/>
          <w:color w:val="auto"/>
          <w:sz w:val="24"/>
          <w:szCs w:val="24"/>
          <w:highlight w:val="none"/>
          <w:lang w:eastAsia="zh-CN"/>
        </w:rPr>
        <w:t>2</w:t>
      </w:r>
      <w:r>
        <w:rPr>
          <w:rFonts w:hint="default" w:ascii="Times New Roman" w:hAnsi="Times New Roman" w:eastAsia="宋体" w:cs="Times New Roman"/>
          <w:color w:val="auto"/>
          <w:sz w:val="24"/>
          <w:szCs w:val="24"/>
          <w:highlight w:val="none"/>
          <w:lang w:eastAsia="zh-CN"/>
        </w:rPr>
        <w:t xml:space="preserve"> 原砌体不得出现严重腐蚀、粉化。</w:t>
      </w:r>
      <w:bookmarkEnd w:id="114"/>
    </w:p>
    <w:p w14:paraId="0A22892C">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color w:val="auto"/>
          <w:sz w:val="24"/>
          <w:szCs w:val="24"/>
          <w:highlight w:val="none"/>
          <w:lang w:eastAsia="zh-CN"/>
        </w:rPr>
        <w:t>3</w:t>
      </w:r>
      <w:r>
        <w:rPr>
          <w:rFonts w:hint="default" w:ascii="Times New Roman" w:hAnsi="Times New Roman" w:eastAsia="宋体" w:cs="Times New Roman"/>
          <w:color w:val="auto"/>
          <w:sz w:val="24"/>
          <w:szCs w:val="24"/>
          <w:highlight w:val="none"/>
          <w:lang w:eastAsia="zh-CN"/>
        </w:rPr>
        <w:t xml:space="preserve"> 聚合物砂浆层的厚度应大于25mm，钢丝绳保护层厚度不应小于15mm。</w:t>
      </w:r>
    </w:p>
    <w:p w14:paraId="00FB540D">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color w:val="auto"/>
          <w:sz w:val="24"/>
          <w:szCs w:val="24"/>
          <w:highlight w:val="none"/>
          <w:lang w:eastAsia="zh-CN"/>
        </w:rPr>
        <w:t xml:space="preserve">4 </w:t>
      </w:r>
      <w:r>
        <w:rPr>
          <w:rFonts w:hint="default" w:ascii="Times New Roman" w:hAnsi="Times New Roman" w:eastAsia="宋体" w:cs="Times New Roman"/>
          <w:color w:val="auto"/>
          <w:sz w:val="24"/>
          <w:szCs w:val="24"/>
          <w:highlight w:val="none"/>
          <w:lang w:eastAsia="zh-CN"/>
        </w:rPr>
        <w:t>钢丝绳网-聚合物砂浆面层可单面或双面设置，钢丝绳网应采用专用金属胀栓固定在墙上，其间距宜为600mm，且呈梅花状布置。</w:t>
      </w:r>
    </w:p>
    <w:p w14:paraId="4FA5F889">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color w:val="auto"/>
          <w:sz w:val="24"/>
          <w:szCs w:val="24"/>
          <w:highlight w:val="none"/>
          <w:lang w:eastAsia="zh-CN"/>
        </w:rPr>
        <w:t xml:space="preserve">5 </w:t>
      </w:r>
      <w:r>
        <w:rPr>
          <w:rFonts w:hint="default" w:ascii="Times New Roman" w:hAnsi="Times New Roman" w:eastAsia="宋体" w:cs="Times New Roman"/>
          <w:color w:val="auto"/>
          <w:sz w:val="24"/>
          <w:szCs w:val="24"/>
          <w:highlight w:val="none"/>
          <w:lang w:eastAsia="zh-CN"/>
        </w:rPr>
        <w:t>钢丝绳四周应与楼板或大梁、柱或墙体可靠连接；在室（内）外地面下宜加厚并伸入地面下500mm。</w:t>
      </w:r>
    </w:p>
    <w:p w14:paraId="086027C0">
      <w:pPr>
        <w:spacing w:line="36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lang w:val="en-US" w:eastAsia="zh-CN"/>
        </w:rPr>
        <w:t>6</w:t>
      </w:r>
      <w:r>
        <w:rPr>
          <w:rFonts w:hint="default" w:ascii="Times New Roman" w:hAnsi="Times New Roman" w:eastAsia="宋体" w:cs="Times New Roman"/>
          <w:b/>
          <w:color w:val="auto"/>
          <w:sz w:val="24"/>
          <w:szCs w:val="24"/>
          <w:highlight w:val="none"/>
        </w:rPr>
        <w:t>.3.</w:t>
      </w:r>
      <w:r>
        <w:rPr>
          <w:rFonts w:hint="default" w:ascii="Times New Roman" w:hAnsi="Times New Roman" w:eastAsia="宋体" w:cs="Times New Roman"/>
          <w:b/>
          <w:color w:val="auto"/>
          <w:sz w:val="24"/>
          <w:szCs w:val="24"/>
          <w:highlight w:val="none"/>
          <w:lang w:val="en-US" w:eastAsia="zh-CN"/>
        </w:rPr>
        <w:t>60</w:t>
      </w:r>
      <w:r>
        <w:rPr>
          <w:rFonts w:hint="default" w:ascii="Times New Roman" w:hAnsi="Times New Roman" w:eastAsia="宋体" w:cs="Times New Roman"/>
          <w:color w:val="auto"/>
          <w:sz w:val="24"/>
          <w:szCs w:val="24"/>
          <w:highlight w:val="none"/>
        </w:rPr>
        <w:t xml:space="preserve"> 对于Ⅰ类砌体房屋，加固后，有关构件支承长度的影响系数应作相应改变，有关墙体局部尺寸的影响系数可取1.0；楼层抗震能力的增强系数，可按本规程公式（</w:t>
      </w:r>
      <w:r>
        <w:rPr>
          <w:rFonts w:hint="default" w:ascii="Times New Roman" w:hAnsi="Times New Roman" w:eastAsia="宋体" w:cs="Times New Roman"/>
          <w:color w:val="auto"/>
          <w:sz w:val="24"/>
          <w:szCs w:val="24"/>
          <w:highlight w:val="none"/>
          <w:lang w:val="en-US" w:eastAsia="zh-CN"/>
        </w:rPr>
        <w:t>6.3</w:t>
      </w:r>
      <w:r>
        <w:rPr>
          <w:rFonts w:hint="default" w:ascii="Times New Roman" w:hAnsi="Times New Roman" w:eastAsia="宋体" w:cs="Times New Roman"/>
          <w:color w:val="auto"/>
          <w:sz w:val="24"/>
          <w:szCs w:val="24"/>
          <w:highlight w:val="none"/>
        </w:rPr>
        <w:t>.8-1）采用，其中，面层加固的基准增强系数，对黏土普通砖可按表</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60</w:t>
      </w:r>
      <w:r>
        <w:rPr>
          <w:rFonts w:hint="default" w:ascii="Times New Roman" w:hAnsi="Times New Roman" w:eastAsia="宋体" w:cs="Times New Roman"/>
          <w:color w:val="auto"/>
          <w:sz w:val="24"/>
          <w:szCs w:val="24"/>
          <w:highlight w:val="none"/>
        </w:rPr>
        <w:t>-1采用；墙体刚度基准提高系数，可按表</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60</w:t>
      </w:r>
      <w:r>
        <w:rPr>
          <w:rFonts w:hint="default" w:ascii="Times New Roman" w:hAnsi="Times New Roman" w:eastAsia="宋体" w:cs="Times New Roman"/>
          <w:color w:val="auto"/>
          <w:sz w:val="24"/>
          <w:szCs w:val="24"/>
          <w:highlight w:val="none"/>
        </w:rPr>
        <w:t>-2采用。</w:t>
      </w:r>
    </w:p>
    <w:p w14:paraId="6AF3E8AD">
      <w:pPr>
        <w:spacing w:before="120" w:beforeLines="50"/>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8"/>
          <w:szCs w:val="28"/>
          <w:highlight w:val="none"/>
        </w:rPr>
        <w:t>表</w:t>
      </w:r>
      <w:r>
        <w:rPr>
          <w:rFonts w:hint="default" w:ascii="Times New Roman" w:hAnsi="Times New Roman" w:eastAsia="宋体" w:cs="Times New Roman"/>
          <w:color w:val="auto"/>
          <w:sz w:val="28"/>
          <w:szCs w:val="28"/>
          <w:highlight w:val="none"/>
          <w:lang w:val="en-US" w:eastAsia="zh-CN"/>
        </w:rPr>
        <w:t>6</w:t>
      </w:r>
      <w:r>
        <w:rPr>
          <w:rFonts w:hint="default" w:ascii="Times New Roman" w:hAnsi="Times New Roman" w:eastAsia="宋体" w:cs="Times New Roman"/>
          <w:color w:val="auto"/>
          <w:sz w:val="28"/>
          <w:szCs w:val="28"/>
          <w:highlight w:val="none"/>
        </w:rPr>
        <w:t>.</w:t>
      </w:r>
      <w:r>
        <w:rPr>
          <w:rFonts w:hint="default" w:ascii="Times New Roman" w:hAnsi="Times New Roman" w:eastAsia="宋体" w:cs="Times New Roman"/>
          <w:color w:val="auto"/>
          <w:sz w:val="28"/>
          <w:szCs w:val="28"/>
          <w:highlight w:val="none"/>
          <w:lang w:val="en-US" w:eastAsia="zh-CN"/>
        </w:rPr>
        <w:t>3</w:t>
      </w:r>
      <w:r>
        <w:rPr>
          <w:rFonts w:hint="default" w:ascii="Times New Roman" w:hAnsi="Times New Roman" w:eastAsia="宋体" w:cs="Times New Roman"/>
          <w:color w:val="auto"/>
          <w:sz w:val="28"/>
          <w:szCs w:val="28"/>
          <w:highlight w:val="none"/>
        </w:rPr>
        <w:t>.</w:t>
      </w:r>
      <w:r>
        <w:rPr>
          <w:rFonts w:hint="default" w:ascii="Times New Roman" w:hAnsi="Times New Roman" w:eastAsia="宋体" w:cs="Times New Roman"/>
          <w:color w:val="auto"/>
          <w:sz w:val="28"/>
          <w:szCs w:val="28"/>
          <w:highlight w:val="none"/>
          <w:lang w:val="en-US" w:eastAsia="zh-CN"/>
        </w:rPr>
        <w:t>60</w:t>
      </w:r>
      <w:r>
        <w:rPr>
          <w:rFonts w:hint="default" w:ascii="Times New Roman" w:hAnsi="Times New Roman" w:eastAsia="宋体" w:cs="Times New Roman"/>
          <w:color w:val="auto"/>
          <w:sz w:val="28"/>
          <w:szCs w:val="28"/>
          <w:highlight w:val="none"/>
        </w:rPr>
        <w:t>-1 钢绞线网-聚合物砂浆面层加固的基准增强系数</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0"/>
        <w:gridCol w:w="895"/>
        <w:gridCol w:w="895"/>
        <w:gridCol w:w="896"/>
        <w:gridCol w:w="896"/>
        <w:gridCol w:w="896"/>
        <w:gridCol w:w="896"/>
        <w:gridCol w:w="896"/>
        <w:gridCol w:w="896"/>
        <w:gridCol w:w="896"/>
        <w:gridCol w:w="896"/>
      </w:tblGrid>
      <w:tr w14:paraId="45EAF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restart"/>
          </w:tcPr>
          <w:p w14:paraId="09E40C63">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面层</w:t>
            </w:r>
          </w:p>
          <w:p w14:paraId="533823B3">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厚度</w:t>
            </w:r>
          </w:p>
          <w:p w14:paraId="51347DDA">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（mm）</w:t>
            </w:r>
          </w:p>
        </w:tc>
        <w:tc>
          <w:tcPr>
            <w:tcW w:w="1790" w:type="dxa"/>
            <w:gridSpan w:val="2"/>
          </w:tcPr>
          <w:p w14:paraId="3F41B093">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color w:val="auto"/>
                <w:sz w:val="24"/>
                <w:szCs w:val="24"/>
                <w:highlight w:val="none"/>
              </w:rPr>
              <w:t>钢绞线网</w:t>
            </w:r>
          </w:p>
        </w:tc>
        <w:tc>
          <w:tcPr>
            <w:tcW w:w="3584" w:type="dxa"/>
            <w:gridSpan w:val="4"/>
          </w:tcPr>
          <w:p w14:paraId="5A41422E">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color w:val="auto"/>
                <w:sz w:val="24"/>
                <w:szCs w:val="24"/>
                <w:highlight w:val="none"/>
              </w:rPr>
              <w:t>单 面 加 固</w:t>
            </w:r>
          </w:p>
        </w:tc>
        <w:tc>
          <w:tcPr>
            <w:tcW w:w="3584" w:type="dxa"/>
            <w:gridSpan w:val="4"/>
          </w:tcPr>
          <w:p w14:paraId="69EB74D3">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color w:val="auto"/>
                <w:sz w:val="24"/>
                <w:szCs w:val="24"/>
                <w:highlight w:val="none"/>
              </w:rPr>
              <w:t>双 面 加 固</w:t>
            </w:r>
          </w:p>
        </w:tc>
      </w:tr>
      <w:tr w14:paraId="31F8F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continue"/>
          </w:tcPr>
          <w:p w14:paraId="03E7619A">
            <w:pPr>
              <w:jc w:val="center"/>
              <w:rPr>
                <w:rFonts w:hint="default" w:ascii="Times New Roman" w:hAnsi="Times New Roman" w:eastAsia="宋体" w:cs="Times New Roman"/>
                <w:bCs/>
                <w:color w:val="auto"/>
                <w:sz w:val="24"/>
                <w:szCs w:val="24"/>
                <w:highlight w:val="none"/>
              </w:rPr>
            </w:pPr>
          </w:p>
        </w:tc>
        <w:tc>
          <w:tcPr>
            <w:tcW w:w="895" w:type="dxa"/>
            <w:vMerge w:val="restart"/>
          </w:tcPr>
          <w:p w14:paraId="4B87214B">
            <w:pPr>
              <w:widowControl/>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直径</w:t>
            </w:r>
          </w:p>
          <w:p w14:paraId="798FE4D8">
            <w:pPr>
              <w:widowControl/>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(mm)</w:t>
            </w:r>
          </w:p>
        </w:tc>
        <w:tc>
          <w:tcPr>
            <w:tcW w:w="895" w:type="dxa"/>
            <w:vMerge w:val="restart"/>
          </w:tcPr>
          <w:p w14:paraId="1D06611D">
            <w:pPr>
              <w:widowControl/>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间距</w:t>
            </w:r>
          </w:p>
          <w:p w14:paraId="515F0DB3">
            <w:pPr>
              <w:widowControl/>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(mm)</w:t>
            </w:r>
          </w:p>
        </w:tc>
        <w:tc>
          <w:tcPr>
            <w:tcW w:w="7168" w:type="dxa"/>
            <w:gridSpan w:val="8"/>
          </w:tcPr>
          <w:p w14:paraId="214361FA">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color w:val="auto"/>
                <w:sz w:val="24"/>
                <w:szCs w:val="24"/>
                <w:highlight w:val="none"/>
              </w:rPr>
              <w:t>原墙体砂浆强度等级</w:t>
            </w:r>
          </w:p>
        </w:tc>
      </w:tr>
      <w:tr w14:paraId="0190A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continue"/>
          </w:tcPr>
          <w:p w14:paraId="09395A9E">
            <w:pPr>
              <w:jc w:val="center"/>
              <w:rPr>
                <w:rFonts w:hint="default" w:ascii="Times New Roman" w:hAnsi="Times New Roman" w:eastAsia="宋体" w:cs="Times New Roman"/>
                <w:bCs/>
                <w:color w:val="auto"/>
                <w:sz w:val="24"/>
                <w:szCs w:val="24"/>
                <w:highlight w:val="none"/>
              </w:rPr>
            </w:pPr>
          </w:p>
        </w:tc>
        <w:tc>
          <w:tcPr>
            <w:tcW w:w="895" w:type="dxa"/>
            <w:vMerge w:val="continue"/>
          </w:tcPr>
          <w:p w14:paraId="2C2AE093">
            <w:pPr>
              <w:jc w:val="center"/>
              <w:rPr>
                <w:rFonts w:hint="default" w:ascii="Times New Roman" w:hAnsi="Times New Roman" w:eastAsia="宋体" w:cs="Times New Roman"/>
                <w:bCs/>
                <w:color w:val="auto"/>
                <w:sz w:val="24"/>
                <w:szCs w:val="24"/>
                <w:highlight w:val="none"/>
              </w:rPr>
            </w:pPr>
          </w:p>
        </w:tc>
        <w:tc>
          <w:tcPr>
            <w:tcW w:w="895" w:type="dxa"/>
            <w:vMerge w:val="continue"/>
          </w:tcPr>
          <w:p w14:paraId="4EEDE6E9">
            <w:pPr>
              <w:jc w:val="center"/>
              <w:rPr>
                <w:rFonts w:hint="default" w:ascii="Times New Roman" w:hAnsi="Times New Roman" w:eastAsia="宋体" w:cs="Times New Roman"/>
                <w:bCs/>
                <w:color w:val="auto"/>
                <w:sz w:val="24"/>
                <w:szCs w:val="24"/>
                <w:highlight w:val="none"/>
              </w:rPr>
            </w:pPr>
          </w:p>
        </w:tc>
        <w:tc>
          <w:tcPr>
            <w:tcW w:w="896" w:type="dxa"/>
          </w:tcPr>
          <w:p w14:paraId="158887E6">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M0.4</w:t>
            </w:r>
          </w:p>
        </w:tc>
        <w:tc>
          <w:tcPr>
            <w:tcW w:w="896" w:type="dxa"/>
          </w:tcPr>
          <w:p w14:paraId="2D04F732">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M1.0</w:t>
            </w:r>
          </w:p>
        </w:tc>
        <w:tc>
          <w:tcPr>
            <w:tcW w:w="896" w:type="dxa"/>
          </w:tcPr>
          <w:p w14:paraId="2783E87B">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M2.5</w:t>
            </w:r>
          </w:p>
        </w:tc>
        <w:tc>
          <w:tcPr>
            <w:tcW w:w="896" w:type="dxa"/>
          </w:tcPr>
          <w:p w14:paraId="35C5CB17">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M5.0</w:t>
            </w:r>
          </w:p>
        </w:tc>
        <w:tc>
          <w:tcPr>
            <w:tcW w:w="896" w:type="dxa"/>
          </w:tcPr>
          <w:p w14:paraId="1357F23A">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M0.4</w:t>
            </w:r>
          </w:p>
        </w:tc>
        <w:tc>
          <w:tcPr>
            <w:tcW w:w="896" w:type="dxa"/>
          </w:tcPr>
          <w:p w14:paraId="31CBEA4A">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M1.0</w:t>
            </w:r>
          </w:p>
        </w:tc>
        <w:tc>
          <w:tcPr>
            <w:tcW w:w="896" w:type="dxa"/>
          </w:tcPr>
          <w:p w14:paraId="7E54AA77">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M2.5</w:t>
            </w:r>
          </w:p>
        </w:tc>
        <w:tc>
          <w:tcPr>
            <w:tcW w:w="896" w:type="dxa"/>
          </w:tcPr>
          <w:p w14:paraId="6586CBBE">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M5.0</w:t>
            </w:r>
          </w:p>
        </w:tc>
      </w:tr>
      <w:tr w14:paraId="7FC17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restart"/>
          </w:tcPr>
          <w:p w14:paraId="5D16932B">
            <w:pPr>
              <w:spacing w:before="84" w:beforeLines="35"/>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25</w:t>
            </w:r>
          </w:p>
        </w:tc>
        <w:tc>
          <w:tcPr>
            <w:tcW w:w="895" w:type="dxa"/>
            <w:vMerge w:val="restart"/>
          </w:tcPr>
          <w:p w14:paraId="1E18D1DF">
            <w:pPr>
              <w:spacing w:before="84" w:beforeLines="35"/>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3.05</w:t>
            </w:r>
          </w:p>
        </w:tc>
        <w:tc>
          <w:tcPr>
            <w:tcW w:w="895" w:type="dxa"/>
          </w:tcPr>
          <w:p w14:paraId="26F6B121">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80</w:t>
            </w:r>
          </w:p>
        </w:tc>
        <w:tc>
          <w:tcPr>
            <w:tcW w:w="896" w:type="dxa"/>
          </w:tcPr>
          <w:p w14:paraId="37116DA0">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2.42</w:t>
            </w:r>
          </w:p>
        </w:tc>
        <w:tc>
          <w:tcPr>
            <w:tcW w:w="896" w:type="dxa"/>
          </w:tcPr>
          <w:p w14:paraId="1CD9C030">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1.92</w:t>
            </w:r>
          </w:p>
        </w:tc>
        <w:tc>
          <w:tcPr>
            <w:tcW w:w="896" w:type="dxa"/>
          </w:tcPr>
          <w:p w14:paraId="3209818C">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1.65</w:t>
            </w:r>
          </w:p>
        </w:tc>
        <w:tc>
          <w:tcPr>
            <w:tcW w:w="896" w:type="dxa"/>
          </w:tcPr>
          <w:p w14:paraId="19491735">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1.48</w:t>
            </w:r>
          </w:p>
        </w:tc>
        <w:tc>
          <w:tcPr>
            <w:tcW w:w="896" w:type="dxa"/>
          </w:tcPr>
          <w:p w14:paraId="1366DD9C">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3.10</w:t>
            </w:r>
          </w:p>
        </w:tc>
        <w:tc>
          <w:tcPr>
            <w:tcW w:w="896" w:type="dxa"/>
          </w:tcPr>
          <w:p w14:paraId="7B65EC4E">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2.17</w:t>
            </w:r>
          </w:p>
        </w:tc>
        <w:tc>
          <w:tcPr>
            <w:tcW w:w="896" w:type="dxa"/>
          </w:tcPr>
          <w:p w14:paraId="5B80E73D">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1.89</w:t>
            </w:r>
          </w:p>
        </w:tc>
        <w:tc>
          <w:tcPr>
            <w:tcW w:w="896" w:type="dxa"/>
          </w:tcPr>
          <w:p w14:paraId="478D10BE">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1.65</w:t>
            </w:r>
          </w:p>
        </w:tc>
      </w:tr>
      <w:tr w14:paraId="2BE51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continue"/>
          </w:tcPr>
          <w:p w14:paraId="0C09362B">
            <w:pPr>
              <w:jc w:val="center"/>
              <w:rPr>
                <w:rFonts w:hint="default" w:ascii="Times New Roman" w:hAnsi="Times New Roman" w:eastAsia="宋体" w:cs="Times New Roman"/>
                <w:bCs/>
                <w:color w:val="auto"/>
                <w:sz w:val="24"/>
                <w:szCs w:val="24"/>
                <w:highlight w:val="none"/>
              </w:rPr>
            </w:pPr>
          </w:p>
        </w:tc>
        <w:tc>
          <w:tcPr>
            <w:tcW w:w="895" w:type="dxa"/>
            <w:vMerge w:val="continue"/>
          </w:tcPr>
          <w:p w14:paraId="32DB6728">
            <w:pPr>
              <w:jc w:val="center"/>
              <w:rPr>
                <w:rFonts w:hint="default" w:ascii="Times New Roman" w:hAnsi="Times New Roman" w:eastAsia="宋体" w:cs="Times New Roman"/>
                <w:bCs/>
                <w:color w:val="auto"/>
                <w:sz w:val="24"/>
                <w:szCs w:val="24"/>
                <w:highlight w:val="none"/>
              </w:rPr>
            </w:pPr>
          </w:p>
        </w:tc>
        <w:tc>
          <w:tcPr>
            <w:tcW w:w="895" w:type="dxa"/>
          </w:tcPr>
          <w:p w14:paraId="30FCF424">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120</w:t>
            </w:r>
          </w:p>
        </w:tc>
        <w:tc>
          <w:tcPr>
            <w:tcW w:w="896" w:type="dxa"/>
          </w:tcPr>
          <w:p w14:paraId="0A43CC52">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2.25</w:t>
            </w:r>
          </w:p>
        </w:tc>
        <w:tc>
          <w:tcPr>
            <w:tcW w:w="896" w:type="dxa"/>
          </w:tcPr>
          <w:p w14:paraId="4E27AF7F">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1.69</w:t>
            </w:r>
          </w:p>
        </w:tc>
        <w:tc>
          <w:tcPr>
            <w:tcW w:w="896" w:type="dxa"/>
          </w:tcPr>
          <w:p w14:paraId="0070E976">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1.51</w:t>
            </w:r>
          </w:p>
        </w:tc>
        <w:tc>
          <w:tcPr>
            <w:tcW w:w="896" w:type="dxa"/>
          </w:tcPr>
          <w:p w14:paraId="2370CA4B">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1.35</w:t>
            </w:r>
          </w:p>
        </w:tc>
        <w:tc>
          <w:tcPr>
            <w:tcW w:w="896" w:type="dxa"/>
          </w:tcPr>
          <w:p w14:paraId="41A0BFA8">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2.90</w:t>
            </w:r>
          </w:p>
        </w:tc>
        <w:tc>
          <w:tcPr>
            <w:tcW w:w="896" w:type="dxa"/>
          </w:tcPr>
          <w:p w14:paraId="22350D9C">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1.95</w:t>
            </w:r>
          </w:p>
        </w:tc>
        <w:tc>
          <w:tcPr>
            <w:tcW w:w="896" w:type="dxa"/>
          </w:tcPr>
          <w:p w14:paraId="769752C7">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1.72</w:t>
            </w:r>
          </w:p>
        </w:tc>
        <w:tc>
          <w:tcPr>
            <w:tcW w:w="896" w:type="dxa"/>
          </w:tcPr>
          <w:p w14:paraId="5B5C90E7">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1.52</w:t>
            </w:r>
          </w:p>
        </w:tc>
      </w:tr>
    </w:tbl>
    <w:p w14:paraId="39628B7B">
      <w:pPr>
        <w:spacing w:before="120" w:beforeLines="50"/>
        <w:jc w:val="center"/>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表</w:t>
      </w:r>
      <w:r>
        <w:rPr>
          <w:rFonts w:hint="default" w:ascii="Times New Roman" w:hAnsi="Times New Roman" w:eastAsia="宋体" w:cs="Times New Roman"/>
          <w:color w:val="auto"/>
          <w:sz w:val="28"/>
          <w:szCs w:val="28"/>
          <w:highlight w:val="none"/>
          <w:lang w:val="en-US" w:eastAsia="zh-CN"/>
        </w:rPr>
        <w:t>6</w:t>
      </w:r>
      <w:r>
        <w:rPr>
          <w:rFonts w:hint="default" w:ascii="Times New Roman" w:hAnsi="Times New Roman" w:eastAsia="宋体" w:cs="Times New Roman"/>
          <w:color w:val="auto"/>
          <w:sz w:val="28"/>
          <w:szCs w:val="28"/>
          <w:highlight w:val="none"/>
        </w:rPr>
        <w:t>.</w:t>
      </w:r>
      <w:r>
        <w:rPr>
          <w:rFonts w:hint="default" w:ascii="Times New Roman" w:hAnsi="Times New Roman" w:eastAsia="宋体" w:cs="Times New Roman"/>
          <w:color w:val="auto"/>
          <w:sz w:val="28"/>
          <w:szCs w:val="28"/>
          <w:highlight w:val="none"/>
          <w:lang w:val="en-US" w:eastAsia="zh-CN"/>
        </w:rPr>
        <w:t>3</w:t>
      </w:r>
      <w:r>
        <w:rPr>
          <w:rFonts w:hint="default" w:ascii="Times New Roman" w:hAnsi="Times New Roman" w:eastAsia="宋体" w:cs="Times New Roman"/>
          <w:color w:val="auto"/>
          <w:sz w:val="28"/>
          <w:szCs w:val="28"/>
          <w:highlight w:val="none"/>
        </w:rPr>
        <w:t>.</w:t>
      </w:r>
      <w:r>
        <w:rPr>
          <w:rFonts w:hint="default" w:ascii="Times New Roman" w:hAnsi="Times New Roman" w:eastAsia="宋体" w:cs="Times New Roman"/>
          <w:color w:val="auto"/>
          <w:sz w:val="28"/>
          <w:szCs w:val="28"/>
          <w:highlight w:val="none"/>
          <w:lang w:val="en-US" w:eastAsia="zh-CN"/>
        </w:rPr>
        <w:t>60</w:t>
      </w:r>
      <w:r>
        <w:rPr>
          <w:rFonts w:hint="default" w:ascii="Times New Roman" w:hAnsi="Times New Roman" w:eastAsia="宋体" w:cs="Times New Roman"/>
          <w:color w:val="auto"/>
          <w:sz w:val="28"/>
          <w:szCs w:val="28"/>
          <w:highlight w:val="none"/>
        </w:rPr>
        <w:t>-2 钢绞线网-聚合物砂浆面层加固墙体刚度的基准体提高系数</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4"/>
        <w:gridCol w:w="1094"/>
        <w:gridCol w:w="1095"/>
        <w:gridCol w:w="1095"/>
        <w:gridCol w:w="1095"/>
        <w:gridCol w:w="1095"/>
        <w:gridCol w:w="1095"/>
        <w:gridCol w:w="1095"/>
        <w:gridCol w:w="1095"/>
      </w:tblGrid>
      <w:tr w14:paraId="19AB3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4" w:type="dxa"/>
            <w:vMerge w:val="restart"/>
          </w:tcPr>
          <w:p w14:paraId="5880C66F">
            <w:pP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面层厚度</w:t>
            </w:r>
          </w:p>
          <w:p w14:paraId="121ABA3A">
            <w:pP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（mm）</w:t>
            </w:r>
          </w:p>
        </w:tc>
        <w:tc>
          <w:tcPr>
            <w:tcW w:w="4379" w:type="dxa"/>
            <w:gridSpan w:val="4"/>
          </w:tcPr>
          <w:p w14:paraId="214A97DA">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color w:val="auto"/>
                <w:sz w:val="24"/>
                <w:szCs w:val="24"/>
                <w:highlight w:val="none"/>
              </w:rPr>
              <w:t>单 面 加 固</w:t>
            </w:r>
          </w:p>
        </w:tc>
        <w:tc>
          <w:tcPr>
            <w:tcW w:w="4380" w:type="dxa"/>
            <w:gridSpan w:val="4"/>
          </w:tcPr>
          <w:p w14:paraId="4F8BDF7C">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color w:val="auto"/>
                <w:sz w:val="24"/>
                <w:szCs w:val="24"/>
                <w:highlight w:val="none"/>
              </w:rPr>
              <w:t>双 面 加 固</w:t>
            </w:r>
          </w:p>
        </w:tc>
      </w:tr>
      <w:tr w14:paraId="7ED2F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4" w:type="dxa"/>
            <w:vMerge w:val="continue"/>
          </w:tcPr>
          <w:p w14:paraId="60299B03">
            <w:pPr>
              <w:jc w:val="center"/>
              <w:rPr>
                <w:rFonts w:hint="default" w:ascii="Times New Roman" w:hAnsi="Times New Roman" w:eastAsia="宋体" w:cs="Times New Roman"/>
                <w:bCs/>
                <w:color w:val="auto"/>
                <w:sz w:val="24"/>
                <w:szCs w:val="24"/>
                <w:highlight w:val="none"/>
              </w:rPr>
            </w:pPr>
          </w:p>
        </w:tc>
        <w:tc>
          <w:tcPr>
            <w:tcW w:w="8759" w:type="dxa"/>
            <w:gridSpan w:val="8"/>
          </w:tcPr>
          <w:p w14:paraId="0D77CEF9">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color w:val="auto"/>
                <w:sz w:val="24"/>
                <w:szCs w:val="24"/>
                <w:highlight w:val="none"/>
              </w:rPr>
              <w:t>原墙体砂浆强度等级</w:t>
            </w:r>
          </w:p>
        </w:tc>
      </w:tr>
      <w:tr w14:paraId="576F8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4" w:type="dxa"/>
            <w:vMerge w:val="restart"/>
          </w:tcPr>
          <w:p w14:paraId="208054F9">
            <w:pPr>
              <w:spacing w:before="84" w:beforeLines="35"/>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25</w:t>
            </w:r>
          </w:p>
        </w:tc>
        <w:tc>
          <w:tcPr>
            <w:tcW w:w="1094" w:type="dxa"/>
          </w:tcPr>
          <w:p w14:paraId="3053ECDE">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M0.4</w:t>
            </w:r>
          </w:p>
        </w:tc>
        <w:tc>
          <w:tcPr>
            <w:tcW w:w="1095" w:type="dxa"/>
          </w:tcPr>
          <w:p w14:paraId="613F44E5">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M1.0</w:t>
            </w:r>
          </w:p>
        </w:tc>
        <w:tc>
          <w:tcPr>
            <w:tcW w:w="1095" w:type="dxa"/>
          </w:tcPr>
          <w:p w14:paraId="02D585AC">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M2.5</w:t>
            </w:r>
          </w:p>
        </w:tc>
        <w:tc>
          <w:tcPr>
            <w:tcW w:w="1095" w:type="dxa"/>
          </w:tcPr>
          <w:p w14:paraId="4E9E34E1">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M5.0</w:t>
            </w:r>
          </w:p>
        </w:tc>
        <w:tc>
          <w:tcPr>
            <w:tcW w:w="1095" w:type="dxa"/>
          </w:tcPr>
          <w:p w14:paraId="10AB5A8B">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M0.4</w:t>
            </w:r>
          </w:p>
        </w:tc>
        <w:tc>
          <w:tcPr>
            <w:tcW w:w="1095" w:type="dxa"/>
          </w:tcPr>
          <w:p w14:paraId="488080D8">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M1.0</w:t>
            </w:r>
          </w:p>
        </w:tc>
        <w:tc>
          <w:tcPr>
            <w:tcW w:w="1095" w:type="dxa"/>
          </w:tcPr>
          <w:p w14:paraId="083951CD">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M2.5</w:t>
            </w:r>
          </w:p>
        </w:tc>
        <w:tc>
          <w:tcPr>
            <w:tcW w:w="1095" w:type="dxa"/>
          </w:tcPr>
          <w:p w14:paraId="4E3BAEC5">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M5.0</w:t>
            </w:r>
          </w:p>
        </w:tc>
      </w:tr>
      <w:tr w14:paraId="16958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4" w:type="dxa"/>
            <w:vMerge w:val="continue"/>
          </w:tcPr>
          <w:p w14:paraId="77055013">
            <w:pPr>
              <w:jc w:val="center"/>
              <w:rPr>
                <w:rFonts w:hint="default" w:ascii="Times New Roman" w:hAnsi="Times New Roman" w:eastAsia="宋体" w:cs="Times New Roman"/>
                <w:bCs/>
                <w:color w:val="auto"/>
                <w:sz w:val="24"/>
                <w:szCs w:val="24"/>
                <w:highlight w:val="none"/>
              </w:rPr>
            </w:pPr>
          </w:p>
        </w:tc>
        <w:tc>
          <w:tcPr>
            <w:tcW w:w="1094" w:type="dxa"/>
          </w:tcPr>
          <w:p w14:paraId="56C1C8DB">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1.55</w:t>
            </w:r>
          </w:p>
        </w:tc>
        <w:tc>
          <w:tcPr>
            <w:tcW w:w="1095" w:type="dxa"/>
          </w:tcPr>
          <w:p w14:paraId="3AD67341">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1.21</w:t>
            </w:r>
          </w:p>
        </w:tc>
        <w:tc>
          <w:tcPr>
            <w:tcW w:w="1095" w:type="dxa"/>
          </w:tcPr>
          <w:p w14:paraId="7A1E3318">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1.15</w:t>
            </w:r>
          </w:p>
        </w:tc>
        <w:tc>
          <w:tcPr>
            <w:tcW w:w="1095" w:type="dxa"/>
          </w:tcPr>
          <w:p w14:paraId="550C912B">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1.10</w:t>
            </w:r>
          </w:p>
        </w:tc>
        <w:tc>
          <w:tcPr>
            <w:tcW w:w="1095" w:type="dxa"/>
          </w:tcPr>
          <w:p w14:paraId="69146BD4">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3.14</w:t>
            </w:r>
          </w:p>
        </w:tc>
        <w:tc>
          <w:tcPr>
            <w:tcW w:w="1095" w:type="dxa"/>
          </w:tcPr>
          <w:p w14:paraId="168B1779">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2.23</w:t>
            </w:r>
          </w:p>
        </w:tc>
        <w:tc>
          <w:tcPr>
            <w:tcW w:w="1095" w:type="dxa"/>
          </w:tcPr>
          <w:p w14:paraId="33D78135">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1.88</w:t>
            </w:r>
          </w:p>
        </w:tc>
        <w:tc>
          <w:tcPr>
            <w:tcW w:w="1095" w:type="dxa"/>
          </w:tcPr>
          <w:p w14:paraId="6094C700">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1.45</w:t>
            </w:r>
          </w:p>
        </w:tc>
      </w:tr>
    </w:tbl>
    <w:p w14:paraId="314B29F6">
      <w:pPr>
        <w:rPr>
          <w:rFonts w:hint="default" w:ascii="Times New Roman" w:hAnsi="Times New Roman" w:eastAsia="宋体" w:cs="Times New Roman"/>
          <w:b/>
          <w:color w:val="auto"/>
          <w:sz w:val="24"/>
          <w:szCs w:val="24"/>
          <w:highlight w:val="none"/>
        </w:rPr>
      </w:pPr>
    </w:p>
    <w:p w14:paraId="232D9B40">
      <w:pP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lang w:val="en-US" w:eastAsia="zh-CN"/>
        </w:rPr>
        <w:t>6</w:t>
      </w:r>
      <w:r>
        <w:rPr>
          <w:rFonts w:hint="default" w:ascii="Times New Roman" w:hAnsi="Times New Roman" w:eastAsia="宋体" w:cs="Times New Roman"/>
          <w:b/>
          <w:color w:val="auto"/>
          <w:sz w:val="24"/>
          <w:szCs w:val="24"/>
          <w:highlight w:val="none"/>
        </w:rPr>
        <w:t>.3.</w:t>
      </w:r>
      <w:r>
        <w:rPr>
          <w:rFonts w:hint="default" w:ascii="Times New Roman" w:hAnsi="Times New Roman" w:eastAsia="宋体" w:cs="Times New Roman"/>
          <w:b/>
          <w:color w:val="auto"/>
          <w:sz w:val="24"/>
          <w:szCs w:val="24"/>
          <w:highlight w:val="none"/>
          <w:lang w:val="en-US" w:eastAsia="zh-CN"/>
        </w:rPr>
        <w:t>61</w:t>
      </w:r>
      <w:r>
        <w:rPr>
          <w:rFonts w:hint="default" w:ascii="Times New Roman" w:hAnsi="Times New Roman" w:eastAsia="宋体" w:cs="Times New Roman"/>
          <w:color w:val="auto"/>
          <w:sz w:val="24"/>
          <w:szCs w:val="24"/>
          <w:highlight w:val="none"/>
        </w:rPr>
        <w:t xml:space="preserve"> 钢丝绳网-聚合物砂浆面层对砌体墙面内受剪加固的受剪承载力应符合下列条件：</w:t>
      </w:r>
    </w:p>
    <w:p w14:paraId="62C18E51">
      <w:pPr>
        <w:spacing w:before="120" w:beforeLines="50"/>
        <w:jc w:val="righ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8"/>
          <w:szCs w:val="28"/>
          <w:highlight w:val="none"/>
        </w:rPr>
        <w:object>
          <v:shape id="_x0000_i1159" o:spt="75" type="#_x0000_t75" style="height:18pt;width:61.5pt;" o:ole="t" filled="f" o:preferrelative="t" stroked="f" coordsize="21600,21600">
            <v:path/>
            <v:fill on="f" focussize="0,0"/>
            <v:stroke on="f" joinstyle="miter"/>
            <v:imagedata r:id="rId263" o:title=""/>
            <o:lock v:ext="edit" aspectratio="t"/>
            <w10:wrap type="none"/>
            <w10:anchorlock/>
          </v:shape>
          <o:OLEObject Type="Embed" ProgID="Equation.DSMT4" ShapeID="_x0000_i1159" DrawAspect="Content" ObjectID="_1468075859" r:id="rId262">
            <o:LockedField>false</o:LockedField>
          </o:OLEObject>
        </w:object>
      </w:r>
      <w:r>
        <w:rPr>
          <w:rFonts w:hint="default" w:ascii="Times New Roman" w:hAnsi="Times New Roman" w:eastAsia="宋体" w:cs="Times New Roman"/>
          <w:color w:val="auto"/>
          <w:sz w:val="28"/>
          <w:szCs w:val="28"/>
          <w:highlight w:val="none"/>
        </w:rPr>
        <w:t xml:space="preserve">                      </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61</w:t>
      </w:r>
      <w:r>
        <w:rPr>
          <w:rFonts w:hint="default" w:ascii="Times New Roman" w:hAnsi="Times New Roman" w:eastAsia="宋体" w:cs="Times New Roman"/>
          <w:color w:val="auto"/>
          <w:sz w:val="24"/>
          <w:szCs w:val="24"/>
          <w:highlight w:val="none"/>
        </w:rPr>
        <w:t>-1）</w:t>
      </w:r>
    </w:p>
    <w:p w14:paraId="6512089D">
      <w:pPr>
        <w:ind w:firstLine="4320" w:firstLineChars="18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position w:val="-12"/>
          <w:sz w:val="24"/>
          <w:szCs w:val="24"/>
          <w:highlight w:val="none"/>
        </w:rPr>
        <w:object>
          <v:shape id="_x0000_i1160" o:spt="75" type="#_x0000_t75" style="height:18pt;width:50pt;" o:ole="t" filled="f" o:preferrelative="t" stroked="f" coordsize="21600,21600">
            <v:path/>
            <v:fill on="f" focussize="0,0"/>
            <v:stroke on="f" joinstyle="miter"/>
            <v:imagedata r:id="rId265" o:title=""/>
            <o:lock v:ext="edit" aspectratio="t"/>
            <w10:wrap type="none"/>
            <w10:anchorlock/>
          </v:shape>
          <o:OLEObject Type="Embed" ProgID="Equation.DSMT4" ShapeID="_x0000_i1160" DrawAspect="Content" ObjectID="_1468075860" r:id="rId264">
            <o:LockedField>false</o:LockedField>
          </o:OLEObject>
        </w:objec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61</w:t>
      </w:r>
      <w:r>
        <w:rPr>
          <w:rFonts w:hint="default" w:ascii="Times New Roman" w:hAnsi="Times New Roman" w:eastAsia="宋体" w:cs="Times New Roman"/>
          <w:color w:val="auto"/>
          <w:sz w:val="24"/>
          <w:szCs w:val="24"/>
          <w:highlight w:val="none"/>
        </w:rPr>
        <w:t>-2）</w:t>
      </w:r>
    </w:p>
    <w:p w14:paraId="7440F2E1">
      <w:pPr>
        <w:pStyle w:val="12"/>
        <w:spacing w:before="178" w:line="182" w:lineRule="auto"/>
        <w:ind w:firstLine="0" w:firstLineChars="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pacing w:val="8"/>
          <w:sz w:val="24"/>
          <w:szCs w:val="24"/>
          <w:highlight w:val="none"/>
          <w:lang w:eastAsia="zh-CN"/>
        </w:rPr>
        <w:t xml:space="preserve">式中 </w:t>
      </w:r>
      <w:r>
        <w:rPr>
          <w:rFonts w:hint="default" w:ascii="Times New Roman" w:hAnsi="Times New Roman" w:eastAsia="宋体" w:cs="Times New Roman"/>
          <w:i/>
          <w:iCs/>
          <w:color w:val="auto"/>
          <w:spacing w:val="8"/>
          <w:sz w:val="24"/>
          <w:szCs w:val="24"/>
          <w:highlight w:val="none"/>
          <w:lang w:eastAsia="zh-CN"/>
        </w:rPr>
        <w:t>V</w:t>
      </w:r>
      <w:r>
        <w:rPr>
          <w:rFonts w:hint="default" w:ascii="Times New Roman" w:hAnsi="Times New Roman" w:eastAsia="宋体" w:cs="Times New Roman"/>
          <w:color w:val="auto"/>
          <w:spacing w:val="11"/>
          <w:sz w:val="24"/>
          <w:szCs w:val="24"/>
          <w:highlight w:val="none"/>
          <w:lang w:eastAsia="zh-CN"/>
        </w:rPr>
        <w:t>—</w:t>
      </w:r>
      <w:r>
        <w:rPr>
          <w:rFonts w:hint="default" w:ascii="Times New Roman" w:hAnsi="Times New Roman" w:eastAsia="宋体" w:cs="Times New Roman"/>
          <w:color w:val="auto"/>
          <w:spacing w:val="8"/>
          <w:sz w:val="24"/>
          <w:szCs w:val="24"/>
          <w:highlight w:val="none"/>
          <w:lang w:eastAsia="zh-CN"/>
        </w:rPr>
        <w:t>砌体墙面内剪力设计值；</w:t>
      </w:r>
    </w:p>
    <w:p w14:paraId="7637CB42">
      <w:pPr>
        <w:pStyle w:val="12"/>
        <w:spacing w:before="78" w:line="231" w:lineRule="auto"/>
        <w:ind w:right="87"/>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position w:val="-12"/>
          <w:sz w:val="24"/>
          <w:szCs w:val="24"/>
          <w:highlight w:val="none"/>
        </w:rPr>
        <w:object>
          <v:shape id="_x0000_i1161" o:spt="75" type="#_x0000_t75" style="height:18pt;width:16pt;" o:ole="t" filled="f" o:preferrelative="t" stroked="f" coordsize="21600,21600">
            <v:path/>
            <v:fill on="f" focussize="0,0"/>
            <v:stroke on="f" joinstyle="miter"/>
            <v:imagedata r:id="rId267" o:title=""/>
            <o:lock v:ext="edit" aspectratio="t"/>
            <w10:wrap type="none"/>
            <w10:anchorlock/>
          </v:shape>
          <o:OLEObject Type="Embed" ProgID="Equation.DSMT4" ShapeID="_x0000_i1161" DrawAspect="Content" ObjectID="_1468075861" r:id="rId266">
            <o:LockedField>false</o:LockedField>
          </o:OLEObject>
        </w:object>
      </w:r>
      <w:r>
        <w:rPr>
          <w:rFonts w:hint="default" w:ascii="Times New Roman" w:hAnsi="Times New Roman" w:eastAsia="宋体" w:cs="Times New Roman"/>
          <w:color w:val="auto"/>
          <w:spacing w:val="11"/>
          <w:sz w:val="24"/>
          <w:szCs w:val="24"/>
          <w:highlight w:val="none"/>
          <w:lang w:eastAsia="zh-CN"/>
        </w:rPr>
        <w:t>—原砌体受剪承载力，按现行国家标准《砌体结构设</w:t>
      </w:r>
      <w:r>
        <w:rPr>
          <w:rFonts w:hint="default" w:ascii="Times New Roman" w:hAnsi="Times New Roman" w:eastAsia="宋体" w:cs="Times New Roman"/>
          <w:color w:val="auto"/>
          <w:sz w:val="24"/>
          <w:szCs w:val="24"/>
          <w:highlight w:val="none"/>
          <w:lang w:eastAsia="zh-CN"/>
        </w:rPr>
        <w:t>计规范》GB</w:t>
      </w:r>
      <w:r>
        <w:rPr>
          <w:rFonts w:hint="default" w:ascii="Times New Roman" w:hAnsi="Times New Roman" w:eastAsia="宋体" w:cs="Times New Roman"/>
          <w:color w:val="auto"/>
          <w:spacing w:val="24"/>
          <w:sz w:val="24"/>
          <w:szCs w:val="24"/>
          <w:highlight w:val="none"/>
          <w:lang w:eastAsia="zh-CN"/>
        </w:rPr>
        <w:t xml:space="preserve"> </w:t>
      </w:r>
      <w:r>
        <w:rPr>
          <w:rFonts w:hint="default" w:ascii="Times New Roman" w:hAnsi="Times New Roman" w:eastAsia="宋体" w:cs="Times New Roman"/>
          <w:color w:val="auto"/>
          <w:sz w:val="24"/>
          <w:szCs w:val="24"/>
          <w:highlight w:val="none"/>
          <w:lang w:eastAsia="zh-CN"/>
        </w:rPr>
        <w:t>50003计算确定；</w:t>
      </w:r>
    </w:p>
    <w:p w14:paraId="1819CFDE">
      <w:pPr>
        <w:pStyle w:val="12"/>
        <w:spacing w:before="6" w:line="231" w:lineRule="auto"/>
        <w:ind w:left="19" w:right="87" w:firstLine="42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position w:val="-12"/>
          <w:sz w:val="24"/>
          <w:szCs w:val="24"/>
          <w:highlight w:val="none"/>
        </w:rPr>
        <w:object>
          <v:shape id="_x0000_i1162" o:spt="75" type="#_x0000_t75" style="height:18pt;width:17pt;" o:ole="t" filled="f" o:preferrelative="t" stroked="f" coordsize="21600,21600">
            <v:path/>
            <v:fill on="f" focussize="0,0"/>
            <v:stroke on="f" joinstyle="miter"/>
            <v:imagedata r:id="rId269" o:title=""/>
            <o:lock v:ext="edit" aspectratio="t"/>
            <w10:wrap type="none"/>
            <w10:anchorlock/>
          </v:shape>
          <o:OLEObject Type="Embed" ProgID="Equation.DSMT4" ShapeID="_x0000_i1162" DrawAspect="Content" ObjectID="_1468075862" r:id="rId268">
            <o:LockedField>false</o:LockedField>
          </o:OLEObject>
        </w:object>
      </w:r>
      <w:r>
        <w:rPr>
          <w:rFonts w:hint="default" w:ascii="Times New Roman" w:hAnsi="Times New Roman" w:eastAsia="宋体" w:cs="Times New Roman"/>
          <w:color w:val="auto"/>
          <w:spacing w:val="18"/>
          <w:sz w:val="24"/>
          <w:szCs w:val="24"/>
          <w:highlight w:val="none"/>
          <w:lang w:eastAsia="zh-CN"/>
        </w:rPr>
        <w:t>—采用钢丝绳网-聚合物砂浆面层加固后提高的受剪</w:t>
      </w:r>
      <w:r>
        <w:rPr>
          <w:rFonts w:hint="default" w:ascii="Times New Roman" w:hAnsi="Times New Roman" w:eastAsia="宋体" w:cs="Times New Roman"/>
          <w:color w:val="auto"/>
          <w:spacing w:val="7"/>
          <w:sz w:val="24"/>
          <w:szCs w:val="24"/>
          <w:highlight w:val="none"/>
          <w:lang w:eastAsia="zh-CN"/>
        </w:rPr>
        <w:t>承载力。</w:t>
      </w:r>
    </w:p>
    <w:p w14:paraId="0A9CA4C1">
      <w:pP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lang w:val="en-US" w:eastAsia="zh-CN"/>
        </w:rPr>
        <w:t>6</w:t>
      </w:r>
      <w:r>
        <w:rPr>
          <w:rFonts w:hint="default" w:ascii="Times New Roman" w:hAnsi="Times New Roman" w:eastAsia="宋体" w:cs="Times New Roman"/>
          <w:b/>
          <w:color w:val="auto"/>
          <w:sz w:val="24"/>
          <w:szCs w:val="24"/>
          <w:highlight w:val="none"/>
        </w:rPr>
        <w:t>.3.</w:t>
      </w:r>
      <w:r>
        <w:rPr>
          <w:rFonts w:hint="default" w:ascii="Times New Roman" w:hAnsi="Times New Roman" w:eastAsia="宋体" w:cs="Times New Roman"/>
          <w:b/>
          <w:color w:val="auto"/>
          <w:sz w:val="24"/>
          <w:szCs w:val="24"/>
          <w:highlight w:val="none"/>
          <w:lang w:val="en-US" w:eastAsia="zh-CN"/>
        </w:rPr>
        <w:t>62</w:t>
      </w:r>
      <w:r>
        <w:rPr>
          <w:rFonts w:hint="default" w:ascii="Times New Roman" w:hAnsi="Times New Roman" w:eastAsia="宋体" w:cs="Times New Roman"/>
          <w:b/>
          <w:color w:val="auto"/>
          <w:sz w:val="24"/>
          <w:szCs w:val="24"/>
          <w:highlight w:val="none"/>
        </w:rPr>
        <w:t xml:space="preserve"> </w:t>
      </w:r>
      <w:r>
        <w:rPr>
          <w:rFonts w:hint="default" w:ascii="Times New Roman" w:hAnsi="Times New Roman" w:eastAsia="宋体" w:cs="Times New Roman"/>
          <w:color w:val="auto"/>
          <w:sz w:val="24"/>
          <w:szCs w:val="24"/>
          <w:highlight w:val="none"/>
        </w:rPr>
        <w:t>钢丝绳网-聚合物砂浆面层加固后提高的受剪承载力</w:t>
      </w:r>
      <w:r>
        <w:rPr>
          <w:rFonts w:hint="default" w:ascii="Times New Roman" w:hAnsi="Times New Roman" w:eastAsia="宋体" w:cs="Times New Roman"/>
          <w:i/>
          <w:iCs/>
          <w:color w:val="auto"/>
          <w:sz w:val="24"/>
          <w:szCs w:val="24"/>
          <w:highlight w:val="none"/>
        </w:rPr>
        <w:t>V</w:t>
      </w:r>
      <w:r>
        <w:rPr>
          <w:rFonts w:hint="default" w:ascii="Times New Roman" w:hAnsi="Times New Roman" w:eastAsia="宋体" w:cs="Times New Roman"/>
          <w:color w:val="auto"/>
          <w:sz w:val="24"/>
          <w:szCs w:val="24"/>
          <w:highlight w:val="none"/>
          <w:vertAlign w:val="subscript"/>
        </w:rPr>
        <w:t>rw</w:t>
      </w:r>
      <w:r>
        <w:rPr>
          <w:rFonts w:hint="default" w:ascii="Times New Roman" w:hAnsi="Times New Roman" w:eastAsia="宋体" w:cs="Times New Roman"/>
          <w:color w:val="auto"/>
          <w:sz w:val="24"/>
          <w:szCs w:val="24"/>
          <w:highlight w:val="none"/>
        </w:rPr>
        <w:t>应按下列规定计算：</w:t>
      </w:r>
    </w:p>
    <w:p w14:paraId="483AA239">
      <w:pPr>
        <w:keepNext w:val="0"/>
        <w:keepLines w:val="0"/>
        <w:pageBreakBefore w:val="0"/>
        <w:widowControl w:val="0"/>
        <w:kinsoku/>
        <w:wordWrap/>
        <w:overflowPunct/>
        <w:topLinePunct w:val="0"/>
        <w:autoSpaceDE/>
        <w:autoSpaceDN/>
        <w:bidi w:val="0"/>
        <w:adjustRightInd/>
        <w:snapToGrid/>
        <w:spacing w:line="360" w:lineRule="auto"/>
        <w:ind w:firstLine="4320" w:firstLineChars="18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position w:val="-28"/>
          <w:sz w:val="24"/>
          <w:szCs w:val="24"/>
          <w:highlight w:val="none"/>
        </w:rPr>
        <w:object>
          <v:shape id="_x0000_i1163" o:spt="75" type="#_x0000_t75" style="height:34pt;width:94pt;" o:ole="t" filled="f" o:preferrelative="t" stroked="f" coordsize="21600,21600">
            <v:path/>
            <v:fill on="f" focussize="0,0"/>
            <v:stroke on="f" joinstyle="miter"/>
            <v:imagedata r:id="rId271" o:title=""/>
            <o:lock v:ext="edit" aspectratio="t"/>
            <w10:wrap type="none"/>
            <w10:anchorlock/>
          </v:shape>
          <o:OLEObject Type="Embed" ProgID="Equation.DSMT4" ShapeID="_x0000_i1163" DrawAspect="Content" ObjectID="_1468075863" r:id="rId270">
            <o:LockedField>false</o:LockedField>
          </o:OLEObject>
        </w:objec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62</w:t>
      </w:r>
      <w:r>
        <w:rPr>
          <w:rFonts w:hint="default" w:ascii="Times New Roman" w:hAnsi="Times New Roman" w:eastAsia="宋体" w:cs="Times New Roman"/>
          <w:color w:val="auto"/>
          <w:sz w:val="24"/>
          <w:szCs w:val="24"/>
          <w:highlight w:val="none"/>
        </w:rPr>
        <w:t>）</w:t>
      </w:r>
    </w:p>
    <w:p w14:paraId="544E1073">
      <w:pPr>
        <w:pStyle w:val="12"/>
        <w:spacing w:before="213" w:line="183" w:lineRule="auto"/>
        <w:ind w:firstLine="0" w:firstLineChars="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pacing w:val="6"/>
          <w:sz w:val="24"/>
          <w:szCs w:val="24"/>
          <w:highlight w:val="none"/>
          <w:lang w:eastAsia="zh-CN"/>
        </w:rPr>
        <w:t>式中</w:t>
      </w:r>
      <w:r>
        <w:rPr>
          <w:rFonts w:hint="default" w:ascii="Times New Roman" w:hAnsi="Times New Roman" w:eastAsia="宋体" w:cs="Times New Roman"/>
          <w:color w:val="auto"/>
          <w:spacing w:val="1"/>
          <w:sz w:val="24"/>
          <w:szCs w:val="24"/>
          <w:highlight w:val="none"/>
          <w:lang w:eastAsia="zh-CN"/>
        </w:rPr>
        <w:t xml:space="preserve"> </w:t>
      </w:r>
      <w:r>
        <w:rPr>
          <w:rFonts w:hint="default" w:ascii="Times New Roman" w:hAnsi="Times New Roman" w:eastAsia="宋体" w:cs="Times New Roman"/>
          <w:i/>
          <w:iCs/>
          <w:color w:val="auto"/>
          <w:spacing w:val="6"/>
          <w:sz w:val="24"/>
          <w:szCs w:val="24"/>
          <w:highlight w:val="none"/>
        </w:rPr>
        <w:t>α</w:t>
      </w:r>
      <w:r>
        <w:rPr>
          <w:rFonts w:hint="default" w:ascii="Times New Roman" w:hAnsi="Times New Roman" w:eastAsia="宋体" w:cs="Times New Roman"/>
          <w:color w:val="auto"/>
          <w:position w:val="-2"/>
          <w:sz w:val="24"/>
          <w:szCs w:val="24"/>
          <w:highlight w:val="none"/>
          <w:vertAlign w:val="subscript"/>
          <w:lang w:eastAsia="zh-CN"/>
        </w:rPr>
        <w:t>rw</w:t>
      </w:r>
      <w:r>
        <w:rPr>
          <w:rFonts w:hint="default" w:ascii="Times New Roman" w:hAnsi="Times New Roman" w:eastAsia="宋体" w:cs="Times New Roman"/>
          <w:color w:val="auto"/>
          <w:spacing w:val="6"/>
          <w:sz w:val="24"/>
          <w:szCs w:val="24"/>
          <w:highlight w:val="none"/>
          <w:lang w:eastAsia="zh-CN"/>
        </w:rPr>
        <w:t>—钢丝绳网参与工作系数，按表</w:t>
      </w:r>
      <w:r>
        <w:rPr>
          <w:rFonts w:hint="default" w:ascii="Times New Roman" w:hAnsi="Times New Roman" w:eastAsia="宋体" w:cs="Times New Roman"/>
          <w:color w:val="auto"/>
          <w:spacing w:val="5"/>
          <w:sz w:val="24"/>
          <w:szCs w:val="24"/>
          <w:highlight w:val="none"/>
          <w:lang w:val="en-US" w:eastAsia="zh-CN"/>
        </w:rPr>
        <w:t>6</w:t>
      </w:r>
      <w:r>
        <w:rPr>
          <w:rFonts w:hint="default" w:ascii="Times New Roman" w:hAnsi="Times New Roman" w:eastAsia="宋体" w:cs="Times New Roman"/>
          <w:color w:val="auto"/>
          <w:spacing w:val="5"/>
          <w:sz w:val="24"/>
          <w:szCs w:val="24"/>
          <w:highlight w:val="none"/>
          <w:lang w:eastAsia="zh-CN"/>
        </w:rPr>
        <w:t>.</w:t>
      </w:r>
      <w:r>
        <w:rPr>
          <w:rFonts w:hint="default" w:ascii="Times New Roman" w:hAnsi="Times New Roman" w:eastAsia="宋体" w:cs="Times New Roman"/>
          <w:color w:val="auto"/>
          <w:spacing w:val="5"/>
          <w:sz w:val="24"/>
          <w:szCs w:val="24"/>
          <w:highlight w:val="none"/>
          <w:lang w:val="en-US" w:eastAsia="zh-CN"/>
        </w:rPr>
        <w:t>3</w:t>
      </w:r>
      <w:r>
        <w:rPr>
          <w:rFonts w:hint="default" w:ascii="Times New Roman" w:hAnsi="Times New Roman" w:eastAsia="宋体" w:cs="Times New Roman"/>
          <w:color w:val="auto"/>
          <w:spacing w:val="5"/>
          <w:sz w:val="24"/>
          <w:szCs w:val="24"/>
          <w:highlight w:val="none"/>
          <w:lang w:eastAsia="zh-CN"/>
        </w:rPr>
        <w:t>.</w:t>
      </w:r>
      <w:r>
        <w:rPr>
          <w:rFonts w:hint="default" w:ascii="Times New Roman" w:hAnsi="Times New Roman" w:eastAsia="宋体" w:cs="Times New Roman"/>
          <w:color w:val="auto"/>
          <w:spacing w:val="5"/>
          <w:sz w:val="24"/>
          <w:szCs w:val="24"/>
          <w:highlight w:val="none"/>
          <w:lang w:val="en-US" w:eastAsia="zh-CN"/>
        </w:rPr>
        <w:t>62</w:t>
      </w:r>
      <w:r>
        <w:rPr>
          <w:rFonts w:hint="default" w:ascii="Times New Roman" w:hAnsi="Times New Roman" w:eastAsia="宋体" w:cs="Times New Roman"/>
          <w:color w:val="auto"/>
          <w:spacing w:val="5"/>
          <w:sz w:val="24"/>
          <w:szCs w:val="24"/>
          <w:highlight w:val="none"/>
          <w:lang w:eastAsia="zh-CN"/>
        </w:rPr>
        <w:t>采用；</w:t>
      </w:r>
    </w:p>
    <w:p w14:paraId="39475A01">
      <w:pPr>
        <w:pStyle w:val="12"/>
        <w:spacing w:before="76" w:line="192" w:lineRule="auto"/>
        <w:ind w:firstLine="720" w:firstLineChars="300"/>
        <w:rPr>
          <w:rFonts w:hint="default" w:ascii="Times New Roman" w:hAnsi="Times New Roman" w:eastAsia="宋体" w:cs="Times New Roman"/>
          <w:color w:val="auto"/>
          <w:spacing w:val="3"/>
          <w:sz w:val="24"/>
          <w:szCs w:val="24"/>
          <w:highlight w:val="none"/>
          <w:lang w:eastAsia="zh-CN"/>
        </w:rPr>
      </w:pPr>
      <w:r>
        <w:rPr>
          <w:rFonts w:hint="default" w:ascii="Times New Roman" w:hAnsi="Times New Roman" w:eastAsia="宋体" w:cs="Times New Roman"/>
          <w:i/>
          <w:iCs/>
          <w:color w:val="auto"/>
          <w:sz w:val="24"/>
          <w:szCs w:val="24"/>
          <w:highlight w:val="none"/>
          <w:lang w:eastAsia="zh-CN"/>
        </w:rPr>
        <w:t>f</w:t>
      </w:r>
      <w:r>
        <w:rPr>
          <w:rFonts w:hint="default" w:ascii="Times New Roman" w:hAnsi="Times New Roman" w:eastAsia="宋体" w:cs="Times New Roman"/>
          <w:color w:val="auto"/>
          <w:position w:val="-2"/>
          <w:sz w:val="24"/>
          <w:szCs w:val="24"/>
          <w:highlight w:val="none"/>
          <w:vertAlign w:val="subscript"/>
          <w:lang w:eastAsia="zh-CN"/>
        </w:rPr>
        <w:t>rw</w:t>
      </w:r>
      <w:r>
        <w:rPr>
          <w:rFonts w:hint="default" w:ascii="Times New Roman" w:hAnsi="Times New Roman" w:eastAsia="宋体" w:cs="Times New Roman"/>
          <w:color w:val="auto"/>
          <w:spacing w:val="9"/>
          <w:sz w:val="24"/>
          <w:szCs w:val="24"/>
          <w:highlight w:val="none"/>
          <w:lang w:eastAsia="zh-CN"/>
        </w:rPr>
        <w:t>—受剪加固采用的钢丝绳网抗拉强度设计值，按本规</w:t>
      </w:r>
      <w:r>
        <w:rPr>
          <w:rFonts w:hint="default" w:ascii="Times New Roman" w:hAnsi="Times New Roman" w:eastAsia="宋体" w:cs="Times New Roman"/>
          <w:color w:val="auto"/>
          <w:spacing w:val="3"/>
          <w:sz w:val="24"/>
          <w:szCs w:val="24"/>
          <w:highlight w:val="none"/>
          <w:lang w:eastAsia="zh-CN"/>
        </w:rPr>
        <w:t>程第</w:t>
      </w:r>
      <w:r>
        <w:rPr>
          <w:rFonts w:hint="default" w:ascii="Times New Roman" w:hAnsi="Times New Roman" w:eastAsia="宋体" w:cs="Times New Roman"/>
          <w:color w:val="auto"/>
          <w:spacing w:val="3"/>
          <w:sz w:val="24"/>
          <w:szCs w:val="24"/>
          <w:highlight w:val="none"/>
          <w:lang w:val="en-US" w:eastAsia="zh-CN"/>
        </w:rPr>
        <w:t>6</w:t>
      </w:r>
      <w:r>
        <w:rPr>
          <w:rFonts w:hint="default" w:ascii="Times New Roman" w:hAnsi="Times New Roman" w:eastAsia="宋体" w:cs="Times New Roman"/>
          <w:color w:val="auto"/>
          <w:spacing w:val="3"/>
          <w:sz w:val="24"/>
          <w:szCs w:val="24"/>
          <w:highlight w:val="none"/>
          <w:lang w:eastAsia="zh-CN"/>
        </w:rPr>
        <w:t>.</w:t>
      </w:r>
      <w:r>
        <w:rPr>
          <w:rFonts w:hint="default" w:ascii="Times New Roman" w:hAnsi="Times New Roman" w:eastAsia="宋体" w:cs="Times New Roman"/>
          <w:color w:val="auto"/>
          <w:spacing w:val="3"/>
          <w:sz w:val="24"/>
          <w:szCs w:val="24"/>
          <w:highlight w:val="none"/>
          <w:lang w:val="en-US" w:eastAsia="zh-CN"/>
        </w:rPr>
        <w:t>3</w:t>
      </w:r>
      <w:r>
        <w:rPr>
          <w:rFonts w:hint="default" w:ascii="Times New Roman" w:hAnsi="Times New Roman" w:eastAsia="宋体" w:cs="Times New Roman"/>
          <w:color w:val="auto"/>
          <w:spacing w:val="3"/>
          <w:sz w:val="24"/>
          <w:szCs w:val="24"/>
          <w:highlight w:val="none"/>
          <w:lang w:eastAsia="zh-CN"/>
        </w:rPr>
        <w:t>.5</w:t>
      </w:r>
      <w:r>
        <w:rPr>
          <w:rFonts w:hint="default" w:ascii="Times New Roman" w:hAnsi="Times New Roman" w:eastAsia="宋体" w:cs="Times New Roman"/>
          <w:color w:val="auto"/>
          <w:spacing w:val="3"/>
          <w:sz w:val="24"/>
          <w:szCs w:val="24"/>
          <w:highlight w:val="none"/>
          <w:lang w:val="en-US" w:eastAsia="zh-CN"/>
        </w:rPr>
        <w:t>4</w:t>
      </w:r>
      <w:r>
        <w:rPr>
          <w:rFonts w:hint="default" w:ascii="Times New Roman" w:hAnsi="Times New Roman" w:eastAsia="宋体" w:cs="Times New Roman"/>
          <w:color w:val="auto"/>
          <w:spacing w:val="3"/>
          <w:sz w:val="24"/>
          <w:szCs w:val="24"/>
          <w:highlight w:val="none"/>
          <w:lang w:eastAsia="zh-CN"/>
        </w:rPr>
        <w:t>条规定的抗拉强度设计值</w:t>
      </w:r>
    </w:p>
    <w:p w14:paraId="3E40086C">
      <w:pPr>
        <w:pStyle w:val="12"/>
        <w:spacing w:before="76" w:line="192" w:lineRule="auto"/>
        <w:ind w:firstLine="1476" w:firstLineChars="6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pacing w:val="3"/>
          <w:sz w:val="24"/>
          <w:szCs w:val="24"/>
          <w:highlight w:val="none"/>
          <w:lang w:eastAsia="zh-CN"/>
        </w:rPr>
        <w:t>乘以调整系数0.28确定；</w:t>
      </w:r>
    </w:p>
    <w:p w14:paraId="71B9A25F">
      <w:pPr>
        <w:pStyle w:val="12"/>
        <w:spacing w:before="79" w:line="230" w:lineRule="auto"/>
        <w:ind w:firstLine="720" w:firstLineChars="3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i/>
          <w:iCs/>
          <w:color w:val="auto"/>
          <w:sz w:val="24"/>
          <w:szCs w:val="24"/>
          <w:highlight w:val="none"/>
          <w:lang w:eastAsia="zh-CN"/>
        </w:rPr>
        <w:t>A</w:t>
      </w:r>
      <w:r>
        <w:rPr>
          <w:rFonts w:hint="default" w:ascii="Times New Roman" w:hAnsi="Times New Roman" w:eastAsia="宋体" w:cs="Times New Roman"/>
          <w:color w:val="auto"/>
          <w:position w:val="-2"/>
          <w:sz w:val="24"/>
          <w:szCs w:val="24"/>
          <w:highlight w:val="none"/>
          <w:vertAlign w:val="subscript"/>
          <w:lang w:eastAsia="zh-CN"/>
        </w:rPr>
        <w:t>rwi</w:t>
      </w:r>
      <w:r>
        <w:rPr>
          <w:rFonts w:hint="default" w:ascii="Times New Roman" w:hAnsi="Times New Roman" w:eastAsia="宋体" w:cs="Times New Roman"/>
          <w:color w:val="auto"/>
          <w:spacing w:val="3"/>
          <w:sz w:val="24"/>
          <w:szCs w:val="24"/>
          <w:highlight w:val="none"/>
          <w:lang w:eastAsia="zh-CN"/>
        </w:rPr>
        <w:t>—穿过计算斜截面的第</w:t>
      </w:r>
      <w:r>
        <w:rPr>
          <w:rFonts w:hint="default" w:ascii="Times New Roman" w:hAnsi="Times New Roman" w:eastAsia="宋体" w:cs="Times New Roman"/>
          <w:i/>
          <w:iCs/>
          <w:color w:val="auto"/>
          <w:spacing w:val="3"/>
          <w:sz w:val="24"/>
          <w:szCs w:val="24"/>
          <w:highlight w:val="none"/>
          <w:lang w:eastAsia="zh-CN"/>
        </w:rPr>
        <w:t>i</w:t>
      </w:r>
      <w:r>
        <w:rPr>
          <w:rFonts w:hint="default" w:ascii="Times New Roman" w:hAnsi="Times New Roman" w:eastAsia="宋体" w:cs="Times New Roman"/>
          <w:color w:val="auto"/>
          <w:spacing w:val="3"/>
          <w:sz w:val="24"/>
          <w:szCs w:val="24"/>
          <w:highlight w:val="none"/>
          <w:lang w:eastAsia="zh-CN"/>
        </w:rPr>
        <w:t>个水平向钢丝绳的</w:t>
      </w:r>
      <w:r>
        <w:rPr>
          <w:rFonts w:hint="default" w:ascii="Times New Roman" w:hAnsi="Times New Roman" w:eastAsia="宋体" w:cs="Times New Roman"/>
          <w:color w:val="auto"/>
          <w:spacing w:val="2"/>
          <w:sz w:val="24"/>
          <w:szCs w:val="24"/>
          <w:highlight w:val="none"/>
          <w:lang w:eastAsia="zh-CN"/>
        </w:rPr>
        <w:t>截面面积；</w:t>
      </w:r>
    </w:p>
    <w:p w14:paraId="7992806F">
      <w:pPr>
        <w:pStyle w:val="12"/>
        <w:spacing w:before="79" w:line="230" w:lineRule="auto"/>
        <w:ind w:firstLine="1011" w:firstLineChars="386"/>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i/>
          <w:iCs/>
          <w:color w:val="auto"/>
          <w:spacing w:val="11"/>
          <w:sz w:val="24"/>
          <w:szCs w:val="24"/>
          <w:highlight w:val="none"/>
          <w:lang w:eastAsia="zh-CN"/>
        </w:rPr>
        <w:t>n</w:t>
      </w:r>
      <w:r>
        <w:rPr>
          <w:rFonts w:hint="default" w:ascii="Times New Roman" w:hAnsi="Times New Roman" w:eastAsia="宋体" w:cs="Times New Roman"/>
          <w:color w:val="auto"/>
          <w:spacing w:val="11"/>
          <w:sz w:val="24"/>
          <w:szCs w:val="24"/>
          <w:highlight w:val="none"/>
          <w:lang w:eastAsia="zh-CN"/>
        </w:rPr>
        <w:t>—穿过计算斜截面的水平向钢丝绳根数。</w:t>
      </w:r>
    </w:p>
    <w:p w14:paraId="1375AF0B">
      <w:pPr>
        <w:pStyle w:val="12"/>
        <w:spacing w:before="134" w:line="175" w:lineRule="auto"/>
        <w:ind w:left="1266" w:firstLine="408"/>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pacing w:val="12"/>
          <w:sz w:val="24"/>
          <w:szCs w:val="24"/>
          <w:highlight w:val="none"/>
          <w:lang w:eastAsia="zh-CN"/>
        </w:rPr>
        <w:t>表</w:t>
      </w:r>
      <w:r>
        <w:rPr>
          <w:rFonts w:hint="default" w:ascii="Times New Roman" w:hAnsi="Times New Roman" w:eastAsia="宋体" w:cs="Times New Roman"/>
          <w:b/>
          <w:bCs/>
          <w:color w:val="auto"/>
          <w:spacing w:val="12"/>
          <w:sz w:val="24"/>
          <w:szCs w:val="24"/>
          <w:highlight w:val="none"/>
          <w:lang w:val="en-US" w:eastAsia="zh-CN"/>
        </w:rPr>
        <w:t>6</w:t>
      </w:r>
      <w:r>
        <w:rPr>
          <w:rFonts w:hint="default" w:ascii="Times New Roman" w:hAnsi="Times New Roman" w:eastAsia="宋体" w:cs="Times New Roman"/>
          <w:b/>
          <w:bCs/>
          <w:color w:val="auto"/>
          <w:spacing w:val="12"/>
          <w:sz w:val="24"/>
          <w:szCs w:val="24"/>
          <w:highlight w:val="none"/>
          <w:lang w:eastAsia="zh-CN"/>
        </w:rPr>
        <w:t>.</w:t>
      </w:r>
      <w:r>
        <w:rPr>
          <w:rFonts w:hint="default" w:ascii="Times New Roman" w:hAnsi="Times New Roman" w:eastAsia="宋体" w:cs="Times New Roman"/>
          <w:b/>
          <w:bCs/>
          <w:color w:val="auto"/>
          <w:spacing w:val="12"/>
          <w:sz w:val="24"/>
          <w:szCs w:val="24"/>
          <w:highlight w:val="none"/>
          <w:lang w:val="en-US" w:eastAsia="zh-CN"/>
        </w:rPr>
        <w:t>3</w:t>
      </w:r>
      <w:r>
        <w:rPr>
          <w:rFonts w:hint="default" w:ascii="Times New Roman" w:hAnsi="Times New Roman" w:eastAsia="宋体" w:cs="Times New Roman"/>
          <w:b/>
          <w:bCs/>
          <w:color w:val="auto"/>
          <w:spacing w:val="12"/>
          <w:sz w:val="24"/>
          <w:szCs w:val="24"/>
          <w:highlight w:val="none"/>
          <w:lang w:eastAsia="zh-CN"/>
        </w:rPr>
        <w:t>.</w:t>
      </w:r>
      <w:r>
        <w:rPr>
          <w:rFonts w:hint="default" w:ascii="Times New Roman" w:hAnsi="Times New Roman" w:eastAsia="宋体" w:cs="Times New Roman"/>
          <w:b/>
          <w:bCs/>
          <w:color w:val="auto"/>
          <w:spacing w:val="12"/>
          <w:sz w:val="24"/>
          <w:szCs w:val="24"/>
          <w:highlight w:val="none"/>
          <w:lang w:val="en-US" w:eastAsia="zh-CN"/>
        </w:rPr>
        <w:t>62</w:t>
      </w:r>
      <w:r>
        <w:rPr>
          <w:rFonts w:hint="default" w:ascii="Times New Roman" w:hAnsi="Times New Roman" w:eastAsia="宋体" w:cs="Times New Roman"/>
          <w:color w:val="auto"/>
          <w:spacing w:val="17"/>
          <w:w w:val="101"/>
          <w:sz w:val="24"/>
          <w:szCs w:val="24"/>
          <w:highlight w:val="none"/>
          <w:lang w:eastAsia="zh-CN"/>
        </w:rPr>
        <w:t xml:space="preserve">   </w:t>
      </w:r>
      <w:r>
        <w:rPr>
          <w:rFonts w:hint="default" w:ascii="Times New Roman" w:hAnsi="Times New Roman" w:eastAsia="宋体" w:cs="Times New Roman"/>
          <w:color w:val="auto"/>
          <w:spacing w:val="12"/>
          <w:sz w:val="24"/>
          <w:szCs w:val="24"/>
          <w:highlight w:val="none"/>
          <w:lang w:eastAsia="zh-CN"/>
        </w:rPr>
        <w:t>水平向钢丝绳参与工作系数</w:t>
      </w:r>
      <w:r>
        <w:rPr>
          <w:rFonts w:hint="default" w:ascii="Times New Roman" w:hAnsi="Times New Roman" w:eastAsia="宋体" w:cs="Times New Roman"/>
          <w:i/>
          <w:iCs/>
          <w:color w:val="auto"/>
          <w:spacing w:val="12"/>
          <w:sz w:val="24"/>
          <w:szCs w:val="24"/>
          <w:highlight w:val="none"/>
        </w:rPr>
        <w:t>α</w:t>
      </w:r>
      <w:r>
        <w:rPr>
          <w:rFonts w:hint="default" w:ascii="Times New Roman" w:hAnsi="Times New Roman" w:eastAsia="宋体" w:cs="Times New Roman"/>
          <w:color w:val="auto"/>
          <w:position w:val="-1"/>
          <w:sz w:val="24"/>
          <w:szCs w:val="24"/>
          <w:highlight w:val="none"/>
          <w:vertAlign w:val="subscript"/>
          <w:lang w:eastAsia="zh-CN"/>
        </w:rPr>
        <w:t>rw</w:t>
      </w:r>
    </w:p>
    <w:tbl>
      <w:tblPr>
        <w:tblStyle w:val="50"/>
        <w:tblW w:w="650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28"/>
        <w:gridCol w:w="992"/>
        <w:gridCol w:w="851"/>
        <w:gridCol w:w="992"/>
        <w:gridCol w:w="851"/>
        <w:gridCol w:w="992"/>
      </w:tblGrid>
      <w:tr w14:paraId="4E62D3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jc w:val="center"/>
        </w:trPr>
        <w:tc>
          <w:tcPr>
            <w:tcW w:w="1828" w:type="dxa"/>
            <w:tcBorders>
              <w:top w:val="single" w:color="000000" w:sz="6" w:space="0"/>
              <w:left w:val="single" w:color="000000" w:sz="6" w:space="0"/>
            </w:tcBorders>
            <w:vAlign w:val="center"/>
          </w:tcPr>
          <w:p w14:paraId="4D01EB9A">
            <w:pPr>
              <w:pStyle w:val="51"/>
              <w:keepNext w:val="0"/>
              <w:keepLines w:val="0"/>
              <w:pageBreakBefore w:val="0"/>
              <w:wordWrap/>
              <w:overflowPunct/>
              <w:topLinePunct w:val="0"/>
              <w:bidi w:val="0"/>
              <w:spacing w:after="0" w:line="240" w:lineRule="auto"/>
              <w:ind w:lef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4"/>
                <w:sz w:val="24"/>
                <w:szCs w:val="24"/>
                <w:highlight w:val="none"/>
              </w:rPr>
              <w:t>墙体高宽比</w:t>
            </w:r>
          </w:p>
        </w:tc>
        <w:tc>
          <w:tcPr>
            <w:tcW w:w="992" w:type="dxa"/>
            <w:tcBorders>
              <w:top w:val="single" w:color="000000" w:sz="6" w:space="0"/>
            </w:tcBorders>
            <w:vAlign w:val="center"/>
          </w:tcPr>
          <w:p w14:paraId="7C55897F">
            <w:pPr>
              <w:keepNext w:val="0"/>
              <w:keepLines w:val="0"/>
              <w:pageBreakBefore w:val="0"/>
              <w:wordWrap/>
              <w:overflowPunct/>
              <w:topLinePunct w:val="0"/>
              <w:bidi w:val="0"/>
              <w:spacing w:after="160" w:line="240" w:lineRule="auto"/>
              <w:ind w:left="0"/>
              <w:jc w:val="center"/>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pacing w:val="-3"/>
                <w:sz w:val="24"/>
                <w:szCs w:val="24"/>
                <w:highlight w:val="none"/>
                <w:lang w:eastAsia="en-US"/>
              </w:rPr>
              <w:t>0.4</w:t>
            </w:r>
          </w:p>
        </w:tc>
        <w:tc>
          <w:tcPr>
            <w:tcW w:w="851" w:type="dxa"/>
            <w:tcBorders>
              <w:top w:val="single" w:color="000000" w:sz="6" w:space="0"/>
            </w:tcBorders>
            <w:vAlign w:val="center"/>
          </w:tcPr>
          <w:p w14:paraId="47D06AC6">
            <w:pPr>
              <w:keepNext w:val="0"/>
              <w:keepLines w:val="0"/>
              <w:pageBreakBefore w:val="0"/>
              <w:wordWrap/>
              <w:overflowPunct/>
              <w:topLinePunct w:val="0"/>
              <w:bidi w:val="0"/>
              <w:spacing w:after="160" w:line="240" w:lineRule="auto"/>
              <w:ind w:left="0"/>
              <w:jc w:val="center"/>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pacing w:val="-3"/>
                <w:sz w:val="24"/>
                <w:szCs w:val="24"/>
                <w:highlight w:val="none"/>
                <w:lang w:eastAsia="en-US"/>
              </w:rPr>
              <w:t>0.6</w:t>
            </w:r>
          </w:p>
        </w:tc>
        <w:tc>
          <w:tcPr>
            <w:tcW w:w="992" w:type="dxa"/>
            <w:tcBorders>
              <w:top w:val="single" w:color="000000" w:sz="6" w:space="0"/>
            </w:tcBorders>
            <w:vAlign w:val="center"/>
          </w:tcPr>
          <w:p w14:paraId="1BAC49FD">
            <w:pPr>
              <w:keepNext w:val="0"/>
              <w:keepLines w:val="0"/>
              <w:pageBreakBefore w:val="0"/>
              <w:wordWrap/>
              <w:overflowPunct/>
              <w:topLinePunct w:val="0"/>
              <w:bidi w:val="0"/>
              <w:spacing w:after="160" w:line="240" w:lineRule="auto"/>
              <w:ind w:left="0"/>
              <w:jc w:val="center"/>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pacing w:val="-3"/>
                <w:sz w:val="24"/>
                <w:szCs w:val="24"/>
                <w:highlight w:val="none"/>
                <w:lang w:eastAsia="en-US"/>
              </w:rPr>
              <w:t>0.8</w:t>
            </w:r>
          </w:p>
        </w:tc>
        <w:tc>
          <w:tcPr>
            <w:tcW w:w="851" w:type="dxa"/>
            <w:tcBorders>
              <w:top w:val="single" w:color="000000" w:sz="6" w:space="0"/>
            </w:tcBorders>
            <w:vAlign w:val="center"/>
          </w:tcPr>
          <w:p w14:paraId="16E79875">
            <w:pPr>
              <w:keepNext w:val="0"/>
              <w:keepLines w:val="0"/>
              <w:pageBreakBefore w:val="0"/>
              <w:wordWrap/>
              <w:overflowPunct/>
              <w:topLinePunct w:val="0"/>
              <w:bidi w:val="0"/>
              <w:spacing w:after="160" w:line="240" w:lineRule="auto"/>
              <w:ind w:left="0"/>
              <w:jc w:val="center"/>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pacing w:val="-6"/>
                <w:sz w:val="24"/>
                <w:szCs w:val="24"/>
                <w:highlight w:val="none"/>
                <w:lang w:eastAsia="en-US"/>
              </w:rPr>
              <w:t>1.0</w:t>
            </w:r>
          </w:p>
        </w:tc>
        <w:tc>
          <w:tcPr>
            <w:tcW w:w="992" w:type="dxa"/>
            <w:tcBorders>
              <w:top w:val="single" w:color="000000" w:sz="6" w:space="0"/>
              <w:right w:val="single" w:color="000000" w:sz="6" w:space="0"/>
            </w:tcBorders>
            <w:vAlign w:val="center"/>
          </w:tcPr>
          <w:p w14:paraId="69CFD3AA">
            <w:pPr>
              <w:keepNext w:val="0"/>
              <w:keepLines w:val="0"/>
              <w:pageBreakBefore w:val="0"/>
              <w:wordWrap/>
              <w:overflowPunct/>
              <w:topLinePunct w:val="0"/>
              <w:bidi w:val="0"/>
              <w:spacing w:after="160" w:line="240" w:lineRule="auto"/>
              <w:ind w:left="0"/>
              <w:jc w:val="center"/>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pacing w:val="-6"/>
                <w:sz w:val="24"/>
                <w:szCs w:val="24"/>
                <w:highlight w:val="none"/>
                <w:lang w:eastAsia="en-US"/>
              </w:rPr>
              <w:t>1.2</w:t>
            </w:r>
          </w:p>
        </w:tc>
      </w:tr>
      <w:tr w14:paraId="6A5B92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jc w:val="center"/>
        </w:trPr>
        <w:tc>
          <w:tcPr>
            <w:tcW w:w="1828" w:type="dxa"/>
            <w:tcBorders>
              <w:left w:val="single" w:color="000000" w:sz="6" w:space="0"/>
              <w:bottom w:val="single" w:color="000000" w:sz="6" w:space="0"/>
            </w:tcBorders>
            <w:vAlign w:val="center"/>
          </w:tcPr>
          <w:p w14:paraId="596699A5">
            <w:pPr>
              <w:pStyle w:val="51"/>
              <w:keepNext w:val="0"/>
              <w:keepLines w:val="0"/>
              <w:pageBreakBefore w:val="0"/>
              <w:wordWrap/>
              <w:overflowPunct/>
              <w:topLinePunct w:val="0"/>
              <w:bidi w:val="0"/>
              <w:spacing w:after="0" w:line="240" w:lineRule="auto"/>
              <w:ind w:lef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6"/>
                <w:sz w:val="24"/>
                <w:szCs w:val="24"/>
                <w:highlight w:val="none"/>
              </w:rPr>
              <w:t>参与工作系数</w:t>
            </w:r>
            <w:r>
              <w:rPr>
                <w:rFonts w:hint="default" w:ascii="Times New Roman" w:hAnsi="Times New Roman" w:eastAsia="宋体" w:cs="Times New Roman"/>
                <w:color w:val="auto"/>
                <w:spacing w:val="-24"/>
                <w:sz w:val="24"/>
                <w:szCs w:val="24"/>
                <w:highlight w:val="none"/>
              </w:rPr>
              <w:t xml:space="preserve"> </w:t>
            </w:r>
            <w:r>
              <w:rPr>
                <w:rFonts w:hint="default" w:ascii="Times New Roman" w:hAnsi="Times New Roman" w:eastAsia="宋体" w:cs="Times New Roman"/>
                <w:i/>
                <w:iCs/>
                <w:color w:val="auto"/>
                <w:spacing w:val="16"/>
                <w:sz w:val="24"/>
                <w:szCs w:val="24"/>
                <w:highlight w:val="none"/>
              </w:rPr>
              <w:t>α</w:t>
            </w:r>
            <w:r>
              <w:rPr>
                <w:rFonts w:hint="default" w:ascii="Times New Roman" w:hAnsi="Times New Roman" w:eastAsia="宋体" w:cs="Times New Roman"/>
                <w:color w:val="auto"/>
                <w:position w:val="-2"/>
                <w:sz w:val="24"/>
                <w:szCs w:val="24"/>
                <w:highlight w:val="none"/>
                <w:vertAlign w:val="subscript"/>
              </w:rPr>
              <w:t>rw</w:t>
            </w:r>
          </w:p>
        </w:tc>
        <w:tc>
          <w:tcPr>
            <w:tcW w:w="992" w:type="dxa"/>
            <w:tcBorders>
              <w:bottom w:val="single" w:color="000000" w:sz="6" w:space="0"/>
            </w:tcBorders>
            <w:vAlign w:val="center"/>
          </w:tcPr>
          <w:p w14:paraId="321E4E7E">
            <w:pPr>
              <w:keepNext w:val="0"/>
              <w:keepLines w:val="0"/>
              <w:pageBreakBefore w:val="0"/>
              <w:wordWrap/>
              <w:overflowPunct/>
              <w:topLinePunct w:val="0"/>
              <w:bidi w:val="0"/>
              <w:spacing w:after="160" w:line="240" w:lineRule="auto"/>
              <w:ind w:left="0"/>
              <w:jc w:val="center"/>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pacing w:val="-3"/>
                <w:sz w:val="24"/>
                <w:szCs w:val="24"/>
                <w:highlight w:val="none"/>
                <w:lang w:eastAsia="en-US"/>
              </w:rPr>
              <w:t>0.40</w:t>
            </w:r>
          </w:p>
        </w:tc>
        <w:tc>
          <w:tcPr>
            <w:tcW w:w="851" w:type="dxa"/>
            <w:tcBorders>
              <w:bottom w:val="single" w:color="000000" w:sz="6" w:space="0"/>
            </w:tcBorders>
            <w:vAlign w:val="center"/>
          </w:tcPr>
          <w:p w14:paraId="37BE0B49">
            <w:pPr>
              <w:keepNext w:val="0"/>
              <w:keepLines w:val="0"/>
              <w:pageBreakBefore w:val="0"/>
              <w:wordWrap/>
              <w:overflowPunct/>
              <w:topLinePunct w:val="0"/>
              <w:bidi w:val="0"/>
              <w:spacing w:after="160" w:line="240" w:lineRule="auto"/>
              <w:ind w:left="0"/>
              <w:jc w:val="center"/>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pacing w:val="-3"/>
                <w:sz w:val="24"/>
                <w:szCs w:val="24"/>
                <w:highlight w:val="none"/>
                <w:lang w:eastAsia="en-US"/>
              </w:rPr>
              <w:t>0.50</w:t>
            </w:r>
          </w:p>
        </w:tc>
        <w:tc>
          <w:tcPr>
            <w:tcW w:w="992" w:type="dxa"/>
            <w:tcBorders>
              <w:bottom w:val="single" w:color="000000" w:sz="6" w:space="0"/>
            </w:tcBorders>
            <w:vAlign w:val="center"/>
          </w:tcPr>
          <w:p w14:paraId="6DC35664">
            <w:pPr>
              <w:keepNext w:val="0"/>
              <w:keepLines w:val="0"/>
              <w:pageBreakBefore w:val="0"/>
              <w:wordWrap/>
              <w:overflowPunct/>
              <w:topLinePunct w:val="0"/>
              <w:bidi w:val="0"/>
              <w:spacing w:after="160" w:line="240" w:lineRule="auto"/>
              <w:ind w:left="0"/>
              <w:jc w:val="center"/>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pacing w:val="-3"/>
                <w:sz w:val="24"/>
                <w:szCs w:val="24"/>
                <w:highlight w:val="none"/>
                <w:lang w:eastAsia="en-US"/>
              </w:rPr>
              <w:t>0.55</w:t>
            </w:r>
          </w:p>
        </w:tc>
        <w:tc>
          <w:tcPr>
            <w:tcW w:w="851" w:type="dxa"/>
            <w:tcBorders>
              <w:bottom w:val="single" w:color="000000" w:sz="6" w:space="0"/>
            </w:tcBorders>
            <w:vAlign w:val="center"/>
          </w:tcPr>
          <w:p w14:paraId="4CE72996">
            <w:pPr>
              <w:keepNext w:val="0"/>
              <w:keepLines w:val="0"/>
              <w:pageBreakBefore w:val="0"/>
              <w:wordWrap/>
              <w:overflowPunct/>
              <w:topLinePunct w:val="0"/>
              <w:bidi w:val="0"/>
              <w:spacing w:after="160" w:line="240" w:lineRule="auto"/>
              <w:ind w:left="0"/>
              <w:jc w:val="center"/>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pacing w:val="-3"/>
                <w:sz w:val="24"/>
                <w:szCs w:val="24"/>
                <w:highlight w:val="none"/>
                <w:lang w:eastAsia="en-US"/>
              </w:rPr>
              <w:t>0.60</w:t>
            </w:r>
          </w:p>
        </w:tc>
        <w:tc>
          <w:tcPr>
            <w:tcW w:w="992" w:type="dxa"/>
            <w:tcBorders>
              <w:bottom w:val="single" w:color="000000" w:sz="6" w:space="0"/>
              <w:right w:val="single" w:color="000000" w:sz="6" w:space="0"/>
            </w:tcBorders>
            <w:vAlign w:val="center"/>
          </w:tcPr>
          <w:p w14:paraId="40C62079">
            <w:pPr>
              <w:keepNext w:val="0"/>
              <w:keepLines w:val="0"/>
              <w:pageBreakBefore w:val="0"/>
              <w:wordWrap/>
              <w:overflowPunct/>
              <w:topLinePunct w:val="0"/>
              <w:bidi w:val="0"/>
              <w:spacing w:after="160" w:line="240" w:lineRule="auto"/>
              <w:ind w:left="0"/>
              <w:jc w:val="center"/>
              <w:rPr>
                <w:rFonts w:hint="default" w:ascii="Times New Roman" w:hAnsi="Times New Roman" w:eastAsia="宋体" w:cs="Times New Roman"/>
                <w:snapToGrid w:val="0"/>
                <w:color w:val="auto"/>
                <w:sz w:val="24"/>
                <w:szCs w:val="24"/>
                <w:highlight w:val="none"/>
                <w:lang w:eastAsia="en-US"/>
              </w:rPr>
            </w:pPr>
            <w:r>
              <w:rPr>
                <w:rFonts w:hint="default" w:ascii="Times New Roman" w:hAnsi="Times New Roman" w:eastAsia="宋体" w:cs="Times New Roman"/>
                <w:snapToGrid w:val="0"/>
                <w:color w:val="auto"/>
                <w:spacing w:val="-3"/>
                <w:sz w:val="24"/>
                <w:szCs w:val="24"/>
                <w:highlight w:val="none"/>
                <w:lang w:eastAsia="en-US"/>
              </w:rPr>
              <w:t>0.60</w:t>
            </w:r>
          </w:p>
        </w:tc>
      </w:tr>
    </w:tbl>
    <w:p w14:paraId="1E6D380C">
      <w:pPr>
        <w:rPr>
          <w:rFonts w:hint="default" w:ascii="Times New Roman" w:hAnsi="Times New Roman" w:eastAsia="宋体" w:cs="Times New Roman"/>
          <w:b/>
          <w:color w:val="auto"/>
          <w:sz w:val="24"/>
          <w:szCs w:val="24"/>
          <w:highlight w:val="cyan"/>
        </w:rPr>
      </w:pPr>
    </w:p>
    <w:p w14:paraId="04730CAC">
      <w:pPr>
        <w:spacing w:line="36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lang w:val="en-US" w:eastAsia="zh-CN"/>
        </w:rPr>
        <w:t>6</w:t>
      </w:r>
      <w:r>
        <w:rPr>
          <w:rFonts w:hint="default" w:ascii="Times New Roman" w:hAnsi="Times New Roman" w:eastAsia="宋体" w:cs="Times New Roman"/>
          <w:b/>
          <w:color w:val="auto"/>
          <w:sz w:val="24"/>
          <w:szCs w:val="24"/>
          <w:highlight w:val="none"/>
        </w:rPr>
        <w:t>.3.6</w:t>
      </w:r>
      <w:r>
        <w:rPr>
          <w:rFonts w:hint="default" w:ascii="Times New Roman" w:hAnsi="Times New Roman" w:eastAsia="宋体" w:cs="Times New Roman"/>
          <w:b/>
          <w:color w:val="auto"/>
          <w:sz w:val="24"/>
          <w:szCs w:val="24"/>
          <w:highlight w:val="none"/>
          <w:lang w:val="en-US" w:eastAsia="zh-CN"/>
        </w:rPr>
        <w:t>3</w:t>
      </w:r>
      <w:r>
        <w:rPr>
          <w:rFonts w:hint="default" w:ascii="Times New Roman" w:hAnsi="Times New Roman" w:eastAsia="宋体" w:cs="Times New Roman"/>
          <w:color w:val="auto"/>
          <w:sz w:val="24"/>
          <w:szCs w:val="24"/>
          <w:highlight w:val="none"/>
        </w:rPr>
        <w:t xml:space="preserve"> 钢丝绳网-聚合物砂浆面层对砌体结构进行抗震加固，宜采用双面加固形式增强砌体结构的整体性。</w:t>
      </w:r>
    </w:p>
    <w:p w14:paraId="4B2C1EAE">
      <w:pPr>
        <w:spacing w:line="36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lang w:val="en-US" w:eastAsia="zh-CN"/>
        </w:rPr>
        <w:t>6</w:t>
      </w:r>
      <w:r>
        <w:rPr>
          <w:rFonts w:hint="default" w:ascii="Times New Roman" w:hAnsi="Times New Roman" w:eastAsia="宋体" w:cs="Times New Roman"/>
          <w:b/>
          <w:color w:val="auto"/>
          <w:sz w:val="24"/>
          <w:szCs w:val="24"/>
          <w:highlight w:val="none"/>
        </w:rPr>
        <w:t>.3.6</w:t>
      </w:r>
      <w:r>
        <w:rPr>
          <w:rFonts w:hint="default" w:ascii="Times New Roman" w:hAnsi="Times New Roman" w:eastAsia="宋体" w:cs="Times New Roman"/>
          <w:b/>
          <w:color w:val="auto"/>
          <w:sz w:val="24"/>
          <w:szCs w:val="24"/>
          <w:highlight w:val="none"/>
          <w:lang w:val="en-US" w:eastAsia="zh-CN"/>
        </w:rPr>
        <w:t>4</w:t>
      </w:r>
      <w:r>
        <w:rPr>
          <w:rFonts w:hint="default" w:ascii="Times New Roman" w:hAnsi="Times New Roman" w:eastAsia="宋体" w:cs="Times New Roman"/>
          <w:color w:val="auto"/>
          <w:sz w:val="24"/>
          <w:szCs w:val="24"/>
          <w:highlight w:val="none"/>
        </w:rPr>
        <w:t xml:space="preserve"> 钢丝绳网-聚合物砂浆面层加固砌体墙的抗震受剪承载力应按下列公式计算：</w:t>
      </w:r>
    </w:p>
    <w:p w14:paraId="064227BD">
      <w:pPr>
        <w:keepNext w:val="0"/>
        <w:keepLines w:val="0"/>
        <w:pageBreakBefore w:val="0"/>
        <w:widowControl w:val="0"/>
        <w:kinsoku/>
        <w:wordWrap/>
        <w:overflowPunct/>
        <w:topLinePunct w:val="0"/>
        <w:autoSpaceDE/>
        <w:autoSpaceDN/>
        <w:bidi w:val="0"/>
        <w:adjustRightInd/>
        <w:snapToGrid/>
        <w:spacing w:line="360" w:lineRule="auto"/>
        <w:ind w:firstLine="4320" w:firstLineChars="1800"/>
        <w:textAlignment w:val="auto"/>
        <w:rPr>
          <w:rFonts w:hint="default" w:ascii="Times New Roman" w:hAnsi="Times New Roman" w:eastAsia="宋体" w:cs="Times New Roman"/>
          <w:color w:val="auto"/>
          <w:sz w:val="24"/>
          <w:szCs w:val="24"/>
          <w:highlight w:val="none"/>
        </w:rPr>
      </w:pPr>
      <m:oMath>
        <w:bookmarkStart w:id="115" w:name="_Toc16048"/>
        <m:r>
          <m:rPr>
            <m:nor/>
            <m:sty m:val="p"/>
          </m:rPr>
          <w:rPr>
            <w:rFonts w:hint="default" w:ascii="Times New Roman" w:hAnsi="Times New Roman" w:eastAsia="宋体" w:cs="Times New Roman"/>
            <w:b w:val="0"/>
            <w:i w:val="0"/>
            <w:color w:val="auto"/>
            <w:kern w:val="2"/>
            <w:position w:val="-12"/>
            <w:sz w:val="24"/>
            <w:szCs w:val="24"/>
            <w:highlight w:val="none"/>
            <w:lang w:val="en-US" w:eastAsia="zh-CN" w:bidi="ar-SA"/>
          </w:rPr>
          <m:t>V≤</m:t>
        </m:r>
        <m:sSub>
          <m:sSubPr>
            <m:ctrlPr>
              <w:rPr>
                <w:rFonts w:hint="default" w:ascii="Cambria Math" w:hAnsi="Cambria Math" w:eastAsia="宋体" w:cs="Times New Roman"/>
                <w:color w:val="auto"/>
                <w:kern w:val="2"/>
                <w:position w:val="-12"/>
                <w:sz w:val="24"/>
                <w:szCs w:val="24"/>
                <w:highlight w:val="none"/>
                <w:lang w:val="en-US" w:eastAsia="zh-CN" w:bidi="ar-SA"/>
              </w:rPr>
            </m:ctrlPr>
          </m:sSubPr>
          <m:e>
            <m:r>
              <m:rPr>
                <m:nor/>
                <m:sty m:val="p"/>
              </m:rPr>
              <w:rPr>
                <w:rFonts w:hint="default" w:ascii="Times New Roman" w:hAnsi="Times New Roman" w:eastAsia="宋体" w:cs="Times New Roman"/>
                <w:b w:val="0"/>
                <w:i w:val="0"/>
                <w:color w:val="auto"/>
                <w:kern w:val="2"/>
                <w:position w:val="-12"/>
                <w:sz w:val="24"/>
                <w:szCs w:val="24"/>
                <w:highlight w:val="none"/>
                <w:lang w:val="en-US" w:eastAsia="zh-CN" w:bidi="ar-SA"/>
              </w:rPr>
              <m:t>V</m:t>
            </m:r>
            <m:ctrlPr>
              <w:rPr>
                <w:rFonts w:hint="default" w:ascii="Cambria Math" w:hAnsi="Cambria Math" w:eastAsia="宋体" w:cs="Times New Roman"/>
                <w:color w:val="auto"/>
                <w:kern w:val="2"/>
                <w:position w:val="-12"/>
                <w:sz w:val="24"/>
                <w:szCs w:val="24"/>
                <w:highlight w:val="none"/>
                <w:lang w:val="en-US" w:eastAsia="zh-CN" w:bidi="ar-SA"/>
              </w:rPr>
            </m:ctrlPr>
          </m:e>
          <m:sub>
            <m:r>
              <m:rPr>
                <m:nor/>
                <m:sty m:val="p"/>
              </m:rPr>
              <w:rPr>
                <w:rFonts w:hint="default" w:ascii="Times New Roman" w:hAnsi="Times New Roman" w:eastAsia="宋体" w:cs="Times New Roman"/>
                <w:b w:val="0"/>
                <w:i w:val="0"/>
                <w:color w:val="auto"/>
                <w:kern w:val="2"/>
                <w:position w:val="-12"/>
                <w:sz w:val="24"/>
                <w:szCs w:val="24"/>
                <w:highlight w:val="none"/>
                <w:lang w:val="en-US" w:eastAsia="zh-CN" w:bidi="ar-SA"/>
              </w:rPr>
              <m:t>ME</m:t>
            </m:r>
            <m:ctrlPr>
              <w:rPr>
                <w:rFonts w:hint="default" w:ascii="Cambria Math" w:hAnsi="Cambria Math" w:eastAsia="宋体" w:cs="Times New Roman"/>
                <w:color w:val="auto"/>
                <w:kern w:val="2"/>
                <w:position w:val="-12"/>
                <w:sz w:val="24"/>
                <w:szCs w:val="24"/>
                <w:highlight w:val="none"/>
                <w:lang w:val="en-US" w:eastAsia="zh-CN" w:bidi="ar-SA"/>
              </w:rPr>
            </m:ctrlPr>
          </m:sub>
        </m:sSub>
        <m:r>
          <m:rPr>
            <m:nor/>
            <m:sty m:val="p"/>
          </m:rPr>
          <w:rPr>
            <w:rFonts w:hint="default" w:ascii="Times New Roman" w:hAnsi="Times New Roman" w:eastAsia="宋体" w:cs="Times New Roman"/>
            <w:b w:val="0"/>
            <w:i w:val="0"/>
            <w:color w:val="auto"/>
            <w:kern w:val="2"/>
            <w:position w:val="-12"/>
            <w:sz w:val="24"/>
            <w:szCs w:val="24"/>
            <w:highlight w:val="none"/>
            <w:lang w:val="en-US" w:eastAsia="zh-CN" w:bidi="ar-SA"/>
          </w:rPr>
          <m:t>+</m:t>
        </m:r>
        <m:sSub>
          <m:sSubPr>
            <m:ctrlPr>
              <w:rPr>
                <w:rFonts w:hint="default" w:ascii="Cambria Math" w:hAnsi="Cambria Math" w:eastAsia="宋体" w:cs="Times New Roman"/>
                <w:color w:val="auto"/>
                <w:kern w:val="2"/>
                <w:position w:val="-12"/>
                <w:sz w:val="24"/>
                <w:szCs w:val="24"/>
                <w:highlight w:val="none"/>
                <w:lang w:val="en-US" w:eastAsia="zh-CN" w:bidi="ar-SA"/>
              </w:rPr>
            </m:ctrlPr>
          </m:sSubPr>
          <m:e>
            <m:r>
              <m:rPr>
                <m:nor/>
                <m:sty m:val="p"/>
              </m:rPr>
              <w:rPr>
                <w:rFonts w:hint="default" w:ascii="Times New Roman" w:hAnsi="Times New Roman" w:eastAsia="宋体" w:cs="Times New Roman"/>
                <w:b w:val="0"/>
                <w:i w:val="0"/>
                <w:color w:val="auto"/>
                <w:kern w:val="2"/>
                <w:position w:val="-12"/>
                <w:sz w:val="24"/>
                <w:szCs w:val="24"/>
                <w:highlight w:val="none"/>
                <w:lang w:val="en-US" w:eastAsia="zh-CN" w:bidi="ar-SA"/>
              </w:rPr>
              <m:t>V</m:t>
            </m:r>
            <m:ctrlPr>
              <w:rPr>
                <w:rFonts w:hint="default" w:ascii="Cambria Math" w:hAnsi="Cambria Math" w:eastAsia="宋体" w:cs="Times New Roman"/>
                <w:color w:val="auto"/>
                <w:kern w:val="2"/>
                <w:position w:val="-12"/>
                <w:sz w:val="24"/>
                <w:szCs w:val="24"/>
                <w:highlight w:val="none"/>
                <w:lang w:val="en-US" w:eastAsia="zh-CN" w:bidi="ar-SA"/>
              </w:rPr>
            </m:ctrlPr>
          </m:e>
          <m:sub>
            <m:r>
              <m:rPr>
                <m:nor/>
                <m:sty m:val="p"/>
              </m:rPr>
              <w:rPr>
                <w:rFonts w:hint="default" w:ascii="Times New Roman" w:hAnsi="Times New Roman" w:eastAsia="宋体" w:cs="Times New Roman"/>
                <w:b w:val="0"/>
                <w:i w:val="0"/>
                <w:color w:val="auto"/>
                <w:kern w:val="2"/>
                <w:position w:val="-12"/>
                <w:sz w:val="24"/>
                <w:szCs w:val="24"/>
                <w:highlight w:val="none"/>
                <w:lang w:val="en-US" w:eastAsia="zh-CN" w:bidi="ar-SA"/>
              </w:rPr>
              <m:t>rw</m:t>
            </m:r>
            <m:ctrlPr>
              <w:rPr>
                <w:rFonts w:hint="default" w:ascii="Cambria Math" w:hAnsi="Cambria Math" w:eastAsia="宋体" w:cs="Times New Roman"/>
                <w:color w:val="auto"/>
                <w:kern w:val="2"/>
                <w:position w:val="-12"/>
                <w:sz w:val="24"/>
                <w:szCs w:val="24"/>
                <w:highlight w:val="none"/>
                <w:lang w:val="en-US" w:eastAsia="zh-CN" w:bidi="ar-SA"/>
              </w:rPr>
            </m:ctrlPr>
          </m:sub>
        </m:sSub>
      </m:oMath>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.6</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-1）</w:t>
      </w:r>
    </w:p>
    <w:p w14:paraId="1CDE3CB6">
      <w:pPr>
        <w:keepNext w:val="0"/>
        <w:keepLines w:val="0"/>
        <w:pageBreakBefore w:val="0"/>
        <w:widowControl w:val="0"/>
        <w:kinsoku/>
        <w:wordWrap/>
        <w:overflowPunct/>
        <w:topLinePunct w:val="0"/>
        <w:autoSpaceDE/>
        <w:autoSpaceDN/>
        <w:bidi w:val="0"/>
        <w:adjustRightInd/>
        <w:snapToGrid/>
        <w:ind w:firstLine="4320" w:firstLineChars="18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position w:val="-12"/>
          <w:sz w:val="24"/>
          <w:szCs w:val="24"/>
          <w:highlight w:val="none"/>
        </w:rPr>
        <w:object>
          <v:shape id="_x0000_i1164" o:spt="75" type="#_x0000_t75" style="height:18pt;width:50pt;" o:ole="t" filled="f" o:preferrelative="t" stroked="f" coordsize="21600,21600">
            <v:path/>
            <v:fill on="f" focussize="0,0"/>
            <v:stroke on="f" joinstyle="miter"/>
            <v:imagedata r:id="rId265" o:title=""/>
            <o:lock v:ext="edit" aspectratio="t"/>
            <w10:wrap type="none"/>
            <w10:anchorlock/>
          </v:shape>
          <o:OLEObject Type="Embed" ProgID="Equation.DSMT4" ShapeID="_x0000_i1164" DrawAspect="Content" ObjectID="_1468075864" r:id="rId272">
            <o:LockedField>false</o:LockedField>
          </o:OLEObject>
        </w:objec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.6</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-2）</w:t>
      </w:r>
    </w:p>
    <w:p w14:paraId="7FE81EFF">
      <w:pPr>
        <w:pStyle w:val="12"/>
        <w:spacing w:before="182"/>
        <w:ind w:firstLine="0" w:firstLineChars="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pacing w:val="10"/>
          <w:sz w:val="24"/>
          <w:szCs w:val="24"/>
          <w:highlight w:val="none"/>
          <w:lang w:eastAsia="zh-CN"/>
        </w:rPr>
        <w:t xml:space="preserve">式中 </w:t>
      </w:r>
      <w:r>
        <w:rPr>
          <w:rFonts w:hint="default" w:ascii="Times New Roman" w:hAnsi="Times New Roman" w:eastAsia="宋体" w:cs="Times New Roman"/>
          <w:i/>
          <w:iCs/>
          <w:color w:val="auto"/>
          <w:spacing w:val="10"/>
          <w:sz w:val="24"/>
          <w:szCs w:val="24"/>
          <w:highlight w:val="none"/>
          <w:lang w:eastAsia="zh-CN"/>
        </w:rPr>
        <w:t>V</w:t>
      </w:r>
      <w:r>
        <w:rPr>
          <w:rFonts w:hint="default" w:ascii="Times New Roman" w:hAnsi="Times New Roman" w:eastAsia="宋体" w:cs="Times New Roman"/>
          <w:color w:val="auto"/>
          <w:spacing w:val="10"/>
          <w:sz w:val="24"/>
          <w:szCs w:val="24"/>
          <w:highlight w:val="none"/>
          <w:lang w:eastAsia="zh-CN"/>
        </w:rPr>
        <w:t>—考虑地震组合的墙体剪力设计</w:t>
      </w:r>
      <w:r>
        <w:rPr>
          <w:rFonts w:hint="default" w:ascii="Times New Roman" w:hAnsi="Times New Roman" w:eastAsia="宋体" w:cs="Times New Roman"/>
          <w:color w:val="auto"/>
          <w:spacing w:val="9"/>
          <w:sz w:val="24"/>
          <w:szCs w:val="24"/>
          <w:highlight w:val="none"/>
          <w:lang w:eastAsia="zh-CN"/>
        </w:rPr>
        <w:t>值；</w:t>
      </w:r>
    </w:p>
    <w:p w14:paraId="70AB13B9">
      <w:pPr>
        <w:pStyle w:val="12"/>
        <w:spacing w:before="78"/>
        <w:ind w:firstLine="42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i/>
          <w:iCs/>
          <w:color w:val="auto"/>
          <w:sz w:val="24"/>
          <w:szCs w:val="24"/>
          <w:highlight w:val="none"/>
          <w:lang w:eastAsia="zh-CN"/>
        </w:rPr>
        <w:t>V</w:t>
      </w:r>
      <w:r>
        <w:rPr>
          <w:rFonts w:hint="default" w:ascii="Times New Roman" w:hAnsi="Times New Roman" w:eastAsia="宋体" w:cs="Times New Roman"/>
          <w:color w:val="auto"/>
          <w:position w:val="-2"/>
          <w:sz w:val="24"/>
          <w:szCs w:val="24"/>
          <w:highlight w:val="none"/>
          <w:vertAlign w:val="subscript"/>
          <w:lang w:eastAsia="zh-CN"/>
        </w:rPr>
        <w:t>ME</w:t>
      </w:r>
      <w:r>
        <w:rPr>
          <w:rFonts w:hint="default" w:ascii="Times New Roman" w:hAnsi="Times New Roman" w:eastAsia="宋体" w:cs="Times New Roman"/>
          <w:color w:val="auto"/>
          <w:spacing w:val="17"/>
          <w:sz w:val="24"/>
          <w:szCs w:val="24"/>
          <w:highlight w:val="none"/>
          <w:lang w:eastAsia="zh-CN"/>
        </w:rPr>
        <w:t>—原砌体抗震受剪承载力，按国家标准《砌体结</w:t>
      </w:r>
      <w:r>
        <w:rPr>
          <w:rFonts w:hint="default" w:ascii="Times New Roman" w:hAnsi="Times New Roman" w:eastAsia="宋体" w:cs="Times New Roman"/>
          <w:color w:val="auto"/>
          <w:sz w:val="24"/>
          <w:szCs w:val="24"/>
          <w:highlight w:val="none"/>
          <w:lang w:eastAsia="zh-CN"/>
        </w:rPr>
        <w:t>构设计规范》GB</w:t>
      </w:r>
      <w:r>
        <w:rPr>
          <w:rFonts w:hint="default" w:ascii="Times New Roman" w:hAnsi="Times New Roman" w:eastAsia="宋体" w:cs="Times New Roman"/>
          <w:color w:val="auto"/>
          <w:spacing w:val="23"/>
          <w:w w:val="101"/>
          <w:sz w:val="24"/>
          <w:szCs w:val="24"/>
          <w:highlight w:val="none"/>
          <w:lang w:eastAsia="zh-CN"/>
        </w:rPr>
        <w:t xml:space="preserve"> </w:t>
      </w:r>
      <w:r>
        <w:rPr>
          <w:rFonts w:hint="default" w:ascii="Times New Roman" w:hAnsi="Times New Roman" w:eastAsia="宋体" w:cs="Times New Roman"/>
          <w:color w:val="auto"/>
          <w:sz w:val="24"/>
          <w:szCs w:val="24"/>
          <w:highlight w:val="none"/>
          <w:lang w:eastAsia="zh-CN"/>
        </w:rPr>
        <w:t>50003计算确定；</w:t>
      </w:r>
    </w:p>
    <w:p w14:paraId="372072E2">
      <w:pPr>
        <w:pStyle w:val="12"/>
        <w:spacing w:before="4"/>
        <w:ind w:firstLine="42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i/>
          <w:iCs/>
          <w:color w:val="auto"/>
          <w:sz w:val="24"/>
          <w:szCs w:val="24"/>
          <w:highlight w:val="none"/>
          <w:lang w:eastAsia="zh-CN"/>
        </w:rPr>
        <w:t>V</w:t>
      </w:r>
      <w:r>
        <w:rPr>
          <w:rFonts w:hint="default" w:ascii="Times New Roman" w:hAnsi="Times New Roman" w:eastAsia="宋体" w:cs="Times New Roman"/>
          <w:color w:val="auto"/>
          <w:position w:val="-2"/>
          <w:sz w:val="24"/>
          <w:szCs w:val="24"/>
          <w:highlight w:val="none"/>
          <w:vertAlign w:val="subscript"/>
          <w:lang w:eastAsia="zh-CN"/>
        </w:rPr>
        <w:t>rw</w:t>
      </w:r>
      <w:r>
        <w:rPr>
          <w:rFonts w:hint="default" w:ascii="Times New Roman" w:hAnsi="Times New Roman" w:eastAsia="宋体" w:cs="Times New Roman"/>
          <w:color w:val="auto"/>
          <w:spacing w:val="18"/>
          <w:sz w:val="24"/>
          <w:szCs w:val="24"/>
          <w:highlight w:val="none"/>
          <w:lang w:eastAsia="zh-CN"/>
        </w:rPr>
        <w:t>—采用钢丝绳网-聚合物砂浆面层加固后提高的抗</w:t>
      </w:r>
      <w:r>
        <w:rPr>
          <w:rFonts w:hint="default" w:ascii="Times New Roman" w:hAnsi="Times New Roman" w:eastAsia="宋体" w:cs="Times New Roman"/>
          <w:color w:val="auto"/>
          <w:spacing w:val="7"/>
          <w:sz w:val="24"/>
          <w:szCs w:val="24"/>
          <w:highlight w:val="none"/>
          <w:lang w:eastAsia="zh-CN"/>
        </w:rPr>
        <w:t>震受剪承载力，按本规程第</w:t>
      </w:r>
      <w:r>
        <w:rPr>
          <w:rFonts w:hint="default" w:ascii="Times New Roman" w:hAnsi="Times New Roman" w:eastAsia="宋体" w:cs="Times New Roman"/>
          <w:color w:val="auto"/>
          <w:spacing w:val="7"/>
          <w:sz w:val="24"/>
          <w:szCs w:val="24"/>
          <w:highlight w:val="none"/>
          <w:lang w:val="en-US" w:eastAsia="zh-CN"/>
        </w:rPr>
        <w:t>6</w:t>
      </w:r>
      <w:r>
        <w:rPr>
          <w:rFonts w:hint="default" w:ascii="Times New Roman" w:hAnsi="Times New Roman" w:eastAsia="宋体" w:cs="Times New Roman"/>
          <w:color w:val="auto"/>
          <w:spacing w:val="7"/>
          <w:sz w:val="24"/>
          <w:szCs w:val="24"/>
          <w:highlight w:val="none"/>
          <w:lang w:eastAsia="zh-CN"/>
        </w:rPr>
        <w:t>.</w:t>
      </w:r>
      <w:r>
        <w:rPr>
          <w:rFonts w:hint="default" w:ascii="Times New Roman" w:hAnsi="Times New Roman" w:eastAsia="宋体" w:cs="Times New Roman"/>
          <w:color w:val="auto"/>
          <w:spacing w:val="7"/>
          <w:sz w:val="24"/>
          <w:szCs w:val="24"/>
          <w:highlight w:val="none"/>
          <w:lang w:val="en-US" w:eastAsia="zh-CN"/>
        </w:rPr>
        <w:t>3</w:t>
      </w:r>
      <w:r>
        <w:rPr>
          <w:rFonts w:hint="default" w:ascii="Times New Roman" w:hAnsi="Times New Roman" w:eastAsia="宋体" w:cs="Times New Roman"/>
          <w:color w:val="auto"/>
          <w:spacing w:val="7"/>
          <w:sz w:val="24"/>
          <w:szCs w:val="24"/>
          <w:highlight w:val="none"/>
          <w:lang w:eastAsia="zh-CN"/>
        </w:rPr>
        <w:t>.</w:t>
      </w:r>
      <w:r>
        <w:rPr>
          <w:rFonts w:hint="default" w:ascii="Times New Roman" w:hAnsi="Times New Roman" w:eastAsia="宋体" w:cs="Times New Roman"/>
          <w:color w:val="auto"/>
          <w:spacing w:val="7"/>
          <w:sz w:val="24"/>
          <w:szCs w:val="24"/>
          <w:highlight w:val="none"/>
          <w:lang w:val="en-US" w:eastAsia="zh-CN"/>
        </w:rPr>
        <w:t>62</w:t>
      </w:r>
      <w:r>
        <w:rPr>
          <w:rFonts w:hint="default" w:ascii="Times New Roman" w:hAnsi="Times New Roman" w:eastAsia="宋体" w:cs="Times New Roman"/>
          <w:color w:val="auto"/>
          <w:spacing w:val="7"/>
          <w:sz w:val="24"/>
          <w:szCs w:val="24"/>
          <w:highlight w:val="none"/>
          <w:lang w:eastAsia="zh-CN"/>
        </w:rPr>
        <w:t>条计算；</w:t>
      </w:r>
    </w:p>
    <w:p w14:paraId="66B6C3F0">
      <w:pPr>
        <w:pStyle w:val="12"/>
        <w:spacing w:before="3"/>
        <w:ind w:firstLine="468" w:firstLineChars="195"/>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position w:val="-12"/>
          <w:sz w:val="24"/>
          <w:szCs w:val="24"/>
          <w:highlight w:val="none"/>
        </w:rPr>
        <w:object>
          <v:shape id="_x0000_i1165" o:spt="75" type="#_x0000_t75" style="height:18pt;width:19pt;" o:ole="t" filled="f" o:preferrelative="t" stroked="f" coordsize="21600,21600">
            <v:path/>
            <v:fill on="f" focussize="0,0"/>
            <v:stroke on="f" joinstyle="miter"/>
            <v:imagedata r:id="rId274" o:title=""/>
            <o:lock v:ext="edit" aspectratio="t"/>
            <w10:wrap type="none"/>
            <w10:anchorlock/>
          </v:shape>
          <o:OLEObject Type="Embed" ProgID="Equation.DSMT4" ShapeID="_x0000_i1165" DrawAspect="Content" ObjectID="_1468075865" r:id="rId273">
            <o:LockedField>false</o:LockedField>
          </o:OLEObject>
        </w:object>
      </w:r>
      <w:r>
        <w:rPr>
          <w:rFonts w:hint="default" w:ascii="Times New Roman" w:hAnsi="Times New Roman" w:eastAsia="宋体" w:cs="Times New Roman"/>
          <w:color w:val="auto"/>
          <w:spacing w:val="1"/>
          <w:sz w:val="24"/>
          <w:szCs w:val="24"/>
          <w:highlight w:val="none"/>
          <w:lang w:eastAsia="zh-CN"/>
        </w:rPr>
        <w:t>—承载力抗震调整系数，取</w:t>
      </w:r>
      <w:r>
        <w:rPr>
          <w:rFonts w:hint="default" w:ascii="Times New Roman" w:hAnsi="Times New Roman" w:eastAsia="宋体" w:cs="Times New Roman"/>
          <w:color w:val="auto"/>
          <w:position w:val="-12"/>
          <w:sz w:val="24"/>
          <w:szCs w:val="24"/>
          <w:highlight w:val="none"/>
        </w:rPr>
        <w:object>
          <v:shape id="_x0000_i1166" o:spt="75" type="#_x0000_t75" style="height:18pt;width:19pt;" o:ole="t" filled="f" o:preferrelative="t" stroked="f" coordsize="21600,21600">
            <v:path/>
            <v:fill on="f" focussize="0,0"/>
            <v:stroke on="f" joinstyle="miter"/>
            <v:imagedata r:id="rId276" o:title=""/>
            <o:lock v:ext="edit" aspectratio="t"/>
            <w10:wrap type="none"/>
            <w10:anchorlock/>
          </v:shape>
          <o:OLEObject Type="Embed" ProgID="Equation.DSMT4" ShapeID="_x0000_i1166" DrawAspect="Content" ObjectID="_1468075866" r:id="rId275">
            <o:LockedField>false</o:LockedField>
          </o:OLEObject>
        </w:object>
      </w:r>
      <w:r>
        <w:rPr>
          <w:rFonts w:hint="default" w:ascii="Times New Roman" w:hAnsi="Times New Roman" w:eastAsia="宋体" w:cs="Times New Roman"/>
          <w:color w:val="auto"/>
          <w:spacing w:val="1"/>
          <w:sz w:val="24"/>
          <w:szCs w:val="24"/>
          <w:highlight w:val="none"/>
          <w:lang w:eastAsia="zh-CN"/>
        </w:rPr>
        <w:t>为0.9。</w:t>
      </w:r>
    </w:p>
    <w:p w14:paraId="7B08237F">
      <w:pP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lang w:val="en-US" w:eastAsia="zh-CN"/>
        </w:rPr>
        <w:t>6</w:t>
      </w:r>
      <w:r>
        <w:rPr>
          <w:rFonts w:hint="default" w:ascii="Times New Roman" w:hAnsi="Times New Roman" w:eastAsia="宋体" w:cs="Times New Roman"/>
          <w:b/>
          <w:color w:val="auto"/>
          <w:sz w:val="24"/>
          <w:szCs w:val="24"/>
          <w:highlight w:val="none"/>
        </w:rPr>
        <w:t>.3.6</w:t>
      </w:r>
      <w:r>
        <w:rPr>
          <w:rFonts w:hint="default" w:ascii="Times New Roman" w:hAnsi="Times New Roman" w:eastAsia="宋体" w:cs="Times New Roman"/>
          <w:b/>
          <w:color w:val="auto"/>
          <w:sz w:val="24"/>
          <w:szCs w:val="24"/>
          <w:highlight w:val="none"/>
          <w:lang w:val="en-US" w:eastAsia="zh-CN"/>
        </w:rPr>
        <w:t>5</w:t>
      </w:r>
      <w:r>
        <w:rPr>
          <w:rFonts w:hint="default" w:ascii="Times New Roman" w:hAnsi="Times New Roman" w:eastAsia="宋体" w:cs="Times New Roman"/>
          <w:color w:val="auto"/>
          <w:sz w:val="24"/>
          <w:szCs w:val="24"/>
          <w:highlight w:val="none"/>
        </w:rPr>
        <w:t xml:space="preserve"> 钢丝绳网的设计与制作应符合下列规定：</w:t>
      </w:r>
      <w:bookmarkEnd w:id="115"/>
    </w:p>
    <w:p w14:paraId="64EF29B3">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 xml:space="preserve">1 </w:t>
      </w:r>
      <w:r>
        <w:rPr>
          <w:rFonts w:hint="default" w:ascii="Times New Roman" w:hAnsi="Times New Roman" w:eastAsia="宋体" w:cs="Times New Roman"/>
          <w:color w:val="auto"/>
          <w:sz w:val="24"/>
          <w:szCs w:val="24"/>
          <w:highlight w:val="none"/>
          <w:lang w:eastAsia="zh-CN"/>
        </w:rPr>
        <w:t>网片应采用小直径不松散的高强度钢丝绳制作；绳的直径宜在2.5～4.5mm范围内；当采用航空用高强度钢丝绳时，也可使用规格为2.4mm的高强度钢丝绳。</w:t>
      </w:r>
    </w:p>
    <w:p w14:paraId="21819AD3">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 xml:space="preserve">2 </w:t>
      </w:r>
      <w:r>
        <w:rPr>
          <w:rFonts w:hint="default" w:ascii="Times New Roman" w:hAnsi="Times New Roman" w:eastAsia="宋体" w:cs="Times New Roman"/>
          <w:color w:val="auto"/>
          <w:sz w:val="24"/>
          <w:szCs w:val="24"/>
          <w:highlight w:val="none"/>
          <w:lang w:eastAsia="zh-CN"/>
        </w:rPr>
        <w:t>绳的结构形式（图</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.62-1）应为6×7＋IWS金属股芯右交互捻钢丝绳或1×19单股左捻钢丝绳(钢绞线)。</w:t>
      </w:r>
    </w:p>
    <w:p w14:paraId="33FE94B4">
      <w:pPr>
        <w:pStyle w:val="12"/>
        <w:numPr>
          <w:ilvl w:val="0"/>
          <w:numId w:val="0"/>
        </w:numPr>
        <w:spacing w:line="240" w:lineRule="auto"/>
        <w:ind w:left="2510" w:leftChars="0"/>
        <w:rPr>
          <w:rFonts w:hint="eastAsia" w:ascii="宋体" w:hAnsi="宋体" w:eastAsia="宋体" w:cs="宋体"/>
          <w:color w:val="auto"/>
          <w:spacing w:val="-3"/>
          <w:sz w:val="21"/>
          <w:szCs w:val="21"/>
          <w:highlight w:val="none"/>
          <w:lang w:eastAsia="zh-CN"/>
        </w:rPr>
      </w:pPr>
      <w:r>
        <w:rPr>
          <w:rFonts w:hint="eastAsia" w:ascii="宋体" w:hAnsi="宋体" w:eastAsia="宋体" w:cs="宋体"/>
          <w:color w:val="auto"/>
          <w:position w:val="-41"/>
          <w:sz w:val="21"/>
          <w:szCs w:val="21"/>
          <w:highlight w:val="none"/>
          <w:lang w:eastAsia="zh-CN"/>
        </w:rPr>
        <w:drawing>
          <wp:anchor distT="0" distB="0" distL="0" distR="0" simplePos="0" relativeHeight="251672576" behindDoc="0" locked="0" layoutInCell="1" allowOverlap="1">
            <wp:simplePos x="0" y="0"/>
            <wp:positionH relativeFrom="column">
              <wp:posOffset>1070610</wp:posOffset>
            </wp:positionH>
            <wp:positionV relativeFrom="paragraph">
              <wp:posOffset>107950</wp:posOffset>
            </wp:positionV>
            <wp:extent cx="1507490" cy="1331595"/>
            <wp:effectExtent l="0" t="0" r="16510" b="1905"/>
            <wp:wrapTopAndBottom/>
            <wp:docPr id="29" name="IM 44"/>
            <wp:cNvGraphicFramePr/>
            <a:graphic xmlns:a="http://schemas.openxmlformats.org/drawingml/2006/main">
              <a:graphicData uri="http://schemas.openxmlformats.org/drawingml/2006/picture">
                <pic:pic xmlns:pic="http://schemas.openxmlformats.org/drawingml/2006/picture">
                  <pic:nvPicPr>
                    <pic:cNvPr id="29" name="IM 44"/>
                    <pic:cNvPicPr/>
                  </pic:nvPicPr>
                  <pic:blipFill>
                    <a:blip r:embed="rId277"/>
                    <a:stretch>
                      <a:fillRect/>
                    </a:stretch>
                  </pic:blipFill>
                  <pic:spPr>
                    <a:xfrm>
                      <a:off x="0" y="0"/>
                      <a:ext cx="1507997" cy="1331595"/>
                    </a:xfrm>
                    <a:prstGeom prst="rect">
                      <a:avLst/>
                    </a:prstGeom>
                  </pic:spPr>
                </pic:pic>
              </a:graphicData>
            </a:graphic>
          </wp:anchor>
        </w:drawing>
      </w:r>
      <w:r>
        <w:rPr>
          <w:rFonts w:hint="eastAsia" w:ascii="宋体" w:hAnsi="宋体" w:eastAsia="宋体" w:cs="宋体"/>
          <w:color w:val="auto"/>
          <w:sz w:val="21"/>
          <w:szCs w:val="21"/>
          <w:highlight w:val="none"/>
          <w:lang w:eastAsia="zh-CN"/>
        </w:rPr>
        <w:drawing>
          <wp:anchor distT="0" distB="0" distL="0" distR="0" simplePos="0" relativeHeight="251671552" behindDoc="0" locked="0" layoutInCell="1" allowOverlap="1">
            <wp:simplePos x="0" y="0"/>
            <wp:positionH relativeFrom="column">
              <wp:posOffset>3128010</wp:posOffset>
            </wp:positionH>
            <wp:positionV relativeFrom="paragraph">
              <wp:posOffset>27940</wp:posOffset>
            </wp:positionV>
            <wp:extent cx="1393190" cy="1384935"/>
            <wp:effectExtent l="0" t="0" r="16510" b="5715"/>
            <wp:wrapNone/>
            <wp:docPr id="27" name="IM 42"/>
            <wp:cNvGraphicFramePr/>
            <a:graphic xmlns:a="http://schemas.openxmlformats.org/drawingml/2006/main">
              <a:graphicData uri="http://schemas.openxmlformats.org/drawingml/2006/picture">
                <pic:pic xmlns:pic="http://schemas.openxmlformats.org/drawingml/2006/picture">
                  <pic:nvPicPr>
                    <pic:cNvPr id="27" name="IM 42"/>
                    <pic:cNvPicPr/>
                  </pic:nvPicPr>
                  <pic:blipFill>
                    <a:blip r:embed="rId278"/>
                    <a:stretch>
                      <a:fillRect/>
                    </a:stretch>
                  </pic:blipFill>
                  <pic:spPr>
                    <a:xfrm>
                      <a:off x="0" y="0"/>
                      <a:ext cx="1393317" cy="1384935"/>
                    </a:xfrm>
                    <a:prstGeom prst="rect">
                      <a:avLst/>
                    </a:prstGeom>
                  </pic:spPr>
                </pic:pic>
              </a:graphicData>
            </a:graphic>
          </wp:anchor>
        </w:drawing>
      </w:r>
      <w:r>
        <w:rPr>
          <w:rFonts w:hint="eastAsia" w:ascii="宋体" w:hAnsi="宋体" w:eastAsia="宋体" w:cs="宋体"/>
          <w:color w:val="auto"/>
          <w:spacing w:val="-11"/>
          <w:sz w:val="21"/>
          <w:szCs w:val="21"/>
          <w:highlight w:val="none"/>
          <w:lang w:eastAsia="zh-CN"/>
        </w:rPr>
        <w:t>（</w:t>
      </w:r>
      <w:r>
        <w:rPr>
          <w:rFonts w:hint="eastAsia" w:ascii="宋体" w:hAnsi="宋体" w:eastAsia="宋体" w:cs="宋体"/>
          <w:color w:val="auto"/>
          <w:spacing w:val="-11"/>
          <w:sz w:val="21"/>
          <w:szCs w:val="21"/>
          <w:highlight w:val="none"/>
          <w:lang w:val="en-US" w:eastAsia="zh-CN"/>
        </w:rPr>
        <w:t>a</w:t>
      </w:r>
      <w:r>
        <w:rPr>
          <w:rFonts w:hint="eastAsia" w:ascii="宋体" w:hAnsi="宋体" w:eastAsia="宋体" w:cs="宋体"/>
          <w:color w:val="auto"/>
          <w:spacing w:val="-11"/>
          <w:sz w:val="21"/>
          <w:szCs w:val="21"/>
          <w:highlight w:val="none"/>
          <w:lang w:eastAsia="zh-CN"/>
        </w:rPr>
        <w:t>）6×7＋IWS钢丝绳</w:t>
      </w:r>
      <w:r>
        <w:rPr>
          <w:rFonts w:hint="eastAsia" w:ascii="宋体" w:hAnsi="宋体" w:eastAsia="宋体" w:cs="宋体"/>
          <w:color w:val="auto"/>
          <w:spacing w:val="-11"/>
          <w:sz w:val="21"/>
          <w:szCs w:val="21"/>
          <w:highlight w:val="none"/>
          <w:lang w:val="en-US" w:eastAsia="zh-CN"/>
        </w:rPr>
        <w:t xml:space="preserve">      </w:t>
      </w:r>
      <w:r>
        <w:rPr>
          <w:rFonts w:hint="eastAsia" w:ascii="宋体" w:hAnsi="宋体" w:eastAsia="宋体" w:cs="宋体"/>
          <w:color w:val="auto"/>
          <w:spacing w:val="-3"/>
          <w:sz w:val="21"/>
          <w:szCs w:val="21"/>
          <w:highlight w:val="none"/>
          <w:lang w:eastAsia="zh-CN"/>
        </w:rPr>
        <w:t>（b）1×19钢绞（单股钢丝绳）</w:t>
      </w:r>
    </w:p>
    <w:p w14:paraId="71B2EA29">
      <w:pPr>
        <w:pStyle w:val="12"/>
        <w:numPr>
          <w:ilvl w:val="0"/>
          <w:numId w:val="0"/>
        </w:numPr>
        <w:spacing w:line="240" w:lineRule="auto"/>
        <w:ind w:left="2510" w:leftChars="0" w:firstLine="750" w:firstLineChars="300"/>
        <w:rPr>
          <w:rFonts w:hint="default" w:ascii="Times New Roman" w:hAnsi="Times New Roman" w:eastAsia="宋体" w:cs="Times New Roman"/>
          <w:color w:val="auto"/>
          <w:spacing w:val="-3"/>
          <w:sz w:val="24"/>
          <w:szCs w:val="24"/>
          <w:highlight w:val="none"/>
          <w:lang w:eastAsia="zh-CN"/>
        </w:rPr>
      </w:pPr>
      <w:r>
        <w:rPr>
          <w:rFonts w:hint="default" w:ascii="Times New Roman" w:hAnsi="Times New Roman" w:eastAsia="宋体" w:cs="Times New Roman"/>
          <w:color w:val="auto"/>
          <w:spacing w:val="5"/>
          <w:position w:val="-2"/>
          <w:sz w:val="24"/>
          <w:szCs w:val="24"/>
          <w:highlight w:val="none"/>
        </w:rPr>
        <w:t>图</w:t>
      </w:r>
      <w:r>
        <w:rPr>
          <w:rFonts w:hint="default" w:ascii="Times New Roman" w:hAnsi="Times New Roman" w:eastAsia="宋体" w:cs="Times New Roman"/>
          <w:color w:val="auto"/>
          <w:spacing w:val="5"/>
          <w:position w:val="-2"/>
          <w:sz w:val="24"/>
          <w:szCs w:val="24"/>
          <w:highlight w:val="none"/>
          <w:lang w:val="en-US" w:eastAsia="zh-CN"/>
        </w:rPr>
        <w:t>6</w:t>
      </w:r>
      <w:r>
        <w:rPr>
          <w:rFonts w:hint="default" w:ascii="Times New Roman" w:hAnsi="Times New Roman" w:eastAsia="宋体" w:cs="Times New Roman"/>
          <w:color w:val="auto"/>
          <w:spacing w:val="5"/>
          <w:position w:val="-2"/>
          <w:sz w:val="24"/>
          <w:szCs w:val="24"/>
          <w:highlight w:val="none"/>
        </w:rPr>
        <w:t>.</w:t>
      </w:r>
      <w:r>
        <w:rPr>
          <w:rFonts w:hint="default" w:ascii="Times New Roman" w:hAnsi="Times New Roman" w:eastAsia="宋体" w:cs="Times New Roman"/>
          <w:color w:val="auto"/>
          <w:spacing w:val="5"/>
          <w:position w:val="-2"/>
          <w:sz w:val="24"/>
          <w:szCs w:val="24"/>
          <w:highlight w:val="none"/>
          <w:lang w:val="en-US" w:eastAsia="zh-CN"/>
        </w:rPr>
        <w:t>3</w:t>
      </w:r>
      <w:r>
        <w:rPr>
          <w:rFonts w:hint="default" w:ascii="Times New Roman" w:hAnsi="Times New Roman" w:eastAsia="宋体" w:cs="Times New Roman"/>
          <w:color w:val="auto"/>
          <w:spacing w:val="5"/>
          <w:position w:val="-2"/>
          <w:sz w:val="24"/>
          <w:szCs w:val="24"/>
          <w:highlight w:val="none"/>
        </w:rPr>
        <w:t>.6</w:t>
      </w:r>
      <w:r>
        <w:rPr>
          <w:rFonts w:hint="default" w:ascii="Times New Roman" w:hAnsi="Times New Roman" w:eastAsia="宋体" w:cs="Times New Roman"/>
          <w:color w:val="auto"/>
          <w:spacing w:val="5"/>
          <w:position w:val="-2"/>
          <w:sz w:val="24"/>
          <w:szCs w:val="24"/>
          <w:highlight w:val="none"/>
          <w:lang w:val="en-US" w:eastAsia="zh-CN"/>
        </w:rPr>
        <w:t>5</w:t>
      </w:r>
      <w:r>
        <w:rPr>
          <w:rFonts w:hint="default" w:ascii="Times New Roman" w:hAnsi="Times New Roman" w:eastAsia="宋体" w:cs="Times New Roman"/>
          <w:color w:val="auto"/>
          <w:spacing w:val="5"/>
          <w:position w:val="-2"/>
          <w:sz w:val="24"/>
          <w:szCs w:val="24"/>
          <w:highlight w:val="none"/>
        </w:rPr>
        <w:t>-1</w:t>
      </w:r>
      <w:r>
        <w:rPr>
          <w:rFonts w:hint="default" w:ascii="Times New Roman" w:hAnsi="Times New Roman" w:eastAsia="宋体" w:cs="Times New Roman"/>
          <w:color w:val="auto"/>
          <w:spacing w:val="15"/>
          <w:position w:val="-1"/>
          <w:sz w:val="24"/>
          <w:szCs w:val="24"/>
          <w:highlight w:val="none"/>
        </w:rPr>
        <w:t>钢丝绳的结构形式</w:t>
      </w:r>
    </w:p>
    <w:p w14:paraId="41E524FC">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color w:val="auto"/>
          <w:sz w:val="24"/>
          <w:szCs w:val="24"/>
          <w:highlight w:val="none"/>
          <w:lang w:eastAsia="zh-CN"/>
        </w:rPr>
        <w:t>3</w:t>
      </w:r>
      <w:r>
        <w:rPr>
          <w:rFonts w:hint="default" w:ascii="Times New Roman" w:hAnsi="Times New Roman" w:eastAsia="宋体" w:cs="Times New Roman"/>
          <w:color w:val="auto"/>
          <w:sz w:val="24"/>
          <w:szCs w:val="24"/>
          <w:highlight w:val="none"/>
          <w:lang w:eastAsia="zh-CN"/>
        </w:rPr>
        <w:t xml:space="preserve"> 网的主绳与横向绳(即分布绳)的交点处，应采用钢材制作的绳扣束紧；主绳的端部应采用带套环的绳扣通过加固锚固；套环及其绳扣或压管的构造与尺寸应经设计计算确定。</w:t>
      </w:r>
    </w:p>
    <w:p w14:paraId="12F7181B">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color w:val="auto"/>
          <w:sz w:val="24"/>
          <w:szCs w:val="24"/>
          <w:highlight w:val="none"/>
          <w:lang w:eastAsia="zh-CN"/>
        </w:rPr>
        <w:t xml:space="preserve">4 </w:t>
      </w:r>
      <w:r>
        <w:rPr>
          <w:rFonts w:hint="default" w:ascii="Times New Roman" w:hAnsi="Times New Roman" w:eastAsia="宋体" w:cs="Times New Roman"/>
          <w:color w:val="auto"/>
          <w:sz w:val="24"/>
          <w:szCs w:val="24"/>
          <w:highlight w:val="none"/>
          <w:lang w:eastAsia="zh-CN"/>
        </w:rPr>
        <w:t>网中受拉主绳的间距应经计算确定，但不应小于20mm，也不应大于40mm。</w:t>
      </w:r>
    </w:p>
    <w:p w14:paraId="0B902B80">
      <w:pPr>
        <w:pStyle w:val="12"/>
        <w:ind w:firstLine="422"/>
        <w:rPr>
          <w:rFonts w:hint="default" w:ascii="Times New Roman" w:hAnsi="Times New Roman" w:eastAsia="宋体" w:cs="Times New Roman"/>
          <w:color w:val="auto"/>
          <w:sz w:val="24"/>
          <w:szCs w:val="24"/>
          <w:highlight w:val="none"/>
          <w:lang w:eastAsia="zh-CN"/>
        </w:rPr>
      </w:pPr>
    </w:p>
    <w:p w14:paraId="712D2DFC">
      <w:pPr>
        <w:pStyle w:val="12"/>
        <w:ind w:firstLine="422"/>
        <w:rPr>
          <w:rFonts w:hint="default" w:ascii="Times New Roman" w:hAnsi="Times New Roman" w:eastAsia="宋体" w:cs="Times New Roman"/>
          <w:color w:val="auto"/>
          <w:sz w:val="24"/>
          <w:szCs w:val="24"/>
          <w:highlight w:val="none"/>
          <w:lang w:eastAsia="zh-CN"/>
        </w:rPr>
      </w:pPr>
    </w:p>
    <w:p w14:paraId="3E7509F2">
      <w:pPr>
        <w:pStyle w:val="12"/>
        <w:ind w:firstLine="422"/>
        <w:rPr>
          <w:rFonts w:hint="default" w:ascii="Times New Roman" w:hAnsi="Times New Roman" w:eastAsia="宋体" w:cs="Times New Roman"/>
          <w:color w:val="auto"/>
          <w:sz w:val="24"/>
          <w:szCs w:val="24"/>
          <w:highlight w:val="none"/>
          <w:lang w:eastAsia="zh-CN"/>
        </w:rPr>
      </w:pPr>
    </w:p>
    <w:p w14:paraId="2C2F01FA">
      <w:pPr>
        <w:pStyle w:val="12"/>
        <w:ind w:firstLine="422"/>
        <w:rPr>
          <w:rFonts w:hint="default" w:ascii="Times New Roman" w:hAnsi="Times New Roman" w:eastAsia="宋体" w:cs="Times New Roman"/>
          <w:color w:val="auto"/>
          <w:sz w:val="24"/>
          <w:szCs w:val="24"/>
          <w:highlight w:val="none"/>
          <w:lang w:eastAsia="zh-CN"/>
        </w:rPr>
      </w:pPr>
    </w:p>
    <w:p w14:paraId="73ABA157">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color w:val="auto"/>
          <w:sz w:val="24"/>
          <w:szCs w:val="24"/>
          <w:highlight w:val="none"/>
          <w:lang w:eastAsia="zh-CN"/>
        </w:rPr>
        <w:t>5</w:t>
      </w:r>
      <w:r>
        <w:rPr>
          <w:rFonts w:hint="default" w:ascii="Times New Roman" w:hAnsi="Times New Roman" w:eastAsia="宋体" w:cs="Times New Roman"/>
          <w:color w:val="auto"/>
          <w:sz w:val="24"/>
          <w:szCs w:val="24"/>
          <w:highlight w:val="none"/>
          <w:lang w:eastAsia="zh-CN"/>
        </w:rPr>
        <w:t xml:space="preserve"> 采用钢丝绳网加固墙体时，网中横向绳的布置示例如图</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.62-2所示。</w:t>
      </w:r>
    </w:p>
    <w:p w14:paraId="20726C18">
      <w:pPr>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position w:val="-43"/>
          <w:sz w:val="24"/>
          <w:szCs w:val="24"/>
          <w:highlight w:val="none"/>
        </w:rPr>
        <w:drawing>
          <wp:anchor distT="0" distB="0" distL="0" distR="0" simplePos="0" relativeHeight="251678720" behindDoc="0" locked="0" layoutInCell="1" allowOverlap="1">
            <wp:simplePos x="0" y="0"/>
            <wp:positionH relativeFrom="column">
              <wp:posOffset>1844040</wp:posOffset>
            </wp:positionH>
            <wp:positionV relativeFrom="paragraph">
              <wp:posOffset>174625</wp:posOffset>
            </wp:positionV>
            <wp:extent cx="2409825" cy="1395095"/>
            <wp:effectExtent l="0" t="0" r="9525" b="14605"/>
            <wp:wrapTopAndBottom/>
            <wp:docPr id="30" name="IM 46"/>
            <wp:cNvGraphicFramePr/>
            <a:graphic xmlns:a="http://schemas.openxmlformats.org/drawingml/2006/main">
              <a:graphicData uri="http://schemas.openxmlformats.org/drawingml/2006/picture">
                <pic:pic xmlns:pic="http://schemas.openxmlformats.org/drawingml/2006/picture">
                  <pic:nvPicPr>
                    <pic:cNvPr id="30" name="IM 46"/>
                    <pic:cNvPicPr/>
                  </pic:nvPicPr>
                  <pic:blipFill>
                    <a:blip r:embed="rId279"/>
                    <a:stretch>
                      <a:fillRect/>
                    </a:stretch>
                  </pic:blipFill>
                  <pic:spPr>
                    <a:xfrm>
                      <a:off x="0" y="0"/>
                      <a:ext cx="2409825" cy="1395602"/>
                    </a:xfrm>
                    <a:prstGeom prst="rect">
                      <a:avLst/>
                    </a:prstGeom>
                  </pic:spPr>
                </pic:pic>
              </a:graphicData>
            </a:graphic>
          </wp:anchor>
        </w:drawing>
      </w:r>
    </w:p>
    <w:p w14:paraId="6F67F242">
      <w:pPr>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图</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.6</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-2 水平钢丝绳网布置</w:t>
      </w:r>
    </w:p>
    <w:p w14:paraId="0EBA989F">
      <w:pPr>
        <w:spacing w:line="36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lang w:val="en-US" w:eastAsia="zh-CN"/>
        </w:rPr>
        <w:t>6</w:t>
      </w:r>
      <w:r>
        <w:rPr>
          <w:rFonts w:hint="default" w:ascii="Times New Roman" w:hAnsi="Times New Roman" w:eastAsia="宋体" w:cs="Times New Roman"/>
          <w:b/>
          <w:color w:val="auto"/>
          <w:sz w:val="24"/>
          <w:szCs w:val="24"/>
          <w:highlight w:val="none"/>
        </w:rPr>
        <w:t>.3.6</w:t>
      </w:r>
      <w:r>
        <w:rPr>
          <w:rFonts w:hint="default" w:ascii="Times New Roman" w:hAnsi="Times New Roman" w:eastAsia="宋体" w:cs="Times New Roman"/>
          <w:b/>
          <w:color w:val="auto"/>
          <w:sz w:val="24"/>
          <w:szCs w:val="24"/>
          <w:highlight w:val="none"/>
          <w:lang w:val="en-US" w:eastAsia="zh-CN"/>
        </w:rPr>
        <w:t>6</w:t>
      </w:r>
      <w:r>
        <w:rPr>
          <w:rFonts w:hint="default" w:ascii="Times New Roman" w:hAnsi="Times New Roman" w:eastAsia="宋体" w:cs="Times New Roman"/>
          <w:b/>
          <w:color w:val="auto"/>
          <w:sz w:val="24"/>
          <w:szCs w:val="24"/>
          <w:highlight w:val="none"/>
        </w:rPr>
        <w:t xml:space="preserve"> </w:t>
      </w:r>
      <w:r>
        <w:rPr>
          <w:rFonts w:hint="default" w:ascii="Times New Roman" w:hAnsi="Times New Roman" w:eastAsia="宋体" w:cs="Times New Roman"/>
          <w:color w:val="auto"/>
          <w:sz w:val="24"/>
          <w:szCs w:val="24"/>
          <w:highlight w:val="none"/>
        </w:rPr>
        <w:t>水平钢丝绳(主绳)网在墙体端部的锚固，宜锚在预设于墙体交接处的角钢或钢板上（图</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.6</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）。角钢和钢板应按绳距预先钻孔；钢丝绳穿过孔后，套上钢套管，通过压扁套管进行锚固，也可采用其他方法进行锚固。</w:t>
      </w:r>
    </w:p>
    <w:p w14:paraId="5C8DE988">
      <w:pPr>
        <w:jc w:val="center"/>
        <w:rPr>
          <w:rFonts w:hint="default" w:ascii="Times New Roman" w:hAnsi="Times New Roman" w:eastAsia="宋体" w:cs="Times New Roman"/>
          <w:b/>
          <w:color w:val="auto"/>
          <w:sz w:val="24"/>
          <w:szCs w:val="24"/>
          <w:highlight w:val="none"/>
        </w:rPr>
      </w:pPr>
      <w:bookmarkStart w:id="116" w:name="_Toc1811"/>
      <w:r>
        <w:rPr>
          <w:rFonts w:hint="default" w:ascii="Times New Roman" w:hAnsi="Times New Roman" w:eastAsia="宋体" w:cs="Times New Roman"/>
          <w:color w:val="auto"/>
          <w:position w:val="-35"/>
          <w:sz w:val="24"/>
          <w:szCs w:val="24"/>
          <w:highlight w:val="none"/>
        </w:rPr>
        <w:drawing>
          <wp:anchor distT="0" distB="0" distL="0" distR="0" simplePos="0" relativeHeight="251679744" behindDoc="0" locked="0" layoutInCell="1" allowOverlap="1">
            <wp:simplePos x="0" y="0"/>
            <wp:positionH relativeFrom="column">
              <wp:posOffset>1261110</wp:posOffset>
            </wp:positionH>
            <wp:positionV relativeFrom="paragraph">
              <wp:posOffset>199390</wp:posOffset>
            </wp:positionV>
            <wp:extent cx="3753485" cy="1124585"/>
            <wp:effectExtent l="0" t="0" r="18415" b="18415"/>
            <wp:wrapTopAndBottom/>
            <wp:docPr id="31" name="IM 48"/>
            <wp:cNvGraphicFramePr/>
            <a:graphic xmlns:a="http://schemas.openxmlformats.org/drawingml/2006/main">
              <a:graphicData uri="http://schemas.openxmlformats.org/drawingml/2006/picture">
                <pic:pic xmlns:pic="http://schemas.openxmlformats.org/drawingml/2006/picture">
                  <pic:nvPicPr>
                    <pic:cNvPr id="31" name="IM 48"/>
                    <pic:cNvPicPr/>
                  </pic:nvPicPr>
                  <pic:blipFill>
                    <a:blip r:embed="rId280"/>
                    <a:stretch>
                      <a:fillRect/>
                    </a:stretch>
                  </pic:blipFill>
                  <pic:spPr>
                    <a:xfrm>
                      <a:off x="0" y="0"/>
                      <a:ext cx="3753992" cy="1124711"/>
                    </a:xfrm>
                    <a:prstGeom prst="rect">
                      <a:avLst/>
                    </a:prstGeom>
                  </pic:spPr>
                </pic:pic>
              </a:graphicData>
            </a:graphic>
          </wp:anchor>
        </w:drawing>
      </w:r>
    </w:p>
    <w:p w14:paraId="37C70C02">
      <w:pPr>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图</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.6</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 xml:space="preserve"> 水平钢丝绳的锚固构造</w:t>
      </w:r>
    </w:p>
    <w:p w14:paraId="54984A8B">
      <w:pPr>
        <w:rPr>
          <w:rFonts w:hint="default" w:ascii="Times New Roman" w:hAnsi="Times New Roman" w:eastAsia="宋体" w:cs="Times New Roman"/>
          <w:b/>
          <w:color w:val="auto"/>
          <w:sz w:val="24"/>
          <w:szCs w:val="24"/>
          <w:highlight w:val="cyan"/>
        </w:rPr>
      </w:pPr>
    </w:p>
    <w:p w14:paraId="56EFB481">
      <w:pP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lang w:val="en-US" w:eastAsia="zh-CN"/>
        </w:rPr>
        <w:t>6</w:t>
      </w:r>
      <w:r>
        <w:rPr>
          <w:rFonts w:hint="default" w:ascii="Times New Roman" w:hAnsi="Times New Roman" w:eastAsia="宋体" w:cs="Times New Roman"/>
          <w:b/>
          <w:color w:val="auto"/>
          <w:sz w:val="24"/>
          <w:szCs w:val="24"/>
          <w:highlight w:val="none"/>
        </w:rPr>
        <w:t>.3.6</w:t>
      </w:r>
      <w:r>
        <w:rPr>
          <w:rFonts w:hint="default" w:ascii="Times New Roman" w:hAnsi="Times New Roman" w:eastAsia="宋体" w:cs="Times New Roman"/>
          <w:b/>
          <w:color w:val="auto"/>
          <w:sz w:val="24"/>
          <w:szCs w:val="24"/>
          <w:highlight w:val="none"/>
          <w:lang w:val="en-US" w:eastAsia="zh-CN"/>
        </w:rPr>
        <w:t>7</w:t>
      </w:r>
      <w:r>
        <w:rPr>
          <w:rFonts w:hint="default" w:ascii="Times New Roman" w:hAnsi="Times New Roman" w:eastAsia="宋体" w:cs="Times New Roman"/>
          <w:b/>
          <w:color w:val="auto"/>
          <w:sz w:val="24"/>
          <w:szCs w:val="24"/>
          <w:highlight w:val="none"/>
        </w:rPr>
        <w:t xml:space="preserve"> </w:t>
      </w:r>
      <w:r>
        <w:rPr>
          <w:rFonts w:hint="default" w:ascii="Times New Roman" w:hAnsi="Times New Roman" w:eastAsia="宋体" w:cs="Times New Roman"/>
          <w:color w:val="auto"/>
          <w:sz w:val="24"/>
          <w:szCs w:val="24"/>
          <w:highlight w:val="none"/>
        </w:rPr>
        <w:t>钢丝绳网-聚合物砂浆层加固砌体的施工，应符合下列要求：</w:t>
      </w:r>
      <w:bookmarkEnd w:id="116"/>
    </w:p>
    <w:p w14:paraId="04353B13">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 xml:space="preserve">1 </w:t>
      </w:r>
      <w:r>
        <w:rPr>
          <w:rFonts w:hint="default" w:ascii="Times New Roman" w:hAnsi="Times New Roman" w:eastAsia="宋体" w:cs="Times New Roman"/>
          <w:color w:val="auto"/>
          <w:sz w:val="24"/>
          <w:szCs w:val="24"/>
          <w:highlight w:val="none"/>
          <w:lang w:eastAsia="zh-CN"/>
        </w:rPr>
        <w:t>面层宜按下列顺序施工：原有墙面清理，放线定位，钻孔并用水冲刷，钢绞线网片锚固、绷紧、调整和固定，浇水湿润墙面，进行界面处理，抹聚合物砂浆并养护，墙面装饰。</w:t>
      </w:r>
    </w:p>
    <w:p w14:paraId="727318CE">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2</w:t>
      </w:r>
      <w:r>
        <w:rPr>
          <w:rFonts w:hint="default" w:ascii="Times New Roman" w:hAnsi="Times New Roman" w:eastAsia="宋体" w:cs="Times New Roman"/>
          <w:color w:val="auto"/>
          <w:sz w:val="24"/>
          <w:szCs w:val="24"/>
          <w:highlight w:val="none"/>
          <w:lang w:eastAsia="zh-CN"/>
        </w:rPr>
        <w:t xml:space="preserve"> 墙面钻孔应位于砖块上，应采用</w:t>
      </w:r>
      <w:r>
        <w:rPr>
          <w:rFonts w:hint="default" w:ascii="Times New Roman" w:hAnsi="Times New Roman" w:eastAsia="宋体" w:cs="Times New Roman"/>
          <w:color w:val="auto"/>
          <w:sz w:val="24"/>
          <w:szCs w:val="24"/>
          <w:highlight w:val="none"/>
        </w:rPr>
        <w:t>φ</w:t>
      </w:r>
      <w:r>
        <w:rPr>
          <w:rFonts w:hint="default" w:ascii="Times New Roman" w:hAnsi="Times New Roman" w:eastAsia="宋体" w:cs="Times New Roman"/>
          <w:color w:val="auto"/>
          <w:sz w:val="24"/>
          <w:szCs w:val="24"/>
          <w:highlight w:val="none"/>
          <w:lang w:eastAsia="zh-CN"/>
        </w:rPr>
        <w:t>6钻头，钻头深度应控制在40～45mm。</w:t>
      </w:r>
    </w:p>
    <w:p w14:paraId="4FC78993">
      <w:pPr>
        <w:pStyle w:val="12"/>
        <w:ind w:firstLine="422"/>
        <w:rPr>
          <w:rFonts w:hint="default" w:ascii="Times New Roman" w:hAnsi="Times New Roman" w:eastAsia="宋体" w:cs="Times New Roman"/>
          <w:color w:val="auto"/>
          <w:sz w:val="24"/>
          <w:szCs w:val="24"/>
          <w:highlight w:val="none"/>
          <w:lang w:eastAsia="zh-CN"/>
        </w:rPr>
      </w:pPr>
      <w:bookmarkStart w:id="117" w:name="_Toc19139"/>
      <w:r>
        <w:rPr>
          <w:rFonts w:hint="default" w:ascii="Times New Roman" w:hAnsi="Times New Roman" w:eastAsia="宋体" w:cs="Times New Roman"/>
          <w:b/>
          <w:color w:val="auto"/>
          <w:sz w:val="24"/>
          <w:szCs w:val="24"/>
          <w:highlight w:val="none"/>
          <w:lang w:eastAsia="zh-CN"/>
        </w:rPr>
        <w:t>3</w:t>
      </w:r>
      <w:r>
        <w:rPr>
          <w:rFonts w:hint="default" w:ascii="Times New Roman" w:hAnsi="Times New Roman" w:eastAsia="宋体" w:cs="Times New Roman"/>
          <w:color w:val="auto"/>
          <w:sz w:val="24"/>
          <w:szCs w:val="24"/>
          <w:highlight w:val="none"/>
          <w:lang w:eastAsia="zh-CN"/>
        </w:rPr>
        <w:t xml:space="preserve"> 钢丝绳网端头应错开锚固，错开距离不小于50mm。</w:t>
      </w:r>
      <w:bookmarkEnd w:id="117"/>
    </w:p>
    <w:p w14:paraId="0520439E">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color w:val="auto"/>
          <w:sz w:val="24"/>
          <w:szCs w:val="24"/>
          <w:highlight w:val="none"/>
          <w:lang w:eastAsia="zh-CN"/>
        </w:rPr>
        <w:t>4</w:t>
      </w:r>
      <w:r>
        <w:rPr>
          <w:rFonts w:hint="default" w:ascii="Times New Roman" w:hAnsi="Times New Roman" w:eastAsia="宋体" w:cs="Times New Roman"/>
          <w:color w:val="auto"/>
          <w:sz w:val="24"/>
          <w:szCs w:val="24"/>
          <w:highlight w:val="none"/>
          <w:lang w:eastAsia="zh-CN"/>
        </w:rPr>
        <w:t xml:space="preserve"> 钢丝绳网应双层布置并绷紧安装，竖向钢丝绳网布置在内侧，水平钢绞线网布置在外侧，分布钢丝绳应紧贴向墙面，受力钢丝绳应背离墙面。</w:t>
      </w:r>
    </w:p>
    <w:p w14:paraId="182E48E9">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color w:val="auto"/>
          <w:sz w:val="24"/>
          <w:szCs w:val="24"/>
          <w:highlight w:val="none"/>
          <w:lang w:eastAsia="zh-CN"/>
        </w:rPr>
        <w:t>5</w:t>
      </w:r>
      <w:r>
        <w:rPr>
          <w:rFonts w:hint="default" w:ascii="Times New Roman" w:hAnsi="Times New Roman" w:eastAsia="宋体" w:cs="Times New Roman"/>
          <w:color w:val="auto"/>
          <w:sz w:val="24"/>
          <w:szCs w:val="24"/>
          <w:highlight w:val="none"/>
          <w:lang w:eastAsia="zh-CN"/>
        </w:rPr>
        <w:t xml:space="preserve"> 聚合物砂浆抹面应在界面处理后随即开始施工，第一遍抹灰厚度以基本覆盖钢丝绳网为宜，后续抹灰应在前次抹灰初凝后进行，后续抹灰的分层厚度控制在10～15mm。</w:t>
      </w:r>
    </w:p>
    <w:p w14:paraId="7A47E92E">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color w:val="auto"/>
          <w:sz w:val="24"/>
          <w:szCs w:val="24"/>
          <w:highlight w:val="none"/>
          <w:lang w:eastAsia="zh-CN"/>
        </w:rPr>
        <w:t>6</w:t>
      </w:r>
      <w:r>
        <w:rPr>
          <w:rFonts w:hint="default" w:ascii="Times New Roman" w:hAnsi="Times New Roman" w:eastAsia="宋体" w:cs="Times New Roman"/>
          <w:color w:val="auto"/>
          <w:sz w:val="24"/>
          <w:szCs w:val="24"/>
          <w:highlight w:val="none"/>
          <w:lang w:eastAsia="zh-CN"/>
        </w:rPr>
        <w:t xml:space="preserve"> 常温下，聚合物砂浆施工完毕6h内，应采取可靠保湿养护措施；养护时间不少于7d；雨期、冬期或遇大风、高温天气时，施工应采取应对措施。</w:t>
      </w:r>
    </w:p>
    <w:p w14:paraId="7570B6D7">
      <w:pPr>
        <w:spacing w:before="120" w:after="12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color w:val="auto"/>
          <w:sz w:val="24"/>
          <w:szCs w:val="24"/>
          <w:highlight w:val="none"/>
        </w:rPr>
        <w:t>Ⅹ</w:t>
      </w:r>
      <w:r>
        <w:rPr>
          <w:rFonts w:hint="default" w:ascii="Times New Roman" w:hAnsi="Times New Roman" w:eastAsia="宋体" w:cs="Times New Roman"/>
          <w:b/>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高延性混凝土加固</w:t>
      </w:r>
    </w:p>
    <w:p w14:paraId="57BD6CB2">
      <w:pP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lang w:val="en-US" w:eastAsia="zh-CN"/>
        </w:rPr>
        <w:t>6</w:t>
      </w:r>
      <w:r>
        <w:rPr>
          <w:rFonts w:hint="default" w:ascii="Times New Roman" w:hAnsi="Times New Roman" w:eastAsia="宋体" w:cs="Times New Roman"/>
          <w:b/>
          <w:color w:val="auto"/>
          <w:sz w:val="24"/>
          <w:szCs w:val="24"/>
          <w:highlight w:val="none"/>
        </w:rPr>
        <w:t>.3.6</w:t>
      </w:r>
      <w:r>
        <w:rPr>
          <w:rFonts w:hint="default" w:ascii="Times New Roman" w:hAnsi="Times New Roman" w:eastAsia="宋体" w:cs="Times New Roman"/>
          <w:b/>
          <w:color w:val="auto"/>
          <w:sz w:val="24"/>
          <w:szCs w:val="24"/>
          <w:highlight w:val="none"/>
          <w:lang w:val="en-US" w:eastAsia="zh-CN"/>
        </w:rPr>
        <w:t>8</w:t>
      </w:r>
      <w:r>
        <w:rPr>
          <w:rFonts w:hint="default" w:ascii="Times New Roman" w:hAnsi="Times New Roman" w:eastAsia="宋体" w:cs="Times New Roman"/>
          <w:b/>
          <w:color w:val="auto"/>
          <w:sz w:val="24"/>
          <w:szCs w:val="24"/>
          <w:highlight w:val="none"/>
        </w:rPr>
        <w:t xml:space="preserve"> </w:t>
      </w:r>
      <w:r>
        <w:rPr>
          <w:rFonts w:hint="default" w:ascii="Times New Roman" w:hAnsi="Times New Roman" w:eastAsia="宋体" w:cs="Times New Roman"/>
          <w:color w:val="auto"/>
          <w:sz w:val="24"/>
          <w:szCs w:val="24"/>
          <w:highlight w:val="none"/>
        </w:rPr>
        <w:t>采用高延性混凝土加固砌体结构时，应符合下列要求：</w:t>
      </w:r>
    </w:p>
    <w:p w14:paraId="3374E670">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1</w:t>
      </w:r>
      <w:r>
        <w:rPr>
          <w:rFonts w:hint="default" w:ascii="Times New Roman" w:hAnsi="Times New Roman" w:eastAsia="宋体" w:cs="Times New Roman"/>
          <w:color w:val="auto"/>
          <w:sz w:val="24"/>
          <w:szCs w:val="24"/>
          <w:highlight w:val="none"/>
          <w:lang w:eastAsia="zh-CN"/>
        </w:rPr>
        <w:t xml:space="preserve"> 砌体结构构件抗压承载力、抗剪承载力不足时可以采用高延性混凝土加固，其计算及构造应符合相应规范要求。</w:t>
      </w:r>
    </w:p>
    <w:p w14:paraId="0D0843E6">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 xml:space="preserve"> 高延性混凝土用于砌体结构抗震加固时，其面层和配筋应按计算确定，并且符合相应规范要求。面层厚度一般为10mm~25mm，当面层厚度大于30mm时，应增设钢筋网片。</w:t>
      </w:r>
    </w:p>
    <w:p w14:paraId="243D1784">
      <w:pPr>
        <w:pStyle w:val="12"/>
        <w:ind w:firstLine="42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 xml:space="preserve"> 当原砌筑砂浆抗压强度低</w:t>
      </w:r>
      <w:r>
        <w:rPr>
          <w:rFonts w:hint="default" w:ascii="Times New Roman" w:hAnsi="Times New Roman" w:eastAsia="宋体" w:cs="Times New Roman"/>
          <w:color w:val="auto"/>
          <w:sz w:val="24"/>
          <w:szCs w:val="24"/>
          <w:highlight w:val="none"/>
          <w:lang w:val="en-US" w:eastAsia="zh-CN"/>
        </w:rPr>
        <w:t>于</w:t>
      </w:r>
      <w:r>
        <w:rPr>
          <w:rFonts w:hint="default" w:ascii="Times New Roman" w:hAnsi="Times New Roman" w:eastAsia="宋体" w:cs="Times New Roman"/>
          <w:color w:val="auto"/>
          <w:sz w:val="24"/>
          <w:szCs w:val="24"/>
          <w:highlight w:val="none"/>
          <w:lang w:eastAsia="zh-CN"/>
        </w:rPr>
        <w:t>1.0MPa时，高延性混凝土面层与墙体之间宜采用局部嵌缝方式进行处理，嵌缝深度不小</w:t>
      </w:r>
      <w:r>
        <w:rPr>
          <w:rFonts w:hint="default" w:ascii="Times New Roman" w:hAnsi="Times New Roman" w:eastAsia="宋体" w:cs="Times New Roman"/>
          <w:color w:val="auto"/>
          <w:sz w:val="24"/>
          <w:szCs w:val="24"/>
          <w:highlight w:val="none"/>
          <w:lang w:val="en-US" w:eastAsia="zh-CN"/>
        </w:rPr>
        <w:t>于</w:t>
      </w:r>
      <w:r>
        <w:rPr>
          <w:rFonts w:hint="default" w:ascii="Times New Roman" w:hAnsi="Times New Roman" w:eastAsia="宋体" w:cs="Times New Roman"/>
          <w:color w:val="auto"/>
          <w:sz w:val="24"/>
          <w:szCs w:val="24"/>
          <w:highlight w:val="none"/>
          <w:lang w:eastAsia="zh-CN"/>
        </w:rPr>
        <w:t>15mm。局部嵌缝采用梅花状布置，嵌缝比例不小于30%，嵌缝间距不应大于600mm。</w:t>
      </w:r>
    </w:p>
    <w:p w14:paraId="34A8C716">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条文说明：高延性混凝土用于砌体结构加固，可以根据计算需要采用配筋高延性混凝土面层。当采用不配筋高延性混凝土面层加固时，应采取相应措施，保证高延性混凝土面层与原结构之间的连接可靠。高延性混凝土加固的计算及构造要求，可以参考《高韧性混凝土加固砌体结构技术规程》T/CECS 997、《高延性混凝土应用技术规程》DBJ 61/T 112、《高延性混凝土加固砌体结构图集》陕16G12。</w:t>
      </w:r>
    </w:p>
    <w:p w14:paraId="6F606F70">
      <w:pPr>
        <w:spacing w:before="120" w:after="120"/>
        <w:jc w:val="center"/>
        <w:rPr>
          <w:rFonts w:hint="default" w:ascii="Times New Roman" w:hAnsi="Times New Roman" w:eastAsia="宋体" w:cs="Times New Roman"/>
          <w:b/>
          <w:color w:val="auto"/>
          <w:sz w:val="24"/>
          <w:szCs w:val="24"/>
          <w:highlight w:val="none"/>
          <w:lang w:val="en-US" w:eastAsia="zh-CN"/>
        </w:rPr>
      </w:pPr>
      <w:r>
        <w:rPr>
          <w:rFonts w:hint="eastAsia" w:ascii="Times New Roman" w:hAnsi="Times New Roman" w:eastAsia="宋体" w:cs="Times New Roman"/>
          <w:b/>
          <w:color w:val="auto"/>
          <w:sz w:val="24"/>
          <w:szCs w:val="24"/>
          <w:highlight w:val="none"/>
          <w:lang w:val="en-US" w:eastAsia="zh-CN"/>
        </w:rPr>
        <w:t>X</w:t>
      </w:r>
      <w:r>
        <w:rPr>
          <w:rFonts w:hint="eastAsia" w:ascii="Times New Roman" w:hAnsi="Times New Roman" w:eastAsia="宋体" w:cs="Times New Roman"/>
          <w:b/>
          <w:color w:val="auto"/>
          <w:sz w:val="24"/>
          <w:szCs w:val="24"/>
          <w:highlight w:val="none"/>
        </w:rPr>
        <w:t>I</w:t>
      </w:r>
      <w:r>
        <w:rPr>
          <w:rFonts w:hint="eastAsia" w:ascii="Times New Roman" w:hAnsi="Times New Roman" w:eastAsia="宋体" w:cs="Times New Roman"/>
          <w:b/>
          <w:color w:val="auto"/>
          <w:sz w:val="24"/>
          <w:szCs w:val="24"/>
          <w:highlight w:val="none"/>
          <w:lang w:val="en-US" w:eastAsia="zh-CN"/>
        </w:rPr>
        <w:t xml:space="preserve"> 复合增强砂浆系统加固</w:t>
      </w:r>
    </w:p>
    <w:p w14:paraId="7605088B">
      <w:pPr>
        <w:numPr>
          <w:ilvl w:val="0"/>
          <w:numId w:val="0"/>
        </w:numPr>
        <w:spacing w:line="300" w:lineRule="auto"/>
        <w:jc w:val="left"/>
        <w:rPr>
          <w:rFonts w:hint="eastAsia" w:ascii="宋体" w:hAnsi="宋体" w:eastAsia="宋体" w:cs="宋体"/>
          <w:color w:val="C00000"/>
          <w:sz w:val="24"/>
          <w:szCs w:val="24"/>
          <w:lang w:val="en-US" w:eastAsia="zh-CN"/>
        </w:rPr>
      </w:pPr>
      <w:r>
        <w:rPr>
          <w:rFonts w:hint="eastAsia" w:ascii="Times New Roman" w:hAnsi="Times New Roman" w:eastAsia="宋体" w:cs="Times New Roman"/>
          <w:b/>
          <w:color w:val="auto"/>
          <w:sz w:val="24"/>
          <w:szCs w:val="24"/>
          <w:highlight w:val="none"/>
          <w:lang w:val="en-US" w:eastAsia="zh-CN"/>
        </w:rPr>
        <w:t>6.3.69</w:t>
      </w:r>
      <w:r>
        <w:rPr>
          <w:rFonts w:hint="eastAsia" w:ascii="宋体" w:hAnsi="宋体" w:eastAsia="宋体" w:cs="宋体"/>
          <w:color w:val="C00000"/>
          <w:sz w:val="24"/>
          <w:szCs w:val="24"/>
          <w:lang w:val="en-US" w:eastAsia="zh-CN"/>
        </w:rPr>
        <w:t xml:space="preserve"> 复合增强砂浆系统加固砌体的主要形式为使用树脂预浸渍的纤维格栅，与水泥基砂浆和化学锚栓结合使用，加固砌体结构，尤其是长宽尺寸显著大于厚度（如墙体、拱顶等）的构件，用于提升砌体结构构件的承载能力、强度、刚度及延展性。</w:t>
      </w:r>
    </w:p>
    <w:p w14:paraId="04ADE30A">
      <w:pPr>
        <w:numPr>
          <w:ilvl w:val="0"/>
          <w:numId w:val="0"/>
        </w:numPr>
        <w:spacing w:line="300" w:lineRule="auto"/>
        <w:jc w:val="left"/>
        <w:rPr>
          <w:rFonts w:hint="default" w:ascii="宋体" w:hAnsi="宋体" w:eastAsia="宋体" w:cs="宋体"/>
          <w:color w:val="C00000"/>
          <w:sz w:val="24"/>
          <w:szCs w:val="24"/>
          <w:lang w:val="en-US" w:eastAsia="zh-CN"/>
        </w:rPr>
      </w:pPr>
      <w:r>
        <w:rPr>
          <w:rFonts w:hint="eastAsia" w:ascii="Times New Roman" w:hAnsi="Times New Roman" w:eastAsia="宋体" w:cs="Times New Roman"/>
          <w:b/>
          <w:color w:val="auto"/>
          <w:sz w:val="24"/>
          <w:szCs w:val="24"/>
          <w:highlight w:val="none"/>
          <w:lang w:val="en-US" w:eastAsia="zh-CN"/>
        </w:rPr>
        <w:t>6.3.70</w:t>
      </w:r>
      <w:r>
        <w:rPr>
          <w:rFonts w:hint="eastAsia" w:ascii="宋体" w:hAnsi="宋体" w:eastAsia="宋体" w:cs="宋体"/>
          <w:color w:val="C00000"/>
          <w:sz w:val="24"/>
          <w:szCs w:val="24"/>
          <w:lang w:val="en-US" w:eastAsia="zh-CN"/>
        </w:rPr>
        <w:t xml:space="preserve"> 复合增强砂浆系统用于砌体墙加固时，可采取平面内加固、平面外加固和双面加固三种形式。</w:t>
      </w:r>
    </w:p>
    <w:p w14:paraId="51CE9E14">
      <w:pPr>
        <w:numPr>
          <w:ilvl w:val="0"/>
          <w:numId w:val="0"/>
        </w:numPr>
        <w:spacing w:line="300" w:lineRule="auto"/>
        <w:jc w:val="left"/>
        <w:rPr>
          <w:rFonts w:hint="eastAsia" w:ascii="Times New Roman" w:hAnsi="Times New Roman" w:eastAsia="宋体" w:cs="Times New Roman"/>
          <w:b/>
          <w:color w:val="auto"/>
          <w:sz w:val="24"/>
          <w:szCs w:val="24"/>
          <w:highlight w:val="none"/>
          <w:lang w:val="en-US" w:eastAsia="zh-CN"/>
        </w:rPr>
      </w:pPr>
      <w:r>
        <w:rPr>
          <w:rFonts w:hint="eastAsia" w:ascii="Times New Roman" w:hAnsi="Times New Roman" w:eastAsia="宋体" w:cs="Times New Roman"/>
          <w:b/>
          <w:color w:val="auto"/>
          <w:sz w:val="24"/>
          <w:szCs w:val="24"/>
          <w:highlight w:val="none"/>
          <w:lang w:val="en-US" w:eastAsia="zh-CN"/>
        </w:rPr>
        <w:t>6.3.71</w:t>
      </w:r>
      <w:r>
        <w:rPr>
          <w:rFonts w:hint="eastAsia" w:ascii="宋体" w:hAnsi="宋体" w:eastAsia="宋体" w:cs="宋体"/>
          <w:color w:val="C00000"/>
          <w:sz w:val="24"/>
          <w:szCs w:val="24"/>
          <w:lang w:val="en-US" w:eastAsia="zh-CN"/>
        </w:rPr>
        <w:t xml:space="preserve"> 复合增强砂浆系统加固砌体墙时，每平方米不得小于4个连接件，且连接件用乙烯基酯锚固胶进行锚固。加固水泥基材料厚度不宜小于25mm</w:t>
      </w:r>
      <w:r>
        <w:rPr>
          <w:rFonts w:hint="eastAsia" w:eastAsia="宋体" w:cs="宋体"/>
          <w:color w:val="C00000"/>
          <w:sz w:val="24"/>
          <w:szCs w:val="24"/>
          <w:lang w:val="en-US" w:eastAsia="zh-CN"/>
        </w:rPr>
        <w:t>，</w:t>
      </w:r>
      <w:r>
        <w:rPr>
          <w:rFonts w:hint="eastAsia" w:ascii="宋体" w:hAnsi="宋体" w:eastAsia="宋体" w:cs="宋体"/>
          <w:color w:val="C00000"/>
          <w:sz w:val="24"/>
          <w:szCs w:val="24"/>
          <w:lang w:val="en-US" w:eastAsia="zh-CN"/>
        </w:rPr>
        <w:t>格栅的最小保护层厚度不小于10mm</w:t>
      </w:r>
      <w:r>
        <w:rPr>
          <w:rFonts w:hint="eastAsia" w:eastAsia="宋体" w:cs="宋体"/>
          <w:color w:val="C00000"/>
          <w:sz w:val="24"/>
          <w:szCs w:val="24"/>
          <w:lang w:val="en-US" w:eastAsia="zh-CN"/>
        </w:rPr>
        <w:t>。</w:t>
      </w:r>
      <w:r>
        <w:rPr>
          <w:rFonts w:hint="eastAsia" w:ascii="宋体" w:hAnsi="宋体" w:eastAsia="宋体" w:cs="宋体"/>
          <w:color w:val="C00000"/>
          <w:sz w:val="24"/>
          <w:szCs w:val="24"/>
          <w:lang w:val="en-US" w:eastAsia="zh-CN"/>
        </w:rPr>
        <w:t>格栅距离被加固构件表面的具体不应小于4mm。</w:t>
      </w:r>
    </w:p>
    <w:p w14:paraId="14FCA280">
      <w:pPr>
        <w:spacing w:before="120" w:after="12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 xml:space="preserve">Ⅺ </w:t>
      </w:r>
      <w:r>
        <w:rPr>
          <w:rFonts w:hint="default" w:ascii="Times New Roman" w:hAnsi="Times New Roman" w:eastAsia="宋体" w:cs="Times New Roman"/>
          <w:color w:val="auto"/>
          <w:sz w:val="24"/>
          <w:szCs w:val="24"/>
          <w:highlight w:val="none"/>
          <w:lang w:val="en-US" w:eastAsia="zh-CN"/>
        </w:rPr>
        <w:t>外套钢筋混凝土结构抗震加固</w:t>
      </w:r>
    </w:p>
    <w:p w14:paraId="384CF6D0">
      <w:pP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lang w:val="en-US" w:eastAsia="zh-CN"/>
        </w:rPr>
        <w:t>6</w:t>
      </w:r>
      <w:r>
        <w:rPr>
          <w:rFonts w:hint="default" w:ascii="Times New Roman" w:hAnsi="Times New Roman" w:eastAsia="宋体" w:cs="Times New Roman"/>
          <w:b/>
          <w:color w:val="auto"/>
          <w:sz w:val="24"/>
          <w:szCs w:val="24"/>
          <w:highlight w:val="none"/>
        </w:rPr>
        <w:t>.3.</w:t>
      </w:r>
      <w:r>
        <w:rPr>
          <w:rFonts w:hint="eastAsia" w:ascii="Times New Roman" w:hAnsi="Times New Roman" w:eastAsia="宋体" w:cs="Times New Roman"/>
          <w:b/>
          <w:color w:val="auto"/>
          <w:sz w:val="24"/>
          <w:szCs w:val="24"/>
          <w:highlight w:val="none"/>
          <w:lang w:val="en-US" w:eastAsia="zh-CN"/>
        </w:rPr>
        <w:t>72</w:t>
      </w:r>
      <w:r>
        <w:rPr>
          <w:rFonts w:hint="default" w:ascii="Times New Roman" w:hAnsi="Times New Roman" w:eastAsia="宋体" w:cs="Times New Roman"/>
          <w:b/>
          <w:color w:val="auto"/>
          <w:sz w:val="24"/>
          <w:szCs w:val="24"/>
          <w:highlight w:val="none"/>
        </w:rPr>
        <w:t xml:space="preserve"> </w:t>
      </w:r>
      <w:r>
        <w:rPr>
          <w:rFonts w:hint="default" w:ascii="Times New Roman" w:hAnsi="Times New Roman" w:eastAsia="宋体" w:cs="Times New Roman"/>
          <w:color w:val="auto"/>
          <w:sz w:val="24"/>
          <w:szCs w:val="24"/>
          <w:highlight w:val="none"/>
          <w:lang w:val="en-US" w:eastAsia="zh-CN"/>
        </w:rPr>
        <w:t>既有砌体结构外套加固</w:t>
      </w:r>
      <w:r>
        <w:rPr>
          <w:rFonts w:hint="default" w:ascii="Times New Roman" w:hAnsi="Times New Roman" w:eastAsia="宋体" w:cs="Times New Roman"/>
          <w:color w:val="auto"/>
          <w:sz w:val="24"/>
          <w:szCs w:val="24"/>
          <w:highlight w:val="none"/>
        </w:rPr>
        <w:t>时，应符合下列要求：</w:t>
      </w:r>
    </w:p>
    <w:p w14:paraId="0BF9C244">
      <w:pPr>
        <w:pStyle w:val="12"/>
        <w:ind w:firstLine="422"/>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eastAsia="zh-CN"/>
        </w:rPr>
        <w:t>1</w:t>
      </w:r>
      <w:r>
        <w:rPr>
          <w:rFonts w:hint="default" w:ascii="Times New Roman" w:hAnsi="Times New Roman" w:eastAsia="宋体" w:cs="Times New Roman"/>
          <w:color w:val="auto"/>
          <w:sz w:val="24"/>
          <w:szCs w:val="24"/>
          <w:highlight w:val="none"/>
          <w:lang w:eastAsia="zh-CN"/>
        </w:rPr>
        <w:t xml:space="preserve"> </w:t>
      </w:r>
      <w:r>
        <w:rPr>
          <w:rFonts w:hint="default" w:ascii="Times New Roman" w:hAnsi="Times New Roman" w:eastAsia="宋体" w:cs="Times New Roman"/>
          <w:color w:val="auto"/>
          <w:sz w:val="24"/>
          <w:szCs w:val="24"/>
          <w:highlight w:val="none"/>
          <w:lang w:val="en-US" w:eastAsia="zh-CN"/>
        </w:rPr>
        <w:t>房屋各层均应设置外套结构，各层外套结构平面布置应一致。</w:t>
      </w:r>
    </w:p>
    <w:p w14:paraId="3CD74DE0">
      <w:pPr>
        <w:pStyle w:val="12"/>
        <w:ind w:firstLine="422"/>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 xml:space="preserve"> </w:t>
      </w:r>
      <w:r>
        <w:rPr>
          <w:rFonts w:hint="default" w:ascii="Times New Roman" w:hAnsi="Times New Roman" w:eastAsia="宋体" w:cs="Times New Roman"/>
          <w:color w:val="auto"/>
          <w:sz w:val="24"/>
          <w:szCs w:val="24"/>
          <w:highlight w:val="none"/>
          <w:lang w:val="en-US" w:eastAsia="zh-CN"/>
        </w:rPr>
        <w:t>外加横墙宜与原结构横墙对齐，外加横墙的最大间距不宜大于6m。</w:t>
      </w:r>
    </w:p>
    <w:p w14:paraId="1ADE9144">
      <w:pPr>
        <w:pStyle w:val="12"/>
        <w:ind w:firstLine="422"/>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 xml:space="preserve">3 </w:t>
      </w:r>
      <w:r>
        <w:rPr>
          <w:rFonts w:hint="default" w:ascii="Times New Roman" w:hAnsi="Times New Roman" w:eastAsia="宋体" w:cs="Times New Roman"/>
          <w:color w:val="auto"/>
          <w:sz w:val="24"/>
          <w:szCs w:val="24"/>
          <w:highlight w:val="none"/>
          <w:lang w:val="en-US" w:eastAsia="zh-CN"/>
        </w:rPr>
        <w:t>在满足纵向承载力要求的前提下，原外纵墙的窗下墙位置可不加固；各层外纵墙窗上或门上墙体应加固。</w:t>
      </w:r>
    </w:p>
    <w:p w14:paraId="5345FAE5">
      <w:pPr>
        <w:pStyle w:val="12"/>
        <w:ind w:firstLine="422"/>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 xml:space="preserve">4 </w:t>
      </w:r>
      <w:r>
        <w:rPr>
          <w:rFonts w:hint="default" w:ascii="Times New Roman" w:hAnsi="Times New Roman" w:eastAsia="宋体" w:cs="Times New Roman"/>
          <w:color w:val="auto"/>
          <w:sz w:val="24"/>
          <w:szCs w:val="24"/>
          <w:highlight w:val="none"/>
          <w:lang w:val="en-US" w:eastAsia="zh-CN"/>
        </w:rPr>
        <w:t>原外纵墙首层洞口以下的墙体正负零以下的部分宜加固。</w:t>
      </w:r>
    </w:p>
    <w:p w14:paraId="033CD68C">
      <w:pPr>
        <w:pStyle w:val="12"/>
        <w:ind w:firstLine="422"/>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 xml:space="preserve">5 </w:t>
      </w:r>
      <w:r>
        <w:rPr>
          <w:rFonts w:hint="default" w:ascii="Times New Roman" w:hAnsi="Times New Roman" w:eastAsia="宋体" w:cs="Times New Roman"/>
          <w:color w:val="auto"/>
          <w:sz w:val="24"/>
          <w:szCs w:val="24"/>
          <w:highlight w:val="none"/>
          <w:lang w:val="en-US" w:eastAsia="zh-CN"/>
        </w:rPr>
        <w:t>宜对山墙墙体采取加固措施。</w:t>
      </w:r>
    </w:p>
    <w:p w14:paraId="61D9B4DD">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条文说明：外套加固方法适用于建筑体型规则的既有建筑，原建筑外轮廓上下不对齐时，不易实现外部加固；为保证加固后结构传力的连续性，新增构件需要上下对齐。</w:t>
      </w:r>
    </w:p>
    <w:p w14:paraId="21D0B2B9">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原外纵墙的窗下墙设置外贴纵墙加固，可提高房屋纵向抗震能力；但外纵墙窗下墙加固,可能影响外套结构的使用功能，在外纵墙的窗间墙位置设置上下贯通的外贴纵墙，在外纵墙洞口上方设置钢筋混凝土连梁，可以有效地提高房屋纵向抗震能力,因此外纵墙窗下墙可不设置外贴纵墙加固。</w:t>
      </w:r>
    </w:p>
    <w:p w14:paraId="0822C862">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外加横墙与原结构横墙在外力作用下需要共同工作，以实现加固目的；为保证新旧构件结合的可靠性，外加横与原结构横墙需对齐。</w:t>
      </w:r>
    </w:p>
    <w:p w14:paraId="7FC390B3">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正负零以下的外贴纵墙可对首层外贴纵墙的墙肢形成可靠约束,避免纵向首层薄弱问题。</w:t>
      </w:r>
    </w:p>
    <w:p w14:paraId="488090C4">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default" w:ascii="Times New Roman" w:hAnsi="Times New Roman" w:eastAsia="宋体" w:cs="Times New Roman"/>
          <w:color w:val="auto"/>
          <w:sz w:val="24"/>
          <w:szCs w:val="24"/>
        </w:rPr>
      </w:pPr>
      <w:r>
        <w:rPr>
          <w:rFonts w:hint="eastAsia" w:ascii="仿宋" w:hAnsi="仿宋" w:eastAsia="仿宋" w:cs="仿宋"/>
          <w:b w:val="0"/>
          <w:bCs w:val="0"/>
          <w:color w:val="0070C0"/>
          <w:spacing w:val="0"/>
          <w:sz w:val="24"/>
          <w:szCs w:val="24"/>
          <w:lang w:val="en-US" w:eastAsia="zh-CN"/>
        </w:rPr>
        <w:t>山墙位置，一般可增设单面钢筋网砂浆面层、钢绞线网聚合物砂浆面层或高延性混凝土面层加固。</w:t>
      </w:r>
      <w:r>
        <w:rPr>
          <w:rFonts w:hint="default" w:ascii="Times New Roman" w:hAnsi="Times New Roman" w:eastAsia="宋体" w:cs="Times New Roman"/>
          <w:color w:val="auto"/>
          <w:sz w:val="24"/>
          <w:szCs w:val="24"/>
        </w:rPr>
        <w:br w:type="page"/>
      </w:r>
    </w:p>
    <w:p w14:paraId="0668ACF3">
      <w:pPr>
        <w:pStyle w:val="2"/>
        <w:bidi w:val="0"/>
        <w:rPr>
          <w:rFonts w:hint="default"/>
        </w:rPr>
      </w:pPr>
      <w:bookmarkStart w:id="118" w:name="_Toc742"/>
      <w:r>
        <w:rPr>
          <w:rFonts w:hint="default"/>
          <w:lang w:val="en-US" w:eastAsia="zh-CN"/>
        </w:rPr>
        <w:t xml:space="preserve">7  </w:t>
      </w:r>
      <w:r>
        <w:rPr>
          <w:rFonts w:hint="default"/>
        </w:rPr>
        <w:t>钢筋混凝土结构</w:t>
      </w:r>
      <w:bookmarkEnd w:id="118"/>
    </w:p>
    <w:p w14:paraId="17126454">
      <w:pPr>
        <w:pStyle w:val="3"/>
        <w:bidi w:val="0"/>
        <w:rPr>
          <w:rFonts w:hint="default"/>
        </w:rPr>
      </w:pPr>
      <w:bookmarkStart w:id="119" w:name="_Toc7595"/>
      <w:r>
        <w:rPr>
          <w:rFonts w:hint="default"/>
          <w:lang w:val="en-US" w:eastAsia="zh-CN"/>
        </w:rPr>
        <w:t xml:space="preserve">7.1 </w:t>
      </w:r>
      <w:r>
        <w:rPr>
          <w:rFonts w:hint="default"/>
        </w:rPr>
        <w:t>一般规定</w:t>
      </w:r>
      <w:bookmarkEnd w:id="119"/>
    </w:p>
    <w:p w14:paraId="3CD36D50">
      <w:pPr>
        <w:keepNext w:val="0"/>
        <w:keepLines w:val="0"/>
        <w:pageBreakBefore w:val="0"/>
        <w:numPr>
          <w:ilvl w:val="0"/>
          <w:numId w:val="0"/>
        </w:numPr>
        <w:tabs>
          <w:tab w:val="left" w:pos="680"/>
          <w:tab w:val="left" w:pos="1134"/>
          <w:tab w:val="clear" w:pos="3261"/>
        </w:tabs>
        <w:wordWrap/>
        <w:overflowPunct/>
        <w:topLinePunct w:val="0"/>
        <w:bidi w:val="0"/>
        <w:adjustRightInd w:val="0"/>
        <w:spacing w:line="360" w:lineRule="exact"/>
        <w:ind w:leftChars="0"/>
        <w:jc w:val="center"/>
        <w:rPr>
          <w:rFonts w:hint="default" w:ascii="Times New Roman" w:hAnsi="Times New Roman" w:eastAsia="宋体" w:cs="Times New Roman"/>
          <w:color w:val="auto"/>
          <w:sz w:val="24"/>
          <w:szCs w:val="24"/>
        </w:rPr>
      </w:pPr>
      <w:bookmarkStart w:id="120" w:name="_Toc17816"/>
      <w:r>
        <w:rPr>
          <w:rFonts w:hint="default" w:ascii="Times New Roman" w:hAnsi="Times New Roman" w:eastAsia="宋体" w:cs="Times New Roman"/>
          <w:color w:val="auto"/>
          <w:sz w:val="24"/>
          <w:szCs w:val="24"/>
        </w:rPr>
        <w:t>Ⅰ</w:t>
      </w:r>
      <w:r>
        <w:rPr>
          <w:rFonts w:hint="default" w:ascii="Times New Roman" w:hAnsi="Times New Roman" w:eastAsia="宋体" w:cs="Times New Roman"/>
          <w:color w:val="auto"/>
          <w:sz w:val="24"/>
          <w:szCs w:val="24"/>
          <w:lang w:eastAsia="zh-CN"/>
        </w:rPr>
        <w:t xml:space="preserve"> </w:t>
      </w:r>
      <w:r>
        <w:rPr>
          <w:rFonts w:hint="default" w:ascii="Times New Roman" w:hAnsi="Times New Roman" w:eastAsia="宋体" w:cs="Times New Roman"/>
          <w:color w:val="auto"/>
          <w:sz w:val="24"/>
          <w:szCs w:val="24"/>
        </w:rPr>
        <w:t>抗震鉴定</w:t>
      </w:r>
      <w:bookmarkEnd w:id="120"/>
      <w:bookmarkStart w:id="121" w:name="_Toc11447"/>
    </w:p>
    <w:p w14:paraId="66EE0783">
      <w:pPr>
        <w:pStyle w:val="42"/>
        <w:keepNext w:val="0"/>
        <w:keepLines w:val="0"/>
        <w:pageBreakBefore w:val="0"/>
        <w:tabs>
          <w:tab w:val="left" w:pos="680"/>
          <w:tab w:val="left" w:pos="1134"/>
        </w:tabs>
        <w:wordWrap/>
        <w:overflowPunct/>
        <w:topLinePunct w:val="0"/>
        <w:bidi w:val="0"/>
        <w:adjustRightInd w:val="0"/>
        <w:spacing w:line="360" w:lineRule="exact"/>
        <w:ind w:left="0"/>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7</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 xml:space="preserve">1 </w:t>
      </w:r>
      <w:r>
        <w:rPr>
          <w:rFonts w:hint="default" w:ascii="Times New Roman" w:hAnsi="Times New Roman" w:eastAsia="宋体" w:cs="Times New Roman"/>
          <w:color w:val="auto"/>
          <w:sz w:val="24"/>
          <w:szCs w:val="24"/>
        </w:rPr>
        <w:t>多层和高层钢筋混凝土房屋的抗震承载力验算应按照《建筑抗震鉴定标准》GB 50023及《既有建筑鉴定与加固通用规范》GB 55021的有关规定进行，并应根据结构的损伤程度、结构的具体布置情况与构造措施要求的满足情况，合理确定体系影响系数与局部影响系数。</w:t>
      </w:r>
    </w:p>
    <w:p w14:paraId="75A517C3">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条文说明：A类建筑一、二级鉴定程序自95标准提出分级鉴定后沿用至今。目前，因历史原因及软件原因，实践中较少运用。鼓励进行抗震承载力验算，考虑到A类建筑抗震设防要求相对较低，也可仅进行第一级鉴定。</w:t>
      </w:r>
    </w:p>
    <w:p w14:paraId="5D768880">
      <w:pPr>
        <w:keepNext w:val="0"/>
        <w:keepLines w:val="0"/>
        <w:pageBreakBefore w:val="0"/>
        <w:tabs>
          <w:tab w:val="left" w:pos="680"/>
          <w:tab w:val="left" w:pos="1134"/>
          <w:tab w:val="clear" w:pos="3261"/>
        </w:tabs>
        <w:wordWrap/>
        <w:overflowPunct/>
        <w:topLinePunct w:val="0"/>
        <w:bidi w:val="0"/>
        <w:adjustRightInd w:val="0"/>
        <w:spacing w:line="360" w:lineRule="exact"/>
        <w:jc w:val="left"/>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7</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 xml:space="preserve">2 </w:t>
      </w:r>
      <w:r>
        <w:rPr>
          <w:rFonts w:hint="default" w:ascii="Times New Roman" w:hAnsi="Times New Roman" w:eastAsia="宋体" w:cs="Times New Roman"/>
          <w:color w:val="auto"/>
          <w:sz w:val="24"/>
          <w:szCs w:val="24"/>
        </w:rPr>
        <w:t>A类钢筋混凝土房屋，可采用平面结构的楼层综合抗震能力指数进行第二级鉴定。也可按本规程第3章规定的方法进行抗震分析和构件抗震承载力验算，计算时构件组合内力设计值不作调整，尚可按本节的规定估算构造的影响，由综合评定进行第二级鉴定。</w:t>
      </w:r>
    </w:p>
    <w:p w14:paraId="03EFAF14">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条文说明：本条所述的抗震分析系指，地震作用按《建筑抗震设计标准》GB/T 50011规定的底部剪力法或振型分解反应谱法计算，但场地特征周期按本规程表4.3.10取值。荷载取值按本规程第4.3.8、4.3.9条的规定取值，可变荷载组合值系数按现行国家标准《建筑抗震设计标准》GB/T 50011的规定取值，地震作用与其他荷载的效应按本规程第4.3.6条的规定组合。</w:t>
      </w:r>
    </w:p>
    <w:p w14:paraId="6C0E2974">
      <w:pPr>
        <w:keepNext w:val="0"/>
        <w:keepLines w:val="0"/>
        <w:pageBreakBefore w:val="0"/>
        <w:tabs>
          <w:tab w:val="left" w:pos="680"/>
          <w:tab w:val="left" w:pos="1134"/>
          <w:tab w:val="clear" w:pos="3261"/>
        </w:tabs>
        <w:wordWrap/>
        <w:overflowPunct/>
        <w:topLinePunct w:val="0"/>
        <w:bidi w:val="0"/>
        <w:adjustRightInd w:val="0"/>
        <w:spacing w:line="360" w:lineRule="exact"/>
        <w:jc w:val="left"/>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7</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 xml:space="preserve">3 </w:t>
      </w:r>
      <w:r>
        <w:rPr>
          <w:rFonts w:hint="default" w:ascii="Times New Roman" w:hAnsi="Times New Roman" w:eastAsia="宋体" w:cs="Times New Roman"/>
          <w:color w:val="auto"/>
          <w:sz w:val="24"/>
          <w:szCs w:val="24"/>
        </w:rPr>
        <w:t>现有钢筋混凝土房屋采用楼层综合抗震能力指数进行第二级鉴定时，应分别选择下列平面结构：</w:t>
      </w:r>
    </w:p>
    <w:p w14:paraId="426FB7D4">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 xml:space="preserve">1 </w:t>
      </w:r>
      <w:r>
        <w:rPr>
          <w:rFonts w:hint="default" w:ascii="Times New Roman" w:hAnsi="Times New Roman" w:eastAsia="宋体" w:cs="Times New Roman"/>
          <w:color w:val="auto"/>
          <w:sz w:val="24"/>
          <w:szCs w:val="24"/>
          <w:lang w:eastAsia="zh-CN"/>
        </w:rPr>
        <w:t>应至少在两个主轴方向分别选取有代表性的平面结构。</w:t>
      </w:r>
    </w:p>
    <w:p w14:paraId="4026386F">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2</w:t>
      </w:r>
      <w:r>
        <w:rPr>
          <w:rFonts w:hint="default" w:ascii="Times New Roman" w:hAnsi="Times New Roman" w:eastAsia="宋体" w:cs="Times New Roman"/>
          <w:color w:val="auto"/>
          <w:sz w:val="24"/>
          <w:szCs w:val="24"/>
          <w:lang w:eastAsia="zh-CN"/>
        </w:rPr>
        <w:t xml:space="preserve"> 框架结构与承重砌体结构相连时，除应符合本条第1款的规定外，尚应选取连接处的平面结构。</w:t>
      </w:r>
    </w:p>
    <w:p w14:paraId="74666F9F">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3</w:t>
      </w:r>
      <w:r>
        <w:rPr>
          <w:rFonts w:hint="default" w:ascii="Times New Roman" w:hAnsi="Times New Roman" w:eastAsia="宋体" w:cs="Times New Roman"/>
          <w:color w:val="auto"/>
          <w:sz w:val="24"/>
          <w:szCs w:val="24"/>
          <w:lang w:eastAsia="zh-CN"/>
        </w:rPr>
        <w:t xml:space="preserve"> 有明显扭转效应时，除应符合本条第1款的规定外，尚应选取计入扭转影响的边榀结构。</w:t>
      </w:r>
    </w:p>
    <w:p w14:paraId="3B190435">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条文说明：本条规定了采用楼层综合抗震能力指数法进行第二级鉴定的三种情况，要求取不同的平面结构进行楼层综合抗震承载力指数的验算。</w:t>
      </w:r>
    </w:p>
    <w:p w14:paraId="741CAFCB">
      <w:pPr>
        <w:pStyle w:val="42"/>
        <w:keepNext w:val="0"/>
        <w:keepLines w:val="0"/>
        <w:pageBreakBefore w:val="0"/>
        <w:numPr>
          <w:ilvl w:val="0"/>
          <w:numId w:val="0"/>
        </w:numPr>
        <w:tabs>
          <w:tab w:val="left" w:pos="680"/>
          <w:tab w:val="left" w:pos="1134"/>
        </w:tabs>
        <w:wordWrap/>
        <w:overflowPunct/>
        <w:topLinePunct w:val="0"/>
        <w:bidi w:val="0"/>
        <w:adjustRightInd w:val="0"/>
        <w:spacing w:line="360" w:lineRule="exact"/>
        <w:ind w:leftChars="0"/>
        <w:jc w:val="left"/>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7</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 xml:space="preserve">1.4 </w:t>
      </w:r>
      <w:r>
        <w:rPr>
          <w:rFonts w:hint="default" w:ascii="Times New Roman" w:hAnsi="Times New Roman" w:eastAsia="宋体" w:cs="Times New Roman"/>
          <w:color w:val="auto"/>
          <w:sz w:val="24"/>
          <w:szCs w:val="24"/>
        </w:rPr>
        <w:t>楼层综合抗震能力指数可按下列公式计算：</w:t>
      </w:r>
    </w:p>
    <w:p w14:paraId="6D21C3F9">
      <w:pPr>
        <w:pStyle w:val="12"/>
        <w:keepNext w:val="0"/>
        <w:keepLines w:val="0"/>
        <w:pageBreakBefore w:val="0"/>
        <w:wordWrap/>
        <w:overflowPunct/>
        <w:topLinePunct w:val="0"/>
        <w:bidi w:val="0"/>
        <w:spacing w:line="360" w:lineRule="exact"/>
        <w:ind w:firstLine="420"/>
        <w:jc w:val="right"/>
        <w:rPr>
          <w:rFonts w:hint="default" w:ascii="Times New Roman" w:hAnsi="Times New Roman" w:eastAsia="宋体" w:cs="Times New Roman"/>
          <w:color w:val="auto"/>
          <w:sz w:val="24"/>
          <w:szCs w:val="24"/>
        </w:rPr>
      </w:pPr>
      <m:oMath>
        <m:r>
          <m:rPr>
            <m:nor/>
          </m:rPr>
          <w:rPr>
            <w:rFonts w:hint="default" w:ascii="Times New Roman" w:hAnsi="Times New Roman" w:eastAsia="宋体" w:cs="Times New Roman"/>
            <w:i/>
            <w:color w:val="auto"/>
            <w:sz w:val="24"/>
            <w:szCs w:val="24"/>
          </w:rPr>
          <m:t>β</m:t>
        </m:r>
        <m:r>
          <m:rPr>
            <m:nor/>
            <m:sty m:val="p"/>
          </m:rPr>
          <w:rPr>
            <w:rFonts w:hint="default" w:ascii="Times New Roman" w:hAnsi="Times New Roman" w:eastAsia="宋体" w:cs="Times New Roman"/>
            <w:b w:val="0"/>
            <w:i w:val="0"/>
            <w:color w:val="auto"/>
            <w:sz w:val="24"/>
            <w:szCs w:val="24"/>
          </w:rPr>
          <m:t>=</m:t>
        </m:r>
        <m:sSub>
          <m:sSubPr>
            <m:ctrlPr>
              <w:rPr>
                <w:rFonts w:hint="default" w:ascii="Cambria Math" w:hAnsi="Cambria Math" w:eastAsia="宋体" w:cs="Times New Roman"/>
                <w:color w:val="auto"/>
                <w:sz w:val="24"/>
                <w:szCs w:val="24"/>
              </w:rPr>
            </m:ctrlPr>
          </m:sSubPr>
          <m:e>
            <m:r>
              <m:rPr>
                <m:nor/>
              </m:rPr>
              <w:rPr>
                <w:rFonts w:hint="default" w:ascii="Times New Roman" w:hAnsi="Times New Roman" w:eastAsia="宋体" w:cs="Times New Roman"/>
                <w:i/>
                <w:color w:val="auto"/>
                <w:sz w:val="24"/>
                <w:szCs w:val="24"/>
              </w:rPr>
              <m:t>ψ</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rPr>
              <m:t>1</m:t>
            </m:r>
            <m:ctrlPr>
              <w:rPr>
                <w:rFonts w:hint="default" w:ascii="Cambria Math" w:hAnsi="Cambria Math" w:eastAsia="宋体" w:cs="Times New Roman"/>
                <w:color w:val="auto"/>
                <w:sz w:val="24"/>
                <w:szCs w:val="24"/>
              </w:rPr>
            </m:ctrlPr>
          </m:sub>
        </m:sSub>
        <m:sSub>
          <m:sSubPr>
            <m:ctrlPr>
              <w:rPr>
                <w:rFonts w:hint="default" w:ascii="Cambria Math" w:hAnsi="Cambria Math" w:eastAsia="宋体" w:cs="Times New Roman"/>
                <w:color w:val="auto"/>
                <w:sz w:val="24"/>
                <w:szCs w:val="24"/>
              </w:rPr>
            </m:ctrlPr>
          </m:sSubPr>
          <m:e>
            <m:r>
              <m:rPr>
                <m:nor/>
              </m:rPr>
              <w:rPr>
                <w:rFonts w:hint="default" w:ascii="Times New Roman" w:hAnsi="Times New Roman" w:eastAsia="宋体" w:cs="Times New Roman"/>
                <w:i/>
                <w:color w:val="auto"/>
                <w:sz w:val="24"/>
                <w:szCs w:val="24"/>
              </w:rPr>
              <m:t>ψ</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rPr>
              <m:t>2</m:t>
            </m:r>
            <m:ctrlPr>
              <w:rPr>
                <w:rFonts w:hint="default" w:ascii="Cambria Math" w:hAnsi="Cambria Math" w:eastAsia="宋体" w:cs="Times New Roman"/>
                <w:color w:val="auto"/>
                <w:sz w:val="24"/>
                <w:szCs w:val="24"/>
              </w:rPr>
            </m:ctrlPr>
          </m:sub>
        </m:sSub>
        <m:sSub>
          <m:sSubPr>
            <m:ctrlPr>
              <w:rPr>
                <w:rFonts w:hint="default" w:ascii="Cambria Math" w:hAnsi="Cambria Math" w:eastAsia="宋体" w:cs="Times New Roman"/>
                <w:color w:val="auto"/>
                <w:sz w:val="24"/>
                <w:szCs w:val="24"/>
              </w:rPr>
            </m:ctrlPr>
          </m:sSubPr>
          <m:e>
            <m:r>
              <m:rPr>
                <m:nor/>
              </m:rPr>
              <w:rPr>
                <w:rFonts w:hint="default" w:ascii="Times New Roman" w:hAnsi="Times New Roman" w:eastAsia="宋体" w:cs="Times New Roman"/>
                <w:i/>
                <w:color w:val="auto"/>
                <w:sz w:val="24"/>
                <w:szCs w:val="24"/>
              </w:rPr>
              <m:t>ξ</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rPr>
              <m:t>y</m:t>
            </m:r>
            <m:ctrlPr>
              <w:rPr>
                <w:rFonts w:hint="default" w:ascii="Cambria Math" w:hAnsi="Cambria Math" w:eastAsia="宋体" w:cs="Times New Roman"/>
                <w:color w:val="auto"/>
                <w:sz w:val="24"/>
                <w:szCs w:val="24"/>
              </w:rPr>
            </m:ctrlPr>
          </m:sub>
        </m:sSub>
      </m:oMath>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pacing w:val="4"/>
          <w:sz w:val="24"/>
          <w:szCs w:val="24"/>
        </w:rPr>
        <w:t>（</w:t>
      </w:r>
      <w:r>
        <w:rPr>
          <w:rFonts w:hint="default" w:ascii="Times New Roman" w:hAnsi="Times New Roman" w:eastAsia="宋体" w:cs="Times New Roman"/>
          <w:color w:val="auto"/>
          <w:spacing w:val="4"/>
          <w:sz w:val="24"/>
          <w:szCs w:val="24"/>
          <w:lang w:eastAsia="zh-CN"/>
        </w:rPr>
        <w:t>7.</w:t>
      </w:r>
      <w:r>
        <w:rPr>
          <w:rFonts w:hint="default" w:ascii="Times New Roman" w:hAnsi="Times New Roman" w:eastAsia="宋体" w:cs="Times New Roman"/>
          <w:color w:val="auto"/>
          <w:spacing w:val="4"/>
          <w:sz w:val="24"/>
          <w:szCs w:val="24"/>
          <w:lang w:val="en-US" w:eastAsia="zh-CN"/>
        </w:rPr>
        <w:t>1</w:t>
      </w:r>
      <w:r>
        <w:rPr>
          <w:rFonts w:hint="default" w:ascii="Times New Roman" w:hAnsi="Times New Roman" w:eastAsia="宋体" w:cs="Times New Roman"/>
          <w:color w:val="auto"/>
          <w:spacing w:val="4"/>
          <w:sz w:val="24"/>
          <w:szCs w:val="24"/>
        </w:rPr>
        <w:t>.4-1）</w:t>
      </w:r>
    </w:p>
    <w:p w14:paraId="49D61071">
      <w:pPr>
        <w:pStyle w:val="12"/>
        <w:keepNext w:val="0"/>
        <w:keepLines w:val="0"/>
        <w:pageBreakBefore w:val="0"/>
        <w:wordWrap/>
        <w:overflowPunct/>
        <w:topLinePunct w:val="0"/>
        <w:bidi w:val="0"/>
        <w:spacing w:line="360" w:lineRule="exact"/>
        <w:ind w:firstLine="420"/>
        <w:jc w:val="right"/>
        <w:rPr>
          <w:rFonts w:hint="default" w:ascii="Times New Roman" w:hAnsi="Times New Roman" w:eastAsia="宋体" w:cs="Times New Roman"/>
          <w:color w:val="auto"/>
          <w:sz w:val="24"/>
          <w:szCs w:val="24"/>
        </w:rPr>
      </w:pPr>
      <m:oMath>
        <m:sSub>
          <m:sSubPr>
            <m:ctrlPr>
              <w:rPr>
                <w:rFonts w:hint="default" w:ascii="Cambria Math" w:hAnsi="Cambria Math" w:eastAsia="宋体" w:cs="Times New Roman"/>
                <w:color w:val="auto"/>
                <w:sz w:val="24"/>
                <w:szCs w:val="24"/>
              </w:rPr>
            </m:ctrlPr>
          </m:sSubPr>
          <m:e>
            <m:r>
              <m:rPr>
                <m:nor/>
              </m:rPr>
              <w:rPr>
                <w:rFonts w:hint="default" w:ascii="Times New Roman" w:hAnsi="Times New Roman" w:eastAsia="宋体" w:cs="Times New Roman"/>
                <w:i/>
                <w:color w:val="auto"/>
                <w:sz w:val="24"/>
                <w:szCs w:val="24"/>
              </w:rPr>
              <m:t>ξ</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rPr>
              <m:t>y</m:t>
            </m:r>
            <m:ctrlPr>
              <w:rPr>
                <w:rFonts w:hint="default" w:ascii="Cambria Math" w:hAnsi="Cambria Math" w:eastAsia="宋体" w:cs="Times New Roman"/>
                <w:color w:val="auto"/>
                <w:sz w:val="24"/>
                <w:szCs w:val="24"/>
              </w:rPr>
            </m:ctrlPr>
          </m:sub>
        </m:sSub>
        <m:r>
          <m:rPr>
            <m:nor/>
            <m:sty m:val="p"/>
          </m:rPr>
          <w:rPr>
            <w:rFonts w:hint="default" w:ascii="Times New Roman" w:hAnsi="Times New Roman" w:eastAsia="宋体" w:cs="Times New Roman"/>
            <w:b w:val="0"/>
            <w:i w:val="0"/>
            <w:color w:val="auto"/>
            <w:sz w:val="24"/>
            <w:szCs w:val="24"/>
          </w:rPr>
          <m:t>=</m:t>
        </m:r>
        <m:f>
          <m:fPr>
            <m:type m:val="lin"/>
            <m:ctrlPr>
              <w:rPr>
                <w:rFonts w:hint="default" w:ascii="Cambria Math" w:hAnsi="Cambria Math" w:eastAsia="宋体" w:cs="Times New Roman"/>
                <w:color w:val="auto"/>
                <w:sz w:val="24"/>
                <w:szCs w:val="24"/>
              </w:rPr>
            </m:ctrlPr>
          </m:fPr>
          <m:num>
            <m:sSub>
              <m:sSubPr>
                <m:ctrlPr>
                  <w:rPr>
                    <w:rFonts w:hint="default" w:ascii="Cambria Math" w:hAnsi="Cambria Math" w:eastAsia="宋体" w:cs="Times New Roman"/>
                    <w:color w:val="auto"/>
                    <w:sz w:val="24"/>
                    <w:szCs w:val="24"/>
                  </w:rPr>
                </m:ctrlPr>
              </m:sSubPr>
              <m:e>
                <m:r>
                  <m:rPr>
                    <m:nor/>
                  </m:rPr>
                  <w:rPr>
                    <w:rFonts w:hint="default" w:ascii="Times New Roman" w:hAnsi="Times New Roman" w:eastAsia="宋体" w:cs="Times New Roman"/>
                    <w:i/>
                    <w:color w:val="auto"/>
                    <w:sz w:val="24"/>
                    <w:szCs w:val="24"/>
                  </w:rPr>
                  <m:t>V</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rPr>
                  <m:t>y</m:t>
                </m:r>
                <m:ctrlPr>
                  <w:rPr>
                    <w:rFonts w:hint="default" w:ascii="Cambria Math" w:hAnsi="Cambria Math" w:eastAsia="宋体" w:cs="Times New Roman"/>
                    <w:color w:val="auto"/>
                    <w:sz w:val="24"/>
                    <w:szCs w:val="24"/>
                  </w:rPr>
                </m:ctrlPr>
              </m:sub>
            </m:sSub>
            <m:ctrlPr>
              <w:rPr>
                <w:rFonts w:hint="default" w:ascii="Cambria Math" w:hAnsi="Cambria Math" w:eastAsia="宋体" w:cs="Times New Roman"/>
                <w:color w:val="auto"/>
                <w:sz w:val="24"/>
                <w:szCs w:val="24"/>
              </w:rPr>
            </m:ctrlPr>
          </m:num>
          <m:den>
            <m:sSub>
              <m:sSubPr>
                <m:ctrlPr>
                  <w:rPr>
                    <w:rFonts w:hint="default" w:ascii="Cambria Math" w:hAnsi="Cambria Math" w:eastAsia="宋体" w:cs="Times New Roman"/>
                    <w:color w:val="auto"/>
                    <w:sz w:val="24"/>
                    <w:szCs w:val="24"/>
                  </w:rPr>
                </m:ctrlPr>
              </m:sSubPr>
              <m:e>
                <m:r>
                  <m:rPr>
                    <m:nor/>
                  </m:rPr>
                  <w:rPr>
                    <w:rFonts w:hint="default" w:ascii="Times New Roman" w:hAnsi="Times New Roman" w:eastAsia="宋体" w:cs="Times New Roman"/>
                    <w:i/>
                    <w:color w:val="auto"/>
                    <w:sz w:val="24"/>
                    <w:szCs w:val="24"/>
                  </w:rPr>
                  <m:t>V</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rPr>
                  <m:t>e</m:t>
                </m:r>
                <m:ctrlPr>
                  <w:rPr>
                    <w:rFonts w:hint="default" w:ascii="Cambria Math" w:hAnsi="Cambria Math" w:eastAsia="宋体" w:cs="Times New Roman"/>
                    <w:color w:val="auto"/>
                    <w:sz w:val="24"/>
                    <w:szCs w:val="24"/>
                  </w:rPr>
                </m:ctrlPr>
              </m:sub>
            </m:sSub>
            <m:ctrlPr>
              <w:rPr>
                <w:rFonts w:hint="default" w:ascii="Cambria Math" w:hAnsi="Cambria Math" w:eastAsia="宋体" w:cs="Times New Roman"/>
                <w:color w:val="auto"/>
                <w:sz w:val="24"/>
                <w:szCs w:val="24"/>
              </w:rPr>
            </m:ctrlPr>
          </m:den>
        </m:f>
      </m:oMath>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pacing w:val="-2"/>
          <w:sz w:val="24"/>
          <w:szCs w:val="24"/>
        </w:rPr>
        <w:t>（</w:t>
      </w:r>
      <w:r>
        <w:rPr>
          <w:rFonts w:hint="default" w:ascii="Times New Roman" w:hAnsi="Times New Roman" w:eastAsia="宋体" w:cs="Times New Roman"/>
          <w:color w:val="auto"/>
          <w:spacing w:val="-2"/>
          <w:sz w:val="24"/>
          <w:szCs w:val="24"/>
          <w:lang w:eastAsia="zh-CN"/>
        </w:rPr>
        <w:t>7.</w:t>
      </w:r>
      <w:r>
        <w:rPr>
          <w:rFonts w:hint="default" w:ascii="Times New Roman" w:hAnsi="Times New Roman" w:eastAsia="宋体" w:cs="Times New Roman"/>
          <w:color w:val="auto"/>
          <w:spacing w:val="-2"/>
          <w:sz w:val="24"/>
          <w:szCs w:val="24"/>
          <w:lang w:val="en-US" w:eastAsia="zh-CN"/>
        </w:rPr>
        <w:t>1</w:t>
      </w:r>
      <w:r>
        <w:rPr>
          <w:rFonts w:hint="default" w:ascii="Times New Roman" w:hAnsi="Times New Roman" w:eastAsia="宋体" w:cs="Times New Roman"/>
          <w:color w:val="auto"/>
          <w:spacing w:val="-2"/>
          <w:sz w:val="24"/>
          <w:szCs w:val="24"/>
        </w:rPr>
        <w:t>.4-2）</w:t>
      </w:r>
    </w:p>
    <w:p w14:paraId="582A090E">
      <w:pPr>
        <w:pStyle w:val="12"/>
        <w:keepNext w:val="0"/>
        <w:keepLines w:val="0"/>
        <w:pageBreakBefore w:val="0"/>
        <w:wordWrap/>
        <w:overflowPunct/>
        <w:topLinePunct w:val="0"/>
        <w:bidi w:val="0"/>
        <w:spacing w:line="360" w:lineRule="exact"/>
        <w:ind w:firstLine="0" w:firstLineChars="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 xml:space="preserve">式中 </w:t>
      </w:r>
      <w:r>
        <w:rPr>
          <w:rFonts w:hint="default" w:ascii="Times New Roman" w:hAnsi="Times New Roman" w:eastAsia="宋体" w:cs="Times New Roman"/>
          <w:i/>
          <w:iCs/>
          <w:color w:val="auto"/>
          <w:sz w:val="24"/>
          <w:szCs w:val="24"/>
        </w:rPr>
        <w:t>β</w:t>
      </w:r>
      <w:r>
        <w:rPr>
          <w:rFonts w:hint="default" w:ascii="Times New Roman" w:hAnsi="Times New Roman" w:eastAsia="宋体" w:cs="Times New Roman"/>
          <w:color w:val="auto"/>
          <w:sz w:val="24"/>
          <w:szCs w:val="24"/>
          <w:lang w:eastAsia="zh-CN"/>
        </w:rPr>
        <w:t>——平面结构楼层综合抗震能力指数；</w:t>
      </w:r>
    </w:p>
    <w:p w14:paraId="520105B2">
      <w:pPr>
        <w:pStyle w:val="12"/>
        <w:keepNext w:val="0"/>
        <w:keepLines w:val="0"/>
        <w:pageBreakBefore w:val="0"/>
        <w:wordWrap/>
        <w:overflowPunct/>
        <w:topLinePunct w:val="0"/>
        <w:bidi w:val="0"/>
        <w:spacing w:line="360" w:lineRule="exact"/>
        <w:ind w:firstLine="648" w:firstLineChars="270"/>
        <w:rPr>
          <w:rFonts w:hint="default" w:ascii="Times New Roman" w:hAnsi="Times New Roman" w:eastAsia="宋体" w:cs="Times New Roman"/>
          <w:color w:val="auto"/>
          <w:sz w:val="24"/>
          <w:szCs w:val="24"/>
          <w:lang w:eastAsia="zh-CN"/>
        </w:rPr>
      </w:pPr>
      <m:oMath>
        <m:sSub>
          <m:sSubPr>
            <m:ctrlPr>
              <w:rPr>
                <w:rFonts w:hint="default" w:ascii="Cambria Math" w:hAnsi="Cambria Math" w:eastAsia="宋体" w:cs="Times New Roman"/>
                <w:color w:val="auto"/>
                <w:sz w:val="24"/>
                <w:szCs w:val="24"/>
              </w:rPr>
            </m:ctrlPr>
          </m:sSubPr>
          <m:e>
            <m:r>
              <m:rPr>
                <m:nor/>
              </m:rPr>
              <w:rPr>
                <w:rFonts w:hint="default" w:ascii="Times New Roman" w:hAnsi="Times New Roman" w:eastAsia="宋体" w:cs="Times New Roman"/>
                <w:i/>
                <w:color w:val="auto"/>
                <w:sz w:val="24"/>
                <w:szCs w:val="24"/>
                <w:lang w:eastAsia="zh-CN"/>
              </w:rPr>
              <m:t>ψ</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lang w:eastAsia="zh-CN"/>
              </w:rPr>
              <m:t>1</m:t>
            </m:r>
            <m:ctrlPr>
              <w:rPr>
                <w:rFonts w:hint="default" w:ascii="Cambria Math" w:hAnsi="Cambria Math" w:eastAsia="宋体" w:cs="Times New Roman"/>
                <w:color w:val="auto"/>
                <w:sz w:val="24"/>
                <w:szCs w:val="24"/>
              </w:rPr>
            </m:ctrlPr>
          </m:sub>
        </m:sSub>
      </m:oMath>
      <w:r>
        <w:rPr>
          <w:rFonts w:hint="default" w:ascii="Times New Roman" w:hAnsi="Times New Roman" w:eastAsia="宋体" w:cs="Times New Roman"/>
          <w:color w:val="auto"/>
          <w:sz w:val="24"/>
          <w:szCs w:val="24"/>
          <w:lang w:eastAsia="zh-CN"/>
        </w:rPr>
        <w:t>——体系影响系数；可按本规程第7.</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.5条确定；</w:t>
      </w:r>
    </w:p>
    <w:p w14:paraId="643C27F1">
      <w:pPr>
        <w:pStyle w:val="12"/>
        <w:keepNext w:val="0"/>
        <w:keepLines w:val="0"/>
        <w:pageBreakBefore w:val="0"/>
        <w:wordWrap/>
        <w:overflowPunct/>
        <w:topLinePunct w:val="0"/>
        <w:bidi w:val="0"/>
        <w:spacing w:line="360" w:lineRule="exact"/>
        <w:ind w:firstLine="648" w:firstLineChars="270"/>
        <w:rPr>
          <w:rFonts w:hint="default" w:ascii="Times New Roman" w:hAnsi="Times New Roman" w:eastAsia="宋体" w:cs="Times New Roman"/>
          <w:color w:val="auto"/>
          <w:sz w:val="24"/>
          <w:szCs w:val="24"/>
          <w:lang w:eastAsia="zh-CN"/>
        </w:rPr>
      </w:pPr>
      <m:oMath>
        <m:sSub>
          <m:sSubPr>
            <m:ctrlPr>
              <w:rPr>
                <w:rFonts w:hint="default" w:ascii="Cambria Math" w:hAnsi="Cambria Math" w:eastAsia="宋体" w:cs="Times New Roman"/>
                <w:color w:val="auto"/>
                <w:sz w:val="24"/>
                <w:szCs w:val="24"/>
              </w:rPr>
            </m:ctrlPr>
          </m:sSubPr>
          <m:e>
            <m:r>
              <m:rPr>
                <m:nor/>
              </m:rPr>
              <w:rPr>
                <w:rFonts w:hint="default" w:ascii="Times New Roman" w:hAnsi="Times New Roman" w:eastAsia="宋体" w:cs="Times New Roman"/>
                <w:i/>
                <w:color w:val="auto"/>
                <w:sz w:val="24"/>
                <w:szCs w:val="24"/>
                <w:lang w:eastAsia="zh-CN"/>
              </w:rPr>
              <m:t>ψ</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lang w:eastAsia="zh-CN"/>
              </w:rPr>
              <m:t>2</m:t>
            </m:r>
            <m:ctrlPr>
              <w:rPr>
                <w:rFonts w:hint="default" w:ascii="Cambria Math" w:hAnsi="Cambria Math" w:eastAsia="宋体" w:cs="Times New Roman"/>
                <w:color w:val="auto"/>
                <w:sz w:val="24"/>
                <w:szCs w:val="24"/>
              </w:rPr>
            </m:ctrlPr>
          </m:sub>
        </m:sSub>
      </m:oMath>
      <w:r>
        <w:rPr>
          <w:rFonts w:hint="default" w:ascii="Times New Roman" w:hAnsi="Times New Roman" w:eastAsia="宋体" w:cs="Times New Roman"/>
          <w:color w:val="auto"/>
          <w:sz w:val="24"/>
          <w:szCs w:val="24"/>
          <w:lang w:eastAsia="zh-CN"/>
        </w:rPr>
        <w:t>——局部影响系数；可按本规程第7.</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.6条确定；</w:t>
      </w:r>
    </w:p>
    <w:p w14:paraId="0BFAFA5C">
      <w:pPr>
        <w:pStyle w:val="12"/>
        <w:keepNext w:val="0"/>
        <w:keepLines w:val="0"/>
        <w:pageBreakBefore w:val="0"/>
        <w:wordWrap/>
        <w:overflowPunct/>
        <w:topLinePunct w:val="0"/>
        <w:bidi w:val="0"/>
        <w:spacing w:line="360" w:lineRule="exact"/>
        <w:ind w:firstLine="648" w:firstLineChars="270"/>
        <w:rPr>
          <w:rFonts w:hint="default" w:ascii="Times New Roman" w:hAnsi="Times New Roman" w:eastAsia="宋体" w:cs="Times New Roman"/>
          <w:color w:val="auto"/>
          <w:sz w:val="24"/>
          <w:szCs w:val="24"/>
          <w:lang w:eastAsia="zh-CN"/>
        </w:rPr>
      </w:pPr>
      <m:oMath>
        <m:sSub>
          <m:sSubPr>
            <m:ctrlPr>
              <w:rPr>
                <w:rFonts w:hint="default" w:ascii="Cambria Math" w:hAnsi="Cambria Math" w:eastAsia="宋体" w:cs="Times New Roman"/>
                <w:i/>
                <w:iCs/>
                <w:color w:val="auto"/>
                <w:sz w:val="24"/>
                <w:szCs w:val="24"/>
              </w:rPr>
            </m:ctrlPr>
          </m:sSubPr>
          <m:e>
            <m:r>
              <m:rPr>
                <m:nor/>
              </m:rPr>
              <w:rPr>
                <w:rFonts w:hint="default" w:ascii="Times New Roman" w:hAnsi="Times New Roman" w:eastAsia="宋体" w:cs="Times New Roman"/>
                <w:i/>
                <w:color w:val="auto"/>
                <w:sz w:val="24"/>
                <w:szCs w:val="24"/>
                <w:lang w:eastAsia="zh-CN"/>
              </w:rPr>
              <m:t>ξ</m:t>
            </m:r>
            <m:ctrlPr>
              <w:rPr>
                <w:rFonts w:hint="default" w:ascii="Cambria Math" w:hAnsi="Cambria Math" w:eastAsia="宋体" w:cs="Times New Roman"/>
                <w:i/>
                <w:iCs/>
                <w:color w:val="auto"/>
                <w:sz w:val="24"/>
                <w:szCs w:val="24"/>
              </w:rPr>
            </m:ctrlPr>
          </m:e>
          <m:sub>
            <m:r>
              <m:rPr>
                <m:nor/>
              </m:rPr>
              <w:rPr>
                <w:rFonts w:hint="default" w:ascii="Times New Roman" w:hAnsi="Times New Roman" w:eastAsia="宋体" w:cs="Times New Roman"/>
                <w:i/>
                <w:color w:val="auto"/>
                <w:sz w:val="24"/>
                <w:szCs w:val="24"/>
                <w:lang w:eastAsia="zh-CN"/>
              </w:rPr>
              <m:t>y</m:t>
            </m:r>
            <m:ctrlPr>
              <w:rPr>
                <w:rFonts w:hint="default" w:ascii="Cambria Math" w:hAnsi="Cambria Math" w:eastAsia="宋体" w:cs="Times New Roman"/>
                <w:i/>
                <w:iCs/>
                <w:color w:val="auto"/>
                <w:sz w:val="24"/>
                <w:szCs w:val="24"/>
              </w:rPr>
            </m:ctrlPr>
          </m:sub>
        </m:sSub>
      </m:oMath>
      <w:r>
        <w:rPr>
          <w:rFonts w:hint="default" w:ascii="Times New Roman" w:hAnsi="Times New Roman" w:eastAsia="宋体" w:cs="Times New Roman"/>
          <w:color w:val="auto"/>
          <w:sz w:val="24"/>
          <w:szCs w:val="24"/>
          <w:lang w:eastAsia="zh-CN"/>
        </w:rPr>
        <w:t>——楼层屈服强度系数；</w:t>
      </w:r>
    </w:p>
    <w:p w14:paraId="21CD8A90">
      <w:pPr>
        <w:pStyle w:val="12"/>
        <w:keepNext w:val="0"/>
        <w:keepLines w:val="0"/>
        <w:pageBreakBefore w:val="0"/>
        <w:wordWrap/>
        <w:overflowPunct/>
        <w:topLinePunct w:val="0"/>
        <w:bidi w:val="0"/>
        <w:spacing w:line="360" w:lineRule="exact"/>
        <w:ind w:firstLine="648" w:firstLineChars="270"/>
        <w:rPr>
          <w:rFonts w:hint="default" w:ascii="Times New Roman" w:hAnsi="Times New Roman" w:eastAsia="宋体" w:cs="Times New Roman"/>
          <w:color w:val="auto"/>
          <w:sz w:val="24"/>
          <w:szCs w:val="24"/>
          <w:lang w:eastAsia="zh-CN"/>
        </w:rPr>
      </w:pPr>
      <m:oMath>
        <m:sSub>
          <m:sSubPr>
            <m:ctrlPr>
              <w:rPr>
                <w:rFonts w:hint="default" w:ascii="Cambria Math" w:hAnsi="Cambria Math" w:eastAsia="宋体" w:cs="Times New Roman"/>
                <w:color w:val="auto"/>
                <w:sz w:val="24"/>
                <w:szCs w:val="24"/>
              </w:rPr>
            </m:ctrlPr>
          </m:sSubPr>
          <m:e>
            <m:r>
              <m:rPr>
                <m:nor/>
              </m:rPr>
              <w:rPr>
                <w:rFonts w:hint="default" w:ascii="Times New Roman" w:hAnsi="Times New Roman" w:eastAsia="宋体" w:cs="Times New Roman"/>
                <w:i/>
                <w:color w:val="auto"/>
                <w:sz w:val="24"/>
                <w:szCs w:val="24"/>
                <w:lang w:eastAsia="zh-CN"/>
              </w:rPr>
              <m:t>V</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lang w:eastAsia="zh-CN"/>
              </w:rPr>
              <m:t>y</m:t>
            </m:r>
            <m:ctrlPr>
              <w:rPr>
                <w:rFonts w:hint="default" w:ascii="Cambria Math" w:hAnsi="Cambria Math" w:eastAsia="宋体" w:cs="Times New Roman"/>
                <w:color w:val="auto"/>
                <w:sz w:val="24"/>
                <w:szCs w:val="24"/>
              </w:rPr>
            </m:ctrlPr>
          </m:sub>
        </m:sSub>
      </m:oMath>
      <w:r>
        <w:rPr>
          <w:rFonts w:hint="default" w:ascii="Times New Roman" w:hAnsi="Times New Roman" w:eastAsia="宋体" w:cs="Times New Roman"/>
          <w:color w:val="auto"/>
          <w:sz w:val="24"/>
          <w:szCs w:val="24"/>
          <w:lang w:eastAsia="zh-CN"/>
        </w:rPr>
        <w:t>——楼层现有受剪承载力；可按《建筑抗震鉴定标准》GB 50023附录C计算；</w:t>
      </w:r>
    </w:p>
    <w:p w14:paraId="4FD31A92">
      <w:pPr>
        <w:pStyle w:val="12"/>
        <w:keepNext w:val="0"/>
        <w:keepLines w:val="0"/>
        <w:pageBreakBefore w:val="0"/>
        <w:wordWrap/>
        <w:overflowPunct/>
        <w:topLinePunct w:val="0"/>
        <w:bidi w:val="0"/>
        <w:spacing w:line="360" w:lineRule="exact"/>
        <w:ind w:firstLine="648" w:firstLineChars="270"/>
        <w:rPr>
          <w:rFonts w:hint="default" w:ascii="Times New Roman" w:hAnsi="Times New Roman" w:eastAsia="宋体" w:cs="Times New Roman"/>
          <w:color w:val="auto"/>
          <w:sz w:val="24"/>
          <w:szCs w:val="24"/>
          <w:lang w:eastAsia="zh-CN"/>
        </w:rPr>
      </w:pPr>
      <m:oMath>
        <m:sSub>
          <m:sSubPr>
            <m:ctrlPr>
              <w:rPr>
                <w:rFonts w:hint="default" w:ascii="Cambria Math" w:hAnsi="Cambria Math" w:eastAsia="宋体" w:cs="Times New Roman"/>
                <w:color w:val="auto"/>
                <w:sz w:val="24"/>
                <w:szCs w:val="24"/>
              </w:rPr>
            </m:ctrlPr>
          </m:sSubPr>
          <m:e>
            <m:r>
              <m:rPr>
                <m:nor/>
              </m:rPr>
              <w:rPr>
                <w:rFonts w:hint="default" w:ascii="Times New Roman" w:hAnsi="Times New Roman" w:eastAsia="宋体" w:cs="Times New Roman"/>
                <w:i/>
                <w:color w:val="auto"/>
                <w:sz w:val="24"/>
                <w:szCs w:val="24"/>
                <w:lang w:eastAsia="zh-CN"/>
              </w:rPr>
              <m:t>V</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lang w:eastAsia="zh-CN"/>
              </w:rPr>
              <m:t>e</m:t>
            </m:r>
            <m:ctrlPr>
              <w:rPr>
                <w:rFonts w:hint="default" w:ascii="Cambria Math" w:hAnsi="Cambria Math" w:eastAsia="宋体" w:cs="Times New Roman"/>
                <w:color w:val="auto"/>
                <w:sz w:val="24"/>
                <w:szCs w:val="24"/>
              </w:rPr>
            </m:ctrlPr>
          </m:sub>
        </m:sSub>
      </m:oMath>
      <w:r>
        <w:rPr>
          <w:rFonts w:hint="default" w:ascii="Times New Roman" w:hAnsi="Times New Roman" w:eastAsia="宋体" w:cs="Times New Roman"/>
          <w:color w:val="auto"/>
          <w:sz w:val="24"/>
          <w:szCs w:val="24"/>
          <w:lang w:eastAsia="zh-CN"/>
        </w:rPr>
        <w:t>——楼层的弹性地震剪力；可按本规程第7.</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.7条计算。</w:t>
      </w:r>
    </w:p>
    <w:p w14:paraId="017AC27F">
      <w:pPr>
        <w:pStyle w:val="42"/>
        <w:keepNext w:val="0"/>
        <w:keepLines w:val="0"/>
        <w:pageBreakBefore w:val="0"/>
        <w:numPr>
          <w:ilvl w:val="0"/>
          <w:numId w:val="0"/>
        </w:numPr>
        <w:tabs>
          <w:tab w:val="left" w:pos="680"/>
          <w:tab w:val="left" w:pos="1134"/>
        </w:tabs>
        <w:wordWrap/>
        <w:overflowPunct/>
        <w:topLinePunct w:val="0"/>
        <w:bidi w:val="0"/>
        <w:adjustRightInd w:val="0"/>
        <w:spacing w:line="360" w:lineRule="exact"/>
        <w:ind w:leftChars="0"/>
        <w:jc w:val="left"/>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7</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 xml:space="preserve">1.5 </w:t>
      </w:r>
      <w:r>
        <w:rPr>
          <w:rFonts w:hint="default" w:ascii="Times New Roman" w:hAnsi="Times New Roman" w:eastAsia="宋体" w:cs="Times New Roman"/>
          <w:color w:val="auto"/>
          <w:sz w:val="24"/>
          <w:szCs w:val="24"/>
        </w:rPr>
        <w:t>A类钢筋混凝土房屋的体系影响系数可根据结构体系、梁柱箍筋、轴压比等符合第一级鉴定要求的程度和部位，按下列情况确定：</w:t>
      </w:r>
    </w:p>
    <w:p w14:paraId="7100DD87">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1</w:t>
      </w:r>
      <w:r>
        <w:rPr>
          <w:rFonts w:hint="default" w:ascii="Times New Roman" w:hAnsi="Times New Roman" w:eastAsia="宋体" w:cs="Times New Roman"/>
          <w:color w:val="auto"/>
          <w:sz w:val="24"/>
          <w:szCs w:val="24"/>
          <w:lang w:eastAsia="zh-CN"/>
        </w:rPr>
        <w:t xml:space="preserve"> 当各项构造均符合现行国家标准《建筑抗震设计标准》GB/T 50011的规定时，可取1.4。</w:t>
      </w:r>
    </w:p>
    <w:p w14:paraId="3DF1C0CE">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2</w:t>
      </w:r>
      <w:r>
        <w:rPr>
          <w:rFonts w:hint="default" w:ascii="Times New Roman" w:hAnsi="Times New Roman" w:eastAsia="宋体" w:cs="Times New Roman"/>
          <w:color w:val="auto"/>
          <w:sz w:val="24"/>
          <w:szCs w:val="24"/>
          <w:lang w:eastAsia="zh-CN"/>
        </w:rPr>
        <w:t xml:space="preserve"> 当各项构造均符合《建筑抗震鉴定标准》GB 50023第7.3节B类建筑的规定时，可取1.25。</w:t>
      </w:r>
    </w:p>
    <w:p w14:paraId="35B3B33F">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3</w:t>
      </w:r>
      <w:r>
        <w:rPr>
          <w:rFonts w:hint="default" w:ascii="Times New Roman" w:hAnsi="Times New Roman" w:eastAsia="宋体" w:cs="Times New Roman"/>
          <w:color w:val="auto"/>
          <w:sz w:val="24"/>
          <w:szCs w:val="24"/>
          <w:lang w:eastAsia="zh-CN"/>
        </w:rPr>
        <w:t xml:space="preserve"> 当各项构造均符合《建筑抗震鉴定标准》GB 50023</w:t>
      </w:r>
      <w:r>
        <w:rPr>
          <w:rFonts w:hint="default" w:ascii="Times New Roman" w:hAnsi="Times New Roman" w:eastAsia="宋体" w:cs="Times New Roman"/>
          <w:b w:val="0"/>
          <w:bCs w:val="0"/>
          <w:color w:val="auto"/>
          <w:sz w:val="24"/>
          <w:szCs w:val="24"/>
          <w:lang w:eastAsia="zh-CN"/>
        </w:rPr>
        <w:t>第一级鉴定</w:t>
      </w:r>
      <w:r>
        <w:rPr>
          <w:rFonts w:hint="default" w:ascii="Times New Roman" w:hAnsi="Times New Roman" w:eastAsia="宋体" w:cs="Times New Roman"/>
          <w:color w:val="auto"/>
          <w:sz w:val="24"/>
          <w:szCs w:val="24"/>
          <w:lang w:eastAsia="zh-CN"/>
        </w:rPr>
        <w:t>的规定时，可取1.0。</w:t>
      </w:r>
    </w:p>
    <w:p w14:paraId="48A41325">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4</w:t>
      </w:r>
      <w:r>
        <w:rPr>
          <w:rFonts w:hint="default" w:ascii="Times New Roman" w:hAnsi="Times New Roman" w:eastAsia="宋体" w:cs="Times New Roman"/>
          <w:color w:val="auto"/>
          <w:sz w:val="24"/>
          <w:szCs w:val="24"/>
          <w:lang w:eastAsia="zh-CN"/>
        </w:rPr>
        <w:t xml:space="preserve"> 对结构整体，当结构规则性不满足抗震鉴定要求时，上述数值尚宜乘以0.85~0.95。</w:t>
      </w:r>
    </w:p>
    <w:p w14:paraId="089215A1">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5</w:t>
      </w:r>
      <w:r>
        <w:rPr>
          <w:rFonts w:hint="default" w:ascii="Times New Roman" w:hAnsi="Times New Roman" w:eastAsia="宋体" w:cs="Times New Roman"/>
          <w:color w:val="auto"/>
          <w:sz w:val="24"/>
          <w:szCs w:val="24"/>
          <w:lang w:eastAsia="zh-CN"/>
        </w:rPr>
        <w:t xml:space="preserve"> 当各项构造均符合非抗震设计规定时，可取0.8。</w:t>
      </w:r>
    </w:p>
    <w:p w14:paraId="74873840">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6</w:t>
      </w:r>
      <w:r>
        <w:rPr>
          <w:rFonts w:hint="default" w:ascii="Times New Roman" w:hAnsi="Times New Roman" w:eastAsia="宋体" w:cs="Times New Roman"/>
          <w:color w:val="auto"/>
          <w:sz w:val="24"/>
          <w:szCs w:val="24"/>
          <w:lang w:eastAsia="zh-CN"/>
        </w:rPr>
        <w:t xml:space="preserve"> 当结构受损伤或发生倾斜而已修复纠正，上述数值尚宜乘以0.8～1.0。</w:t>
      </w:r>
    </w:p>
    <w:p w14:paraId="25A86899">
      <w:pPr>
        <w:pStyle w:val="12"/>
        <w:keepNext w:val="0"/>
        <w:keepLines w:val="0"/>
        <w:pageBreakBefore w:val="0"/>
        <w:wordWrap/>
        <w:overflowPunct/>
        <w:topLinePunct w:val="0"/>
        <w:bidi w:val="0"/>
        <w:spacing w:line="360" w:lineRule="exact"/>
        <w:ind w:left="430" w:firstLine="0" w:firstLineChars="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7</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lang w:eastAsia="zh-CN"/>
        </w:rPr>
        <w:t>对构造均符合比抗震等级低一级的抗震设计规定的构件，上述数值尚宜乘以系数0.85~0.95。</w:t>
      </w:r>
    </w:p>
    <w:p w14:paraId="0C9C1BE6">
      <w:pPr>
        <w:keepNext w:val="0"/>
        <w:keepLines w:val="0"/>
        <w:pageBreakBefore w:val="0"/>
        <w:numPr>
          <w:ilvl w:val="0"/>
          <w:numId w:val="0"/>
        </w:numPr>
        <w:tabs>
          <w:tab w:val="left" w:pos="680"/>
          <w:tab w:val="left" w:pos="1134"/>
          <w:tab w:val="clear" w:pos="3261"/>
        </w:tabs>
        <w:wordWrap/>
        <w:overflowPunct/>
        <w:topLinePunct w:val="0"/>
        <w:bidi w:val="0"/>
        <w:adjustRightInd w:val="0"/>
        <w:spacing w:line="360" w:lineRule="exact"/>
        <w:ind w:leftChars="0"/>
        <w:jc w:val="left"/>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7</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 xml:space="preserve">1.6 </w:t>
      </w:r>
      <w:r>
        <w:rPr>
          <w:rFonts w:hint="default" w:ascii="Times New Roman" w:hAnsi="Times New Roman" w:eastAsia="宋体" w:cs="Times New Roman"/>
          <w:color w:val="auto"/>
          <w:sz w:val="24"/>
          <w:szCs w:val="24"/>
        </w:rPr>
        <w:t>局部影响系数可根据局部构造不符合第一级鉴定要求的程度，采用下列三项系数选定后的最小值：</w:t>
      </w:r>
    </w:p>
    <w:p w14:paraId="2146CC29">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1</w:t>
      </w:r>
      <w:r>
        <w:rPr>
          <w:rFonts w:hint="default" w:ascii="Times New Roman" w:hAnsi="Times New Roman" w:eastAsia="宋体" w:cs="Times New Roman"/>
          <w:color w:val="auto"/>
          <w:sz w:val="24"/>
          <w:szCs w:val="24"/>
          <w:lang w:eastAsia="zh-CN"/>
        </w:rPr>
        <w:t xml:space="preserve"> 与承重砌体结构相连的框架，取0.8~0.95。</w:t>
      </w:r>
    </w:p>
    <w:p w14:paraId="58D5CC3E">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 xml:space="preserve">2 </w:t>
      </w:r>
      <w:r>
        <w:rPr>
          <w:rFonts w:hint="default" w:ascii="Times New Roman" w:hAnsi="Times New Roman" w:eastAsia="宋体" w:cs="Times New Roman"/>
          <w:color w:val="auto"/>
          <w:sz w:val="24"/>
          <w:szCs w:val="24"/>
          <w:lang w:eastAsia="zh-CN"/>
        </w:rPr>
        <w:t>填充墙等与框架的连接不符合第一级鉴定要求，取0.7~0.95。</w:t>
      </w:r>
    </w:p>
    <w:p w14:paraId="20AE4450">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3</w:t>
      </w:r>
      <w:r>
        <w:rPr>
          <w:rFonts w:hint="default" w:ascii="Times New Roman" w:hAnsi="Times New Roman" w:eastAsia="宋体" w:cs="Times New Roman"/>
          <w:color w:val="auto"/>
          <w:sz w:val="24"/>
          <w:szCs w:val="24"/>
          <w:lang w:eastAsia="zh-CN"/>
        </w:rPr>
        <w:t xml:space="preserve"> 抗震墙之间楼、屋盖长宽比超过《建筑抗震鉴定标准》GB 50023表7.2.1-1的规定值，可按超过的程度，取0.6~0.9。</w:t>
      </w:r>
    </w:p>
    <w:p w14:paraId="2079701F">
      <w:pPr>
        <w:keepNext w:val="0"/>
        <w:keepLines w:val="0"/>
        <w:pageBreakBefore w:val="0"/>
        <w:numPr>
          <w:ilvl w:val="0"/>
          <w:numId w:val="0"/>
        </w:numPr>
        <w:tabs>
          <w:tab w:val="left" w:pos="680"/>
          <w:tab w:val="left" w:pos="1134"/>
          <w:tab w:val="clear" w:pos="3261"/>
        </w:tabs>
        <w:wordWrap/>
        <w:overflowPunct/>
        <w:topLinePunct w:val="0"/>
        <w:bidi w:val="0"/>
        <w:adjustRightInd w:val="0"/>
        <w:spacing w:line="360" w:lineRule="exact"/>
        <w:ind w:leftChars="0"/>
        <w:jc w:val="left"/>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7</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 xml:space="preserve">1.7 </w:t>
      </w:r>
      <w:r>
        <w:rPr>
          <w:rFonts w:hint="default" w:ascii="Times New Roman" w:hAnsi="Times New Roman" w:eastAsia="宋体" w:cs="Times New Roman"/>
          <w:color w:val="auto"/>
          <w:sz w:val="24"/>
          <w:szCs w:val="24"/>
        </w:rPr>
        <w:t>楼层的弹性地震剪力，对规则结构可采用底部剪力法计算，抗震验算按本规程第</w:t>
      </w:r>
      <w:r>
        <w:rPr>
          <w:rFonts w:hint="default" w:ascii="Times New Roman" w:hAnsi="Times New Roman" w:eastAsia="宋体" w:cs="Times New Roman"/>
          <w:color w:val="auto"/>
          <w:sz w:val="24"/>
          <w:szCs w:val="24"/>
          <w:lang w:val="en-US" w:eastAsia="zh-CN"/>
        </w:rPr>
        <w:t>4.3.7</w:t>
      </w:r>
      <w:r>
        <w:rPr>
          <w:rFonts w:hint="default" w:ascii="Times New Roman" w:hAnsi="Times New Roman" w:eastAsia="宋体" w:cs="Times New Roman"/>
          <w:color w:val="auto"/>
          <w:sz w:val="24"/>
          <w:szCs w:val="24"/>
        </w:rPr>
        <w:t>条的规定进行，地震作用分项系数取1.0；对考虑扭转影响的边榀结构，可按现行国家标准《建筑抗震设计标准》GB/T 50011规定的方法计算。当场地处于不利地段时，地震作用尚应乘以增大系数1.1~1.6。</w:t>
      </w:r>
    </w:p>
    <w:p w14:paraId="44E3ACA0">
      <w:pPr>
        <w:keepNext w:val="0"/>
        <w:keepLines w:val="0"/>
        <w:pageBreakBefore w:val="0"/>
        <w:numPr>
          <w:ilvl w:val="0"/>
          <w:numId w:val="0"/>
        </w:numPr>
        <w:tabs>
          <w:tab w:val="left" w:pos="680"/>
          <w:tab w:val="left" w:pos="1134"/>
          <w:tab w:val="clear" w:pos="3261"/>
        </w:tabs>
        <w:wordWrap/>
        <w:overflowPunct/>
        <w:topLinePunct w:val="0"/>
        <w:bidi w:val="0"/>
        <w:adjustRightInd w:val="0"/>
        <w:spacing w:line="360" w:lineRule="exact"/>
        <w:ind w:leftChars="0"/>
        <w:jc w:val="left"/>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7</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 xml:space="preserve">1.8 </w:t>
      </w:r>
      <w:r>
        <w:rPr>
          <w:rFonts w:hint="default" w:ascii="Times New Roman" w:hAnsi="Times New Roman" w:eastAsia="宋体" w:cs="Times New Roman"/>
          <w:color w:val="auto"/>
          <w:sz w:val="24"/>
          <w:szCs w:val="24"/>
        </w:rPr>
        <w:t>B类钢筋混凝土房屋的体系影响系数，可根据结构体系、梁柱箍筋、轴压比、墙体边缘构件等符合鉴定要求的程度和部位，按下列情况确定：</w:t>
      </w:r>
    </w:p>
    <w:p w14:paraId="369D408E">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1</w:t>
      </w:r>
      <w:r>
        <w:rPr>
          <w:rFonts w:hint="default" w:ascii="Times New Roman" w:hAnsi="Times New Roman" w:eastAsia="宋体" w:cs="Times New Roman"/>
          <w:color w:val="auto"/>
          <w:sz w:val="24"/>
          <w:szCs w:val="24"/>
          <w:lang w:eastAsia="zh-CN"/>
        </w:rPr>
        <w:t xml:space="preserve"> 当各项构造均符合现行国家标准《建筑抗震设计</w:t>
      </w:r>
      <w:r>
        <w:rPr>
          <w:rFonts w:hint="default" w:ascii="Times New Roman" w:hAnsi="Times New Roman" w:eastAsia="宋体" w:cs="Times New Roman"/>
          <w:color w:val="auto"/>
          <w:sz w:val="24"/>
          <w:szCs w:val="24"/>
          <w:lang w:val="en-US" w:eastAsia="zh-CN"/>
        </w:rPr>
        <w:t>标准</w:t>
      </w:r>
      <w:r>
        <w:rPr>
          <w:rFonts w:hint="default" w:ascii="Times New Roman" w:hAnsi="Times New Roman" w:eastAsia="宋体" w:cs="Times New Roman"/>
          <w:color w:val="auto"/>
          <w:sz w:val="24"/>
          <w:szCs w:val="24"/>
          <w:lang w:eastAsia="zh-CN"/>
        </w:rPr>
        <w:t>》GB</w:t>
      </w:r>
      <w:r>
        <w:rPr>
          <w:rFonts w:hint="default" w:ascii="Times New Roman" w:hAnsi="Times New Roman" w:eastAsia="宋体" w:cs="Times New Roman"/>
          <w:color w:val="auto"/>
          <w:sz w:val="24"/>
          <w:szCs w:val="24"/>
          <w:lang w:val="en-US" w:eastAsia="zh-CN"/>
        </w:rPr>
        <w:t>/T</w:t>
      </w:r>
      <w:r>
        <w:rPr>
          <w:rFonts w:hint="default" w:ascii="Times New Roman" w:hAnsi="Times New Roman" w:eastAsia="宋体" w:cs="Times New Roman"/>
          <w:color w:val="auto"/>
          <w:sz w:val="24"/>
          <w:szCs w:val="24"/>
          <w:lang w:eastAsia="zh-CN"/>
        </w:rPr>
        <w:t>50011的规定时，可取1.1。</w:t>
      </w:r>
    </w:p>
    <w:p w14:paraId="009B3937">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2</w:t>
      </w:r>
      <w:r>
        <w:rPr>
          <w:rFonts w:hint="default" w:ascii="Times New Roman" w:hAnsi="Times New Roman" w:eastAsia="宋体" w:cs="Times New Roman"/>
          <w:color w:val="auto"/>
          <w:sz w:val="24"/>
          <w:szCs w:val="24"/>
          <w:lang w:eastAsia="zh-CN"/>
        </w:rPr>
        <w:t xml:space="preserve"> 当各项构造均符合本节的规定时，可取1.0。</w:t>
      </w:r>
    </w:p>
    <w:p w14:paraId="4971FA20">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3</w:t>
      </w:r>
      <w:r>
        <w:rPr>
          <w:rFonts w:hint="default" w:ascii="Times New Roman" w:hAnsi="Times New Roman" w:eastAsia="宋体" w:cs="Times New Roman"/>
          <w:color w:val="auto"/>
          <w:sz w:val="24"/>
          <w:szCs w:val="24"/>
          <w:lang w:eastAsia="zh-CN"/>
        </w:rPr>
        <w:t xml:space="preserve"> 对结构整体，当结构规则性不满足抗震鉴定要求时，上述数值尚宜乘以0.85~0.95；</w:t>
      </w:r>
    </w:p>
    <w:p w14:paraId="58D1FCBF">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4</w:t>
      </w:r>
      <w:r>
        <w:rPr>
          <w:rFonts w:hint="default" w:ascii="Times New Roman" w:hAnsi="Times New Roman" w:eastAsia="宋体" w:cs="Times New Roman"/>
          <w:color w:val="auto"/>
          <w:sz w:val="24"/>
          <w:szCs w:val="24"/>
          <w:lang w:eastAsia="zh-CN"/>
        </w:rPr>
        <w:t xml:space="preserve"> 当各项构造均符合《建筑抗震鉴定标准》GB 50023第7.2节A类房屋鉴定的规定时，可取0.8。</w:t>
      </w:r>
    </w:p>
    <w:p w14:paraId="7E611E1C">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5</w:t>
      </w:r>
      <w:r>
        <w:rPr>
          <w:rFonts w:hint="default" w:ascii="Times New Roman" w:hAnsi="Times New Roman" w:eastAsia="宋体" w:cs="Times New Roman"/>
          <w:color w:val="auto"/>
          <w:sz w:val="24"/>
          <w:szCs w:val="24"/>
          <w:lang w:eastAsia="zh-CN"/>
        </w:rPr>
        <w:t xml:space="preserve"> 当结构受损伤或发生倾斜而已修复纠正，上述数值尚宜乘以0.8～1.0。</w:t>
      </w:r>
    </w:p>
    <w:p w14:paraId="0E52947F">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6</w:t>
      </w:r>
      <w:r>
        <w:rPr>
          <w:rFonts w:hint="default" w:ascii="Times New Roman" w:hAnsi="Times New Roman" w:eastAsia="宋体" w:cs="Times New Roman"/>
          <w:color w:val="auto"/>
          <w:sz w:val="24"/>
          <w:szCs w:val="24"/>
          <w:lang w:eastAsia="zh-CN"/>
        </w:rPr>
        <w:t xml:space="preserve"> 对构造均符合比抗震等级低一级的抗震设计规定的构件，上述数值尚宜乘以系数0.85~0.95。</w:t>
      </w:r>
    </w:p>
    <w:p w14:paraId="4A43FC61">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条文说明：本条给出B类建筑参照A类建筑进行综合抗震承载能力验算时的体系影响系数。</w:t>
      </w:r>
    </w:p>
    <w:p w14:paraId="692261A6">
      <w:pPr>
        <w:keepNext w:val="0"/>
        <w:keepLines w:val="0"/>
        <w:pageBreakBefore w:val="0"/>
        <w:numPr>
          <w:ilvl w:val="0"/>
          <w:numId w:val="0"/>
        </w:numPr>
        <w:tabs>
          <w:tab w:val="left" w:pos="680"/>
          <w:tab w:val="left" w:pos="1134"/>
          <w:tab w:val="clear" w:pos="3261"/>
        </w:tabs>
        <w:wordWrap/>
        <w:overflowPunct/>
        <w:topLinePunct w:val="0"/>
        <w:bidi w:val="0"/>
        <w:adjustRightInd w:val="0"/>
        <w:spacing w:line="360" w:lineRule="exact"/>
        <w:ind w:leftChars="0"/>
        <w:jc w:val="left"/>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7</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 xml:space="preserve">1.9 </w:t>
      </w:r>
      <w:r>
        <w:rPr>
          <w:rFonts w:hint="default" w:ascii="Times New Roman" w:hAnsi="Times New Roman" w:eastAsia="宋体" w:cs="Times New Roman"/>
          <w:color w:val="auto"/>
          <w:sz w:val="24"/>
          <w:szCs w:val="24"/>
        </w:rPr>
        <w:t>C类钢筋混凝土房屋的体系影响系数，可根据结构体系、梁柱箍筋、轴压比、墙体边缘构件等符合鉴定要求的程度和部位，按下列情况确定：</w:t>
      </w:r>
    </w:p>
    <w:p w14:paraId="39D3AB85">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1</w:t>
      </w:r>
      <w:r>
        <w:rPr>
          <w:rFonts w:hint="default" w:ascii="Times New Roman" w:hAnsi="Times New Roman" w:eastAsia="宋体" w:cs="Times New Roman"/>
          <w:color w:val="auto"/>
          <w:sz w:val="24"/>
          <w:szCs w:val="24"/>
          <w:lang w:eastAsia="zh-CN"/>
        </w:rPr>
        <w:t xml:space="preserve"> 当各项构造均符合现行国家标准《建筑抗震设计标准》GB/T 50011的规定时，可取1.0。</w:t>
      </w:r>
    </w:p>
    <w:p w14:paraId="0B5F9C30">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2</w:t>
      </w:r>
      <w:r>
        <w:rPr>
          <w:rFonts w:hint="default" w:ascii="Times New Roman" w:hAnsi="Times New Roman" w:eastAsia="宋体" w:cs="Times New Roman"/>
          <w:color w:val="auto"/>
          <w:sz w:val="24"/>
          <w:szCs w:val="24"/>
          <w:lang w:eastAsia="zh-CN"/>
        </w:rPr>
        <w:t xml:space="preserve"> 对结构整体，当结构规则性不满足抗震鉴定要求时，上述数值尚宜乘以0.85~0.95；</w:t>
      </w:r>
    </w:p>
    <w:p w14:paraId="67D60ABF">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val="en-US" w:eastAsia="zh-CN"/>
        </w:rPr>
        <w:t>3</w:t>
      </w:r>
      <w:r>
        <w:rPr>
          <w:rFonts w:hint="default" w:ascii="Times New Roman" w:hAnsi="Times New Roman" w:eastAsia="宋体" w:cs="Times New Roman"/>
          <w:color w:val="auto"/>
          <w:sz w:val="24"/>
          <w:szCs w:val="24"/>
          <w:lang w:eastAsia="zh-CN"/>
        </w:rPr>
        <w:t xml:space="preserve"> 当结构受损伤或发生倾斜但已修复修正，上述数值尚宜乘以0.8~1.0。</w:t>
      </w:r>
    </w:p>
    <w:p w14:paraId="3F541775">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val="en-US" w:eastAsia="zh-CN"/>
        </w:rPr>
        <w:t>4</w:t>
      </w:r>
      <w:r>
        <w:rPr>
          <w:rFonts w:hint="default" w:ascii="Times New Roman" w:hAnsi="Times New Roman" w:eastAsia="宋体" w:cs="Times New Roman"/>
          <w:color w:val="auto"/>
          <w:sz w:val="24"/>
          <w:szCs w:val="24"/>
          <w:lang w:eastAsia="zh-CN"/>
        </w:rPr>
        <w:t xml:space="preserve"> 对构造均符合比抗震等级低一级的抗震设计规定的构件，上述数值尚宜乘以系数0.85~0.95。</w:t>
      </w:r>
    </w:p>
    <w:p w14:paraId="674A8986">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strike w:val="0"/>
          <w:dstrike w:val="0"/>
          <w:color w:val="auto"/>
          <w:sz w:val="24"/>
          <w:szCs w:val="24"/>
          <w:lang w:eastAsia="zh-CN"/>
        </w:rPr>
        <w:t>当各项构造略低于现行国家标准《建筑抗震设计标准》GB/T 50011的有关规定时，可通过性能化设计合理利用构造优势，但不得降低整体抗震性能。</w:t>
      </w:r>
    </w:p>
    <w:p w14:paraId="3CA0D16C">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条文说明：本条给出C类建筑参照A类建筑进行综合抗震承载能力验算时的体系影响系数。</w:t>
      </w:r>
    </w:p>
    <w:p w14:paraId="5B53E79E">
      <w:pPr>
        <w:keepNext w:val="0"/>
        <w:keepLines w:val="0"/>
        <w:pageBreakBefore w:val="0"/>
        <w:numPr>
          <w:ilvl w:val="0"/>
          <w:numId w:val="0"/>
        </w:numPr>
        <w:tabs>
          <w:tab w:val="left" w:pos="680"/>
          <w:tab w:val="left" w:pos="1134"/>
          <w:tab w:val="clear" w:pos="3261"/>
        </w:tabs>
        <w:wordWrap/>
        <w:overflowPunct/>
        <w:topLinePunct w:val="0"/>
        <w:bidi w:val="0"/>
        <w:adjustRightInd w:val="0"/>
        <w:spacing w:line="360" w:lineRule="exact"/>
        <w:ind w:left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II</w:t>
      </w:r>
      <w:r>
        <w:rPr>
          <w:rFonts w:hint="default" w:ascii="Times New Roman" w:hAnsi="Times New Roman" w:eastAsia="宋体" w:cs="Times New Roman"/>
          <w:color w:val="auto"/>
          <w:sz w:val="24"/>
          <w:szCs w:val="24"/>
          <w:lang w:eastAsia="zh-CN"/>
        </w:rPr>
        <w:t xml:space="preserve"> </w:t>
      </w:r>
      <w:r>
        <w:rPr>
          <w:rFonts w:hint="default" w:ascii="Times New Roman" w:hAnsi="Times New Roman" w:eastAsia="宋体" w:cs="Times New Roman"/>
          <w:color w:val="auto"/>
          <w:sz w:val="24"/>
          <w:szCs w:val="24"/>
        </w:rPr>
        <w:t>抗震加固</w:t>
      </w:r>
      <w:bookmarkEnd w:id="121"/>
    </w:p>
    <w:p w14:paraId="4869A853">
      <w:pPr>
        <w:keepNext w:val="0"/>
        <w:keepLines w:val="0"/>
        <w:pageBreakBefore w:val="0"/>
        <w:tabs>
          <w:tab w:val="left" w:pos="680"/>
          <w:tab w:val="left" w:pos="1134"/>
          <w:tab w:val="clear" w:pos="3261"/>
        </w:tabs>
        <w:wordWrap/>
        <w:overflowPunct/>
        <w:topLinePunct w:val="0"/>
        <w:bidi w:val="0"/>
        <w:adjustRightInd w:val="0"/>
        <w:spacing w:line="360" w:lineRule="exact"/>
        <w:jc w:val="left"/>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7</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rPr>
        <w:t>.1</w:t>
      </w:r>
      <w:r>
        <w:rPr>
          <w:rFonts w:hint="default" w:ascii="Times New Roman" w:hAnsi="Times New Roman" w:eastAsia="宋体" w:cs="Times New Roman"/>
          <w:b/>
          <w:bCs/>
          <w:color w:val="auto"/>
          <w:sz w:val="24"/>
          <w:szCs w:val="24"/>
          <w:lang w:val="en-US" w:eastAsia="zh-CN"/>
        </w:rPr>
        <w:t xml:space="preserve">0 </w:t>
      </w:r>
      <w:r>
        <w:rPr>
          <w:rFonts w:hint="default" w:ascii="Times New Roman" w:hAnsi="Times New Roman" w:eastAsia="宋体" w:cs="Times New Roman"/>
          <w:color w:val="auto"/>
          <w:sz w:val="24"/>
          <w:szCs w:val="24"/>
        </w:rPr>
        <w:t>本章适用于多层及高层现浇及装配整体式钢筋混凝土框架（包括填充墙框架）、框架-抗震墙结构以及抗震墙结构的抗震加固，其适用的最大高度和层数应符合《建筑抗震鉴定标准》GB 50023的有关规定。异形柱结构尚应符合《混凝土异形柱结构技术规程》的相关规定。</w:t>
      </w:r>
    </w:p>
    <w:p w14:paraId="440EA4F1">
      <w:pPr>
        <w:pStyle w:val="12"/>
        <w:keepNext w:val="0"/>
        <w:keepLines w:val="0"/>
        <w:pageBreakBefore w:val="0"/>
        <w:wordWrap/>
        <w:overflowPunct/>
        <w:topLinePunct w:val="0"/>
        <w:bidi w:val="0"/>
        <w:spacing w:line="360" w:lineRule="exact"/>
        <w:ind w:firstLine="42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钢筋混凝土结构房屋的抗震等级，B类房屋应符合《既有建筑鉴定与加固通用规范》GB 55021和《建筑抗震鉴定标准》GB 50023的有关规定；C类房屋应符合《既有建筑鉴定与加固通用规范》GB 55021及《建筑抗震设计标准》GB/T 50011的有关规定。</w:t>
      </w:r>
    </w:p>
    <w:p w14:paraId="7A0EDC45">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条文说明：本章与《建筑抗震鉴定标准》GB 50023-2009第6章有密切联系，可直接引用的计算公式和系数不再重复。其适用的最大高度和层数，以及所属的抗震等级，需依据其后续工作年限的不同，分别由现行国家标准《建筑抗震鉴定标准》GB 50023-2009第6章和《建筑抗震设计标准》GB/T 50011（2024年版）第6章予以规定。</w:t>
      </w:r>
    </w:p>
    <w:p w14:paraId="64B5D75E">
      <w:pPr>
        <w:pStyle w:val="42"/>
        <w:keepNext w:val="0"/>
        <w:keepLines w:val="0"/>
        <w:pageBreakBefore w:val="0"/>
        <w:numPr>
          <w:ilvl w:val="0"/>
          <w:numId w:val="0"/>
        </w:numPr>
        <w:tabs>
          <w:tab w:val="left" w:pos="680"/>
          <w:tab w:val="left" w:pos="1134"/>
        </w:tabs>
        <w:wordWrap/>
        <w:overflowPunct/>
        <w:topLinePunct w:val="0"/>
        <w:bidi w:val="0"/>
        <w:adjustRightInd w:val="0"/>
        <w:spacing w:line="360" w:lineRule="exact"/>
        <w:ind w:leftChars="0"/>
        <w:jc w:val="left"/>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7.1.11</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既有钢筋混凝土结构房屋的抗震加固应符合下列要求：</w:t>
      </w:r>
    </w:p>
    <w:p w14:paraId="15FB3B5A">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1</w:t>
      </w:r>
      <w:r>
        <w:rPr>
          <w:rFonts w:hint="default" w:ascii="Times New Roman" w:hAnsi="Times New Roman" w:eastAsia="宋体" w:cs="Times New Roman"/>
          <w:color w:val="auto"/>
          <w:sz w:val="24"/>
          <w:szCs w:val="24"/>
          <w:lang w:eastAsia="zh-CN"/>
        </w:rPr>
        <w:t xml:space="preserve"> 抗震加固时应根据房屋的实际情况选择加固方案，分别采用主要提高结构构件抗震承载力、主要增强结构变形能力或改变框架结构体系的方案。</w:t>
      </w:r>
    </w:p>
    <w:p w14:paraId="084B34A5">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bookmarkStart w:id="122" w:name="_Toc28834"/>
      <w:r>
        <w:rPr>
          <w:rFonts w:hint="default" w:ascii="Times New Roman" w:hAnsi="Times New Roman" w:eastAsia="宋体" w:cs="Times New Roman"/>
          <w:b/>
          <w:color w:val="auto"/>
          <w:sz w:val="24"/>
          <w:szCs w:val="24"/>
          <w:lang w:eastAsia="zh-CN"/>
        </w:rPr>
        <w:t xml:space="preserve">2 </w:t>
      </w:r>
      <w:r>
        <w:rPr>
          <w:rFonts w:hint="default" w:ascii="Times New Roman" w:hAnsi="Times New Roman" w:eastAsia="宋体" w:cs="Times New Roman"/>
          <w:color w:val="auto"/>
          <w:sz w:val="24"/>
          <w:szCs w:val="24"/>
          <w:lang w:eastAsia="zh-CN"/>
        </w:rPr>
        <w:t>加固后的框架应避免形成短柱、短梁或强梁弱柱。</w:t>
      </w:r>
      <w:bookmarkEnd w:id="122"/>
    </w:p>
    <w:p w14:paraId="1CE9F469">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lang w:eastAsia="zh-CN"/>
        </w:rPr>
        <w:t xml:space="preserve">3 </w:t>
      </w:r>
      <w:r>
        <w:rPr>
          <w:rFonts w:hint="default" w:ascii="Times New Roman" w:hAnsi="Times New Roman" w:eastAsia="宋体" w:cs="Times New Roman"/>
          <w:color w:val="auto"/>
          <w:sz w:val="24"/>
          <w:szCs w:val="24"/>
          <w:lang w:eastAsia="zh-CN"/>
        </w:rPr>
        <w:t>采用综合抗震能力指数验算时，加固后楼层屈服强度系数、体系影响系数和局部影响系数应根据房屋加固后的状态计算和取值。</w:t>
      </w:r>
    </w:p>
    <w:p w14:paraId="06D372C3">
      <w:pPr>
        <w:pStyle w:val="3"/>
        <w:bidi w:val="0"/>
        <w:rPr>
          <w:rFonts w:hint="default"/>
          <w:lang w:val="en-US" w:eastAsia="zh-CN"/>
        </w:rPr>
      </w:pPr>
      <w:bookmarkStart w:id="123" w:name="_Toc29775"/>
      <w:r>
        <w:rPr>
          <w:rFonts w:hint="default"/>
          <w:lang w:val="en-US" w:eastAsia="zh-CN"/>
        </w:rPr>
        <w:t>7.2</w:t>
      </w:r>
      <w:r>
        <w:rPr>
          <w:rFonts w:hint="default"/>
        </w:rPr>
        <w:t xml:space="preserve"> 抗震加固</w:t>
      </w:r>
      <w:r>
        <w:rPr>
          <w:rFonts w:hint="default"/>
          <w:lang w:val="en-US" w:eastAsia="zh-CN"/>
        </w:rPr>
        <w:t>方法</w:t>
      </w:r>
      <w:bookmarkEnd w:id="123"/>
    </w:p>
    <w:p w14:paraId="770AE278">
      <w:pPr>
        <w:keepNext w:val="0"/>
        <w:keepLines w:val="0"/>
        <w:pageBreakBefore w:val="0"/>
        <w:tabs>
          <w:tab w:val="left" w:pos="680"/>
          <w:tab w:val="left" w:pos="1134"/>
          <w:tab w:val="clear" w:pos="3261"/>
        </w:tabs>
        <w:wordWrap/>
        <w:overflowPunct/>
        <w:topLinePunct w:val="0"/>
        <w:bidi w:val="0"/>
        <w:adjustRightInd w:val="0"/>
        <w:spacing w:line="360" w:lineRule="exact"/>
        <w:jc w:val="left"/>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7</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 xml:space="preserve">1 </w:t>
      </w:r>
      <w:r>
        <w:rPr>
          <w:rFonts w:hint="default" w:ascii="Times New Roman" w:hAnsi="Times New Roman" w:eastAsia="宋体" w:cs="Times New Roman"/>
          <w:color w:val="auto"/>
          <w:sz w:val="24"/>
          <w:szCs w:val="24"/>
        </w:rPr>
        <w:t>既有钢筋混凝土结构房屋的结构体系、抗震措施和抗震承载力不满足要求时，可选择下列加固方法：</w:t>
      </w:r>
    </w:p>
    <w:p w14:paraId="671A94AC">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 xml:space="preserve">1 </w:t>
      </w:r>
      <w:r>
        <w:rPr>
          <w:rFonts w:hint="default" w:ascii="Times New Roman" w:hAnsi="Times New Roman" w:eastAsia="宋体" w:cs="Times New Roman"/>
          <w:color w:val="auto"/>
          <w:sz w:val="24"/>
          <w:szCs w:val="24"/>
          <w:lang w:eastAsia="zh-CN"/>
        </w:rPr>
        <w:t>框架结构</w:t>
      </w:r>
      <w:r>
        <w:rPr>
          <w:rFonts w:hint="default" w:ascii="Times New Roman" w:hAnsi="Times New Roman" w:eastAsia="宋体" w:cs="Times New Roman"/>
          <w:color w:val="auto"/>
          <w:sz w:val="24"/>
          <w:szCs w:val="24"/>
          <w:lang w:val="en-US" w:eastAsia="zh-CN"/>
        </w:rPr>
        <w:t>可</w:t>
      </w:r>
      <w:r>
        <w:rPr>
          <w:rFonts w:hint="default" w:ascii="Times New Roman" w:hAnsi="Times New Roman" w:eastAsia="宋体" w:cs="Times New Roman"/>
          <w:color w:val="auto"/>
          <w:sz w:val="24"/>
          <w:szCs w:val="24"/>
          <w:lang w:eastAsia="zh-CN"/>
        </w:rPr>
        <w:t>采用消能减震技术或隔震技术加固，也可采取增设抗震墙、抗震支撑等抗侧力构件的措施，增强结构整体抗震性能。新增抗震墙、抗震支撑宜优先设置在楼梯间四周，以减小楼梯构件地震反应。</w:t>
      </w:r>
    </w:p>
    <w:p w14:paraId="40976EB6">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 xml:space="preserve">2 </w:t>
      </w:r>
      <w:r>
        <w:rPr>
          <w:rFonts w:hint="default" w:ascii="Times New Roman" w:hAnsi="Times New Roman" w:eastAsia="宋体" w:cs="Times New Roman"/>
          <w:color w:val="auto"/>
          <w:sz w:val="24"/>
          <w:szCs w:val="24"/>
          <w:lang w:eastAsia="zh-CN"/>
        </w:rPr>
        <w:t>单向框架应加固，或改为双向框架，或采取加强楼、屋盖整体性且同时增设抗震墙、抗震支撑等抗侧力构件的措施。</w:t>
      </w:r>
    </w:p>
    <w:p w14:paraId="4F170588">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3</w:t>
      </w:r>
      <w:r>
        <w:rPr>
          <w:rFonts w:hint="default" w:ascii="Times New Roman" w:hAnsi="Times New Roman" w:eastAsia="宋体" w:cs="Times New Roman"/>
          <w:color w:val="auto"/>
          <w:sz w:val="24"/>
          <w:szCs w:val="24"/>
          <w:lang w:eastAsia="zh-CN"/>
        </w:rPr>
        <w:t xml:space="preserve"> 单跨框架不符合抗震鉴定要求时，应在不大于框架-抗震墙结构的抗震墙最大间距且不大于24m的间距内增设抗震墙、翼墙、抗震支撑等抗侧力构件或将对应轴线的单跨框架改为多跨框架。</w:t>
      </w:r>
    </w:p>
    <w:p w14:paraId="5F39F020">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 xml:space="preserve">4 </w:t>
      </w:r>
      <w:r>
        <w:rPr>
          <w:rFonts w:hint="default" w:ascii="Times New Roman" w:hAnsi="Times New Roman" w:eastAsia="宋体" w:cs="Times New Roman"/>
          <w:color w:val="auto"/>
          <w:sz w:val="24"/>
          <w:szCs w:val="24"/>
          <w:lang w:eastAsia="zh-CN"/>
        </w:rPr>
        <w:t>框架结构房屋刚度不足、明显不均匀或有明显的扭转效应时，可增设钢筋混凝土抗震墙或翼墙加固，也可采用增设型钢或消能支撑进行加固。</w:t>
      </w:r>
    </w:p>
    <w:p w14:paraId="7B8F5B5B">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 xml:space="preserve">5 </w:t>
      </w:r>
      <w:r>
        <w:rPr>
          <w:rFonts w:hint="default" w:ascii="Times New Roman" w:hAnsi="Times New Roman" w:eastAsia="宋体" w:cs="Times New Roman"/>
          <w:color w:val="auto"/>
          <w:sz w:val="24"/>
          <w:szCs w:val="24"/>
          <w:lang w:eastAsia="zh-CN"/>
        </w:rPr>
        <w:t>当框架梁柱实际受弯承载力</w:t>
      </w:r>
      <w:r>
        <w:rPr>
          <w:rFonts w:hint="default" w:ascii="Times New Roman" w:hAnsi="Times New Roman" w:eastAsia="宋体" w:cs="Times New Roman"/>
          <w:color w:val="auto"/>
          <w:sz w:val="24"/>
          <w:szCs w:val="24"/>
          <w:lang w:val="en-US" w:eastAsia="zh-CN"/>
        </w:rPr>
        <w:t>的关系</w:t>
      </w:r>
      <w:r>
        <w:rPr>
          <w:rFonts w:hint="default" w:ascii="Times New Roman" w:hAnsi="Times New Roman" w:eastAsia="宋体" w:cs="Times New Roman"/>
          <w:color w:val="auto"/>
          <w:sz w:val="24"/>
          <w:szCs w:val="24"/>
          <w:lang w:eastAsia="zh-CN"/>
        </w:rPr>
        <w:t>不符合抗震鉴定要求时，可采用钢构套、现浇钢筋混凝土套或粘贴钢板等加固框架柱；也可通过罕遇地震下的弹塑性变形验算确定对策。</w:t>
      </w:r>
    </w:p>
    <w:p w14:paraId="17621D8E">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6</w:t>
      </w:r>
      <w:r>
        <w:rPr>
          <w:rFonts w:hint="default" w:ascii="Times New Roman" w:hAnsi="Times New Roman" w:eastAsia="宋体" w:cs="Times New Roman"/>
          <w:color w:val="auto"/>
          <w:sz w:val="24"/>
          <w:szCs w:val="24"/>
          <w:lang w:eastAsia="zh-CN"/>
        </w:rPr>
        <w:t xml:space="preserve"> 框架梁柱配筋不符合鉴定要求时，可采用钢构套、现浇钢筋混凝土套或粘贴钢板、碳纤维布、钢绞线网-聚合物砂浆面层等加固。</w:t>
      </w:r>
    </w:p>
    <w:p w14:paraId="718399AA">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7</w:t>
      </w:r>
      <w:r>
        <w:rPr>
          <w:rFonts w:hint="default" w:ascii="Times New Roman" w:hAnsi="Times New Roman" w:eastAsia="宋体" w:cs="Times New Roman"/>
          <w:color w:val="auto"/>
          <w:sz w:val="24"/>
          <w:szCs w:val="24"/>
          <w:lang w:eastAsia="zh-CN"/>
        </w:rPr>
        <w:t xml:space="preserve"> 框架柱轴压比不符合鉴定要求时，可采用现浇钢筋混凝土套等加固。</w:t>
      </w:r>
    </w:p>
    <w:p w14:paraId="791CAC4B">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8</w:t>
      </w:r>
      <w:r>
        <w:rPr>
          <w:rFonts w:hint="default" w:ascii="Times New Roman" w:hAnsi="Times New Roman" w:eastAsia="宋体" w:cs="Times New Roman"/>
          <w:color w:val="auto"/>
          <w:sz w:val="24"/>
          <w:szCs w:val="24"/>
          <w:lang w:eastAsia="zh-CN"/>
        </w:rPr>
        <w:t xml:space="preserve"> 钢筋混凝土抗震墙配筋不符合鉴定要求时，可加厚原有墙体或增设端柱、墙体等。</w:t>
      </w:r>
    </w:p>
    <w:p w14:paraId="4BF70FC7">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9</w:t>
      </w:r>
      <w:r>
        <w:rPr>
          <w:rFonts w:hint="default" w:ascii="Times New Roman" w:hAnsi="Times New Roman" w:eastAsia="宋体" w:cs="Times New Roman"/>
          <w:color w:val="auto"/>
          <w:sz w:val="24"/>
          <w:szCs w:val="24"/>
          <w:lang w:eastAsia="zh-CN"/>
        </w:rPr>
        <w:t xml:space="preserve"> 当楼梯构件不符合鉴定要求时，可采用粘贴钢板、碳纤维布、钢绞线网-聚合物砂浆面层等加固。</w:t>
      </w:r>
    </w:p>
    <w:p w14:paraId="41C740BD">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10</w:t>
      </w:r>
      <w:r>
        <w:rPr>
          <w:rFonts w:hint="default" w:ascii="Times New Roman" w:hAnsi="Times New Roman" w:eastAsia="宋体" w:cs="Times New Roman"/>
          <w:color w:val="auto"/>
          <w:sz w:val="24"/>
          <w:szCs w:val="24"/>
          <w:lang w:eastAsia="zh-CN"/>
        </w:rPr>
        <w:t xml:space="preserve"> 学校、幼儿园、医院、养老机构、儿童福利机构、应急指挥中心、应急避难场所、广播电视等建筑，以及因设防类别提高或者地震动参数调整，导致钢筋混凝土房屋的主体结构抗震能力验算和抗震措施不符合鉴定要求时，</w:t>
      </w:r>
      <w:r>
        <w:rPr>
          <w:rFonts w:hint="default" w:ascii="Times New Roman" w:hAnsi="Times New Roman" w:eastAsia="宋体" w:cs="Times New Roman"/>
          <w:color w:val="auto"/>
          <w:sz w:val="24"/>
          <w:szCs w:val="24"/>
          <w:lang w:val="en-US" w:eastAsia="zh-CN"/>
        </w:rPr>
        <w:t>优先</w:t>
      </w:r>
      <w:r>
        <w:rPr>
          <w:rFonts w:hint="default" w:ascii="Times New Roman" w:hAnsi="Times New Roman" w:eastAsia="宋体" w:cs="Times New Roman"/>
          <w:color w:val="auto"/>
          <w:sz w:val="24"/>
          <w:szCs w:val="24"/>
          <w:lang w:eastAsia="zh-CN"/>
        </w:rPr>
        <w:t>采用消能减震技术或隔震技术加固。</w:t>
      </w:r>
    </w:p>
    <w:p w14:paraId="54A6F325">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条文说明：钢构套加固和现浇混凝土套加固，是提高梁柱承载力、改善结构延性的切实可行的方法；当仅加固框架柱时，还可提高“强柱弱梁”的程度。</w:t>
      </w:r>
    </w:p>
    <w:p w14:paraId="4BE74D62">
      <w:pPr>
        <w:keepNext w:val="0"/>
        <w:keepLines w:val="0"/>
        <w:pageBreakBefore w:val="0"/>
        <w:widowControl w:val="0"/>
        <w:tabs>
          <w:tab w:val="left" w:pos="680"/>
          <w:tab w:val="left" w:pos="1134"/>
          <w:tab w:val="clear" w:pos="3261"/>
        </w:tabs>
        <w:kinsoku/>
        <w:wordWrap/>
        <w:overflowPunct/>
        <w:topLinePunct w:val="0"/>
        <w:autoSpaceDE/>
        <w:autoSpaceDN/>
        <w:bidi w:val="0"/>
        <w:adjustRightInd w:val="0"/>
        <w:snapToGrid/>
        <w:spacing w:line="360" w:lineRule="exact"/>
        <w:textAlignment w:val="auto"/>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7.2.2 既有建筑的高度和层数超过规定限值时，对框架结构可沿纵横方向增设一定数量的抗震墙或支撑，改变其结构形式，或采用降低高度、减少层数等方式进行加固；也可采用抗震性能化设计方法进行抗震加固。</w:t>
      </w:r>
    </w:p>
    <w:p w14:paraId="2A66812B">
      <w:pPr>
        <w:keepNext w:val="0"/>
        <w:keepLines w:val="0"/>
        <w:pageBreakBefore w:val="0"/>
        <w:widowControl w:val="0"/>
        <w:tabs>
          <w:tab w:val="left" w:pos="680"/>
          <w:tab w:val="left" w:pos="1134"/>
          <w:tab w:val="clear" w:pos="3261"/>
        </w:tabs>
        <w:kinsoku/>
        <w:wordWrap/>
        <w:overflowPunct/>
        <w:topLinePunct w:val="0"/>
        <w:autoSpaceDE/>
        <w:autoSpaceDN/>
        <w:bidi w:val="0"/>
        <w:adjustRightInd w:val="0"/>
        <w:snapToGrid/>
        <w:spacing w:line="360" w:lineRule="exact"/>
        <w:jc w:val="left"/>
        <w:textAlignment w:val="auto"/>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既有建筑结构为特别不规则的结构时，可采用抗震性能化设计方法进行计算分析，并根据计算结果采用改变结构体系、增设抗侧力构件等方式进行加固处理。</w:t>
      </w:r>
    </w:p>
    <w:p w14:paraId="492B1319">
      <w:pPr>
        <w:keepNext w:val="0"/>
        <w:keepLines w:val="0"/>
        <w:pageBreakBefore w:val="0"/>
        <w:widowControl w:val="0"/>
        <w:tabs>
          <w:tab w:val="left" w:pos="680"/>
          <w:tab w:val="left" w:pos="1134"/>
          <w:tab w:val="clear" w:pos="3261"/>
        </w:tabs>
        <w:kinsoku/>
        <w:wordWrap/>
        <w:overflowPunct/>
        <w:topLinePunct w:val="0"/>
        <w:autoSpaceDE/>
        <w:autoSpaceDN/>
        <w:bidi w:val="0"/>
        <w:adjustRightInd w:val="0"/>
        <w:snapToGrid/>
        <w:spacing w:line="360" w:lineRule="exact"/>
        <w:jc w:val="left"/>
        <w:textAlignment w:val="auto"/>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7.2.3 当钢筋混凝土梁柱节点核心区箍筋不满足要求时，可在节点区采用外包钢及等代螺杆的方法进行加固，也可采用增设柱帽的方法进行加固。</w:t>
      </w:r>
    </w:p>
    <w:p w14:paraId="7F1E4B1E">
      <w:pPr>
        <w:keepNext w:val="0"/>
        <w:keepLines w:val="0"/>
        <w:pageBreakBefore w:val="0"/>
        <w:tabs>
          <w:tab w:val="left" w:pos="680"/>
          <w:tab w:val="left" w:pos="1134"/>
          <w:tab w:val="clear" w:pos="3261"/>
        </w:tabs>
        <w:wordWrap/>
        <w:overflowPunct/>
        <w:topLinePunct w:val="0"/>
        <w:bidi w:val="0"/>
        <w:adjustRightInd w:val="0"/>
        <w:spacing w:line="360" w:lineRule="exact"/>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7.2.4 局部钢筋混凝土承重构件受压区混凝土强度偏低或有严重缺陷时，可选择采用置换混凝土加固法。</w:t>
      </w:r>
    </w:p>
    <w:p w14:paraId="5D384A62">
      <w:pPr>
        <w:keepNext w:val="0"/>
        <w:keepLines w:val="0"/>
        <w:pageBreakBefore w:val="0"/>
        <w:tabs>
          <w:tab w:val="left" w:pos="680"/>
          <w:tab w:val="left" w:pos="1134"/>
          <w:tab w:val="clear" w:pos="3261"/>
        </w:tabs>
        <w:wordWrap/>
        <w:overflowPunct/>
        <w:topLinePunct w:val="0"/>
        <w:bidi w:val="0"/>
        <w:adjustRightInd w:val="0"/>
        <w:spacing w:line="360" w:lineRule="exact"/>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7.2.5 钢筋混凝土构件有局部损伤时，可采用细石混凝土修复；出现裂缝时，可灌注水泥基灌浆料等补强。</w:t>
      </w:r>
    </w:p>
    <w:p w14:paraId="6D373B86">
      <w:pPr>
        <w:keepNext w:val="0"/>
        <w:keepLines w:val="0"/>
        <w:pageBreakBefore w:val="0"/>
        <w:widowControl w:val="0"/>
        <w:tabs>
          <w:tab w:val="left" w:pos="680"/>
          <w:tab w:val="left" w:pos="1134"/>
          <w:tab w:val="clear" w:pos="3261"/>
        </w:tabs>
        <w:kinsoku/>
        <w:wordWrap/>
        <w:overflowPunct/>
        <w:topLinePunct w:val="0"/>
        <w:autoSpaceDE/>
        <w:autoSpaceDN/>
        <w:bidi w:val="0"/>
        <w:adjustRightInd w:val="0"/>
        <w:snapToGrid/>
        <w:spacing w:line="360" w:lineRule="exact"/>
        <w:textAlignment w:val="auto"/>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7.2.6 体外预应力加固法可用于下列情况的混凝土构件的加固：</w:t>
      </w:r>
    </w:p>
    <w:p w14:paraId="55D63A75">
      <w:pPr>
        <w:keepNext w:val="0"/>
        <w:keepLines w:val="0"/>
        <w:pageBreakBefore w:val="0"/>
        <w:widowControl w:val="0"/>
        <w:tabs>
          <w:tab w:val="left" w:pos="680"/>
          <w:tab w:val="left" w:pos="1134"/>
          <w:tab w:val="clear" w:pos="3261"/>
        </w:tabs>
        <w:kinsoku/>
        <w:wordWrap/>
        <w:overflowPunct/>
        <w:topLinePunct w:val="0"/>
        <w:autoSpaceDE/>
        <w:autoSpaceDN/>
        <w:bidi w:val="0"/>
        <w:adjustRightInd w:val="0"/>
        <w:snapToGrid/>
        <w:spacing w:line="360" w:lineRule="exact"/>
        <w:ind w:firstLine="480" w:firstLineChars="200"/>
        <w:textAlignment w:val="auto"/>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1 提高结构与构件的刚度和承载能力；</w:t>
      </w:r>
    </w:p>
    <w:p w14:paraId="70F39BBC">
      <w:pPr>
        <w:keepNext w:val="0"/>
        <w:keepLines w:val="0"/>
        <w:pageBreakBefore w:val="0"/>
        <w:widowControl w:val="0"/>
        <w:tabs>
          <w:tab w:val="left" w:pos="680"/>
          <w:tab w:val="left" w:pos="1134"/>
          <w:tab w:val="clear" w:pos="3261"/>
        </w:tabs>
        <w:kinsoku/>
        <w:wordWrap/>
        <w:overflowPunct/>
        <w:topLinePunct w:val="0"/>
        <w:autoSpaceDE/>
        <w:autoSpaceDN/>
        <w:bidi w:val="0"/>
        <w:adjustRightInd w:val="0"/>
        <w:snapToGrid/>
        <w:spacing w:line="360" w:lineRule="exact"/>
        <w:ind w:firstLine="480" w:firstLineChars="200"/>
        <w:textAlignment w:val="auto"/>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2 减小结构构件正常使用中的变形或裂缝宽度；</w:t>
      </w:r>
    </w:p>
    <w:p w14:paraId="384F826B">
      <w:pPr>
        <w:keepNext w:val="0"/>
        <w:keepLines w:val="0"/>
        <w:pageBreakBefore w:val="0"/>
        <w:widowControl w:val="0"/>
        <w:tabs>
          <w:tab w:val="left" w:pos="680"/>
          <w:tab w:val="left" w:pos="1134"/>
          <w:tab w:val="clear" w:pos="3261"/>
        </w:tabs>
        <w:kinsoku/>
        <w:wordWrap/>
        <w:overflowPunct/>
        <w:topLinePunct w:val="0"/>
        <w:autoSpaceDE/>
        <w:autoSpaceDN/>
        <w:bidi w:val="0"/>
        <w:adjustRightInd w:val="0"/>
        <w:snapToGrid/>
        <w:spacing w:line="360" w:lineRule="exact"/>
        <w:ind w:firstLine="480" w:firstLineChars="200"/>
        <w:textAlignment w:val="auto"/>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3 加固后占用空间小；</w:t>
      </w:r>
    </w:p>
    <w:p w14:paraId="759C8860">
      <w:pPr>
        <w:keepNext w:val="0"/>
        <w:keepLines w:val="0"/>
        <w:pageBreakBefore w:val="0"/>
        <w:widowControl w:val="0"/>
        <w:tabs>
          <w:tab w:val="left" w:pos="680"/>
          <w:tab w:val="left" w:pos="1134"/>
          <w:tab w:val="clear" w:pos="3261"/>
        </w:tabs>
        <w:kinsoku/>
        <w:wordWrap/>
        <w:overflowPunct/>
        <w:topLinePunct w:val="0"/>
        <w:autoSpaceDE/>
        <w:autoSpaceDN/>
        <w:bidi w:val="0"/>
        <w:adjustRightInd w:val="0"/>
        <w:snapToGrid/>
        <w:spacing w:line="360" w:lineRule="exact"/>
        <w:ind w:firstLine="480" w:firstLineChars="200"/>
        <w:textAlignment w:val="auto"/>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4 既有结构处于高应力、应变状态，且难以直接卸除结构上的荷载；</w:t>
      </w:r>
    </w:p>
    <w:p w14:paraId="1BBAAB48">
      <w:pPr>
        <w:keepNext w:val="0"/>
        <w:keepLines w:val="0"/>
        <w:pageBreakBefore w:val="0"/>
        <w:widowControl w:val="0"/>
        <w:tabs>
          <w:tab w:val="left" w:pos="680"/>
          <w:tab w:val="left" w:pos="1134"/>
          <w:tab w:val="clear" w:pos="3261"/>
        </w:tabs>
        <w:kinsoku/>
        <w:wordWrap/>
        <w:overflowPunct/>
        <w:topLinePunct w:val="0"/>
        <w:autoSpaceDE/>
        <w:autoSpaceDN/>
        <w:bidi w:val="0"/>
        <w:adjustRightInd w:val="0"/>
        <w:snapToGrid/>
        <w:spacing w:line="360" w:lineRule="exact"/>
        <w:ind w:firstLine="480" w:firstLineChars="200"/>
        <w:textAlignment w:val="auto"/>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5 混凝土收缩或徐变小及其他特殊情况。</w:t>
      </w:r>
    </w:p>
    <w:p w14:paraId="4AAF6C10">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体外预应力加固混凝土结构区别于其他方法（增大截面法、粘钢法、粘贴碳纤维等方法），可以有效提高构件承载力，还可以有效提高截面的抗裂性和通过等效荷载减小构件的挠度，属于主动加固方式。</w:t>
      </w:r>
    </w:p>
    <w:p w14:paraId="21161037">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另外体外预应力筋设置在混凝土外，便于检测、重新张拉和更换，可以保证预应力筋的应力水平及结构的可靠性，延长结构寿命。也可采用外加预应力的钢拉杆包括水平拉杆、下撑式拉杆、组合式拉杆及撑杆等。混凝土结构的体外预应力加固设计应考虑施工工艺的可行性，合理选用预应力加固方案，保证受力合理，施工方便。</w:t>
      </w:r>
    </w:p>
    <w:p w14:paraId="7ED15B1F">
      <w:pPr>
        <w:keepNext w:val="0"/>
        <w:keepLines w:val="0"/>
        <w:pageBreakBefore w:val="0"/>
        <w:tabs>
          <w:tab w:val="left" w:pos="680"/>
          <w:tab w:val="left" w:pos="1134"/>
          <w:tab w:val="clear" w:pos="3261"/>
        </w:tabs>
        <w:wordWrap/>
        <w:overflowPunct/>
        <w:topLinePunct w:val="0"/>
        <w:bidi w:val="0"/>
        <w:adjustRightInd w:val="0"/>
        <w:spacing w:line="360" w:lineRule="exact"/>
        <w:jc w:val="left"/>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7.2.7 新增的大跨度构件等，与原结构连接的关键节点的纵向受拉钢筋应采取可靠锚固方式，优先采用机械锚固，不宜全部采用植筋的锚固方式。新增的大悬挑构件，应根据具体情况采用深入内跨混凝土构件锚固。</w:t>
      </w:r>
    </w:p>
    <w:p w14:paraId="4B654182">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对于新增跨度较大的悬臂梁的支座节点，不应采用主要依靠植筋的方法提供梁根部受拉纵筋的锚固，而应根据具体情况采用伸入内跨混凝土构件锚固、焊接或螺栓锚固（图7.2.7a）、加设包柱式柱帽锚固（图7.2.7b）等更加可靠的受拉纵筋锚固方法。当新加构件或加固构件的宽度足够或采用双梁结构时，受拉纵筋宜在柱帽内环绕柱身闭合锚固（图7.2.7c）。</w:t>
      </w:r>
    </w:p>
    <w:p w14:paraId="4B5FCB5A">
      <w:pPr>
        <w:keepNext w:val="0"/>
        <w:keepLines w:val="0"/>
        <w:pageBreakBefore w:val="0"/>
        <w:wordWrap/>
        <w:overflowPunct/>
        <w:topLinePunct w:val="0"/>
        <w:bidi w:val="0"/>
        <w:spacing w:before="68" w:line="360" w:lineRule="exact"/>
        <w:jc w:val="both"/>
        <w:rPr>
          <w:rFonts w:hint="default" w:ascii="Times New Roman" w:hAnsi="Times New Roman" w:eastAsia="宋体" w:cs="Times New Roman"/>
          <w:color w:val="auto"/>
          <w:sz w:val="24"/>
          <w:szCs w:val="24"/>
        </w:rPr>
      </w:pPr>
    </w:p>
    <w:p w14:paraId="063E3C98">
      <w:pPr>
        <w:keepNext w:val="0"/>
        <w:keepLines w:val="0"/>
        <w:pageBreakBefore w:val="0"/>
        <w:wordWrap/>
        <w:overflowPunct/>
        <w:topLinePunct w:val="0"/>
        <w:bidi w:val="0"/>
        <w:spacing w:before="68" w:line="360" w:lineRule="exact"/>
        <w:jc w:val="both"/>
        <w:rPr>
          <w:rFonts w:hint="default" w:ascii="Times New Roman" w:hAnsi="Times New Roman" w:eastAsia="宋体" w:cs="Times New Roman"/>
          <w:color w:val="auto"/>
          <w:sz w:val="24"/>
          <w:szCs w:val="24"/>
        </w:rPr>
      </w:pPr>
    </w:p>
    <w:p w14:paraId="6FDEA9BB">
      <w:pPr>
        <w:keepNext w:val="0"/>
        <w:keepLines w:val="0"/>
        <w:pageBreakBefore w:val="0"/>
        <w:wordWrap/>
        <w:overflowPunct/>
        <w:topLinePunct w:val="0"/>
        <w:bidi w:val="0"/>
        <w:spacing w:before="68" w:line="360" w:lineRule="exact"/>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position w:val="-74"/>
          <w:sz w:val="24"/>
          <w:szCs w:val="24"/>
        </w:rPr>
        <w:drawing>
          <wp:anchor distT="0" distB="0" distL="0" distR="0" simplePos="0" relativeHeight="251662336" behindDoc="0" locked="0" layoutInCell="1" allowOverlap="1">
            <wp:simplePos x="0" y="0"/>
            <wp:positionH relativeFrom="column">
              <wp:posOffset>546735</wp:posOffset>
            </wp:positionH>
            <wp:positionV relativeFrom="paragraph">
              <wp:posOffset>321945</wp:posOffset>
            </wp:positionV>
            <wp:extent cx="5142230" cy="2352040"/>
            <wp:effectExtent l="0" t="0" r="1270" b="10160"/>
            <wp:wrapTopAndBottom/>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281"/>
                    <a:stretch>
                      <a:fillRect/>
                    </a:stretch>
                  </pic:blipFill>
                  <pic:spPr>
                    <a:xfrm>
                      <a:off x="0" y="0"/>
                      <a:ext cx="5142230" cy="2352294"/>
                    </a:xfrm>
                    <a:prstGeom prst="rect">
                      <a:avLst/>
                    </a:prstGeom>
                  </pic:spPr>
                </pic:pic>
              </a:graphicData>
            </a:graphic>
          </wp:anchor>
        </w:drawing>
      </w:r>
    </w:p>
    <w:p w14:paraId="52AED716">
      <w:pPr>
        <w:pStyle w:val="65"/>
        <w:keepNext w:val="0"/>
        <w:keepLines w:val="0"/>
        <w:pageBreakBefore w:val="0"/>
        <w:wordWrap/>
        <w:overflowPunct/>
        <w:topLinePunct w:val="0"/>
        <w:bidi w:val="0"/>
        <w:spacing w:line="3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（a）螺栓或焊接锚固       （b）加设柱帽锚固         （c）纵筋环柱锚固</w:t>
      </w:r>
    </w:p>
    <w:p w14:paraId="406C7E5F">
      <w:pPr>
        <w:pStyle w:val="65"/>
        <w:keepNext w:val="0"/>
        <w:keepLines w:val="0"/>
        <w:pageBreakBefore w:val="0"/>
        <w:wordWrap/>
        <w:overflowPunct/>
        <w:topLinePunct w:val="0"/>
        <w:bidi w:val="0"/>
        <w:spacing w:line="360" w:lineRule="exac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图</w:t>
      </w:r>
      <w:r>
        <w:rPr>
          <w:rFonts w:hint="default" w:ascii="Times New Roman" w:hAnsi="Times New Roman" w:eastAsia="宋体" w:cs="Times New Roman"/>
          <w:color w:val="auto"/>
          <w:sz w:val="24"/>
          <w:szCs w:val="24"/>
          <w:lang w:eastAsia="zh-CN"/>
        </w:rPr>
        <w:t>7.</w:t>
      </w:r>
      <w:r>
        <w:rPr>
          <w:rFonts w:hint="default" w:ascii="Times New Roman" w:hAnsi="Times New Roman" w:eastAsia="宋体" w:cs="Times New Roman"/>
          <w:color w:val="auto"/>
          <w:sz w:val="24"/>
          <w:szCs w:val="24"/>
          <w:lang w:val="en-US" w:eastAsia="zh-CN"/>
        </w:rPr>
        <w:t>2.7</w:t>
      </w:r>
      <w:r>
        <w:rPr>
          <w:rFonts w:hint="default" w:ascii="Times New Roman" w:hAnsi="Times New Roman" w:eastAsia="宋体" w:cs="Times New Roman"/>
          <w:color w:val="auto"/>
          <w:sz w:val="24"/>
          <w:szCs w:val="24"/>
        </w:rPr>
        <w:t xml:space="preserve"> 悬臂梁、受拉构件的受拉纵筋锚固方法</w:t>
      </w:r>
    </w:p>
    <w:p w14:paraId="1832E131">
      <w:pPr>
        <w:pStyle w:val="65"/>
        <w:keepNext w:val="0"/>
        <w:keepLines w:val="0"/>
        <w:pageBreakBefore w:val="0"/>
        <w:wordWrap/>
        <w:overflowPunct/>
        <w:topLinePunct w:val="0"/>
        <w:bidi w:val="0"/>
        <w:spacing w:line="3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1—既有支承结构（墙或柱）；2—新加或加固的悬臂梁、受拉构件；3—连接界面；</w:t>
      </w:r>
    </w:p>
    <w:p w14:paraId="23A11486">
      <w:pPr>
        <w:pStyle w:val="65"/>
        <w:keepNext w:val="0"/>
        <w:keepLines w:val="0"/>
        <w:pageBreakBefore w:val="0"/>
        <w:wordWrap/>
        <w:overflowPunct/>
        <w:topLinePunct w:val="0"/>
        <w:bidi w:val="0"/>
        <w:spacing w:line="3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4—新加混凝土柱帽；5—新加纵筋；6—焊接或螺栓连接</w:t>
      </w:r>
      <w:bookmarkStart w:id="124" w:name="_Toc28117"/>
      <w:bookmarkStart w:id="125" w:name="_Toc2307"/>
    </w:p>
    <w:p w14:paraId="5AE7264B">
      <w:pPr>
        <w:keepNext w:val="0"/>
        <w:keepLines w:val="0"/>
        <w:pageBreakBefore w:val="0"/>
        <w:widowControl w:val="0"/>
        <w:tabs>
          <w:tab w:val="left" w:pos="680"/>
          <w:tab w:val="left" w:pos="1134"/>
          <w:tab w:val="clear" w:pos="3261"/>
        </w:tabs>
        <w:kinsoku/>
        <w:wordWrap/>
        <w:overflowPunct/>
        <w:topLinePunct w:val="0"/>
        <w:autoSpaceDE/>
        <w:autoSpaceDN/>
        <w:bidi w:val="0"/>
        <w:adjustRightInd w:val="0"/>
        <w:snapToGrid/>
        <w:spacing w:line="360" w:lineRule="exact"/>
        <w:textAlignment w:val="auto"/>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7.2.8 当有成熟的经验时，也可采用外附子结构进行加固，包括外附钢支撑、外附钢或混凝土框架、外附钢或混凝土支撑框架，外附摇摆墙，外附耗能框架等。</w:t>
      </w:r>
    </w:p>
    <w:p w14:paraId="68EF3052">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条文说明：自1970年以来，外附子结构加固技术的相关研究不断涌现、蓬勃发展，并在现阶段于世界范围内得到了广泛应用。外附子结构加固技术在力学性能（结构层面整体提升等）和使用功能（免打扰加固等）方面均优于同类替代技术，同时提供了与新材料、新结构、新工艺相结合的可能性，为地震多发地区的既有建筑抗震加固提供了思路。已有研究和工程应用表明，现今符合规范要求的外附子结构可以在高烈度区设计应用，并且在加固过程中可以考虑多样元素与个性化需求。通过在新—旧连接段及关键区域的适当处理，外附子结构加固后的整体体系可以在震后呈现出更优的力学性能与使用功能。</w:t>
      </w:r>
    </w:p>
    <w:p w14:paraId="4AA338B6">
      <w:pPr>
        <w:pStyle w:val="3"/>
        <w:bidi w:val="0"/>
        <w:rPr>
          <w:rFonts w:hint="default"/>
        </w:rPr>
      </w:pPr>
      <w:bookmarkStart w:id="126" w:name="_Toc24638"/>
      <w:r>
        <w:rPr>
          <w:rFonts w:hint="default"/>
          <w:lang w:val="en-US" w:eastAsia="zh-CN"/>
        </w:rPr>
        <w:t>7.3</w:t>
      </w:r>
      <w:r>
        <w:rPr>
          <w:rFonts w:hint="default"/>
        </w:rPr>
        <w:t xml:space="preserve"> </w:t>
      </w:r>
      <w:r>
        <w:rPr>
          <w:rFonts w:hint="default"/>
          <w:lang w:val="en-US" w:eastAsia="zh-CN"/>
        </w:rPr>
        <w:t>抗震</w:t>
      </w:r>
      <w:r>
        <w:rPr>
          <w:rFonts w:hint="default"/>
        </w:rPr>
        <w:t>加固设计及施工</w:t>
      </w:r>
      <w:bookmarkEnd w:id="124"/>
      <w:bookmarkEnd w:id="125"/>
      <w:bookmarkEnd w:id="126"/>
    </w:p>
    <w:p w14:paraId="6B7B34B7">
      <w:pPr>
        <w:keepNext w:val="0"/>
        <w:keepLines w:val="0"/>
        <w:pageBreakBefore w:val="0"/>
        <w:wordWrap/>
        <w:overflowPunct/>
        <w:topLinePunct w:val="0"/>
        <w:bidi w:val="0"/>
        <w:spacing w:before="120" w:after="120" w:line="360" w:lineRule="exact"/>
        <w:jc w:val="center"/>
        <w:rPr>
          <w:rFonts w:hint="default" w:ascii="Times New Roman" w:hAnsi="Times New Roman" w:eastAsia="宋体" w:cs="Times New Roman"/>
          <w:color w:val="auto"/>
          <w:sz w:val="24"/>
          <w:szCs w:val="24"/>
        </w:rPr>
      </w:pPr>
      <w:bookmarkStart w:id="127" w:name="_Toc27645"/>
      <w:r>
        <w:rPr>
          <w:rFonts w:hint="default" w:ascii="Times New Roman" w:hAnsi="Times New Roman" w:eastAsia="宋体" w:cs="Times New Roman"/>
          <w:color w:val="auto"/>
          <w:sz w:val="24"/>
          <w:szCs w:val="24"/>
        </w:rPr>
        <w:t>I 增设抗震墙或翼墙</w:t>
      </w:r>
      <w:bookmarkEnd w:id="127"/>
    </w:p>
    <w:p w14:paraId="42F2F133">
      <w:pPr>
        <w:keepNext w:val="0"/>
        <w:keepLines w:val="0"/>
        <w:pageBreakBefore w:val="0"/>
        <w:tabs>
          <w:tab w:val="left" w:pos="680"/>
          <w:tab w:val="left" w:pos="1134"/>
          <w:tab w:val="clear" w:pos="3261"/>
        </w:tabs>
        <w:wordWrap/>
        <w:overflowPunct/>
        <w:topLinePunct w:val="0"/>
        <w:bidi w:val="0"/>
        <w:adjustRightInd w:val="0"/>
        <w:spacing w:line="360" w:lineRule="exact"/>
        <w:jc w:val="left"/>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 xml:space="preserve">7.3.1 </w:t>
      </w:r>
      <w:r>
        <w:rPr>
          <w:rFonts w:hint="default" w:ascii="Times New Roman" w:hAnsi="Times New Roman" w:eastAsia="宋体" w:cs="Times New Roman"/>
          <w:color w:val="auto"/>
          <w:sz w:val="24"/>
          <w:szCs w:val="24"/>
        </w:rPr>
        <w:t>增设钢筋混凝土抗震墙或翼墙加固房屋时，应符合下列规定：</w:t>
      </w:r>
    </w:p>
    <w:p w14:paraId="3CC2A167">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1</w:t>
      </w:r>
      <w:r>
        <w:rPr>
          <w:rFonts w:hint="default" w:ascii="Times New Roman" w:hAnsi="Times New Roman" w:eastAsia="宋体" w:cs="Times New Roman"/>
          <w:color w:val="auto"/>
          <w:sz w:val="24"/>
          <w:szCs w:val="24"/>
          <w:lang w:eastAsia="zh-CN"/>
        </w:rPr>
        <w:t xml:space="preserve"> 抗震墙宜设置在框架的轴线位置，翼墙宜在柱两侧对称布置。</w:t>
      </w:r>
    </w:p>
    <w:p w14:paraId="6A49B1F8">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 xml:space="preserve">2 </w:t>
      </w:r>
      <w:r>
        <w:rPr>
          <w:rFonts w:hint="default" w:ascii="Times New Roman" w:hAnsi="Times New Roman" w:eastAsia="宋体" w:cs="Times New Roman"/>
          <w:color w:val="auto"/>
          <w:sz w:val="24"/>
          <w:szCs w:val="24"/>
          <w:lang w:eastAsia="zh-CN"/>
        </w:rPr>
        <w:t>抗震墙或翼墙墙体的材料和构造，应符合下列要求：</w:t>
      </w:r>
    </w:p>
    <w:p w14:paraId="27167820">
      <w:pPr>
        <w:pStyle w:val="12"/>
        <w:keepNext w:val="0"/>
        <w:keepLines w:val="0"/>
        <w:pageBreakBefore w:val="0"/>
        <w:wordWrap/>
        <w:overflowPunct/>
        <w:topLinePunct w:val="0"/>
        <w:bidi w:val="0"/>
        <w:spacing w:line="360" w:lineRule="exact"/>
        <w:ind w:firstLine="723" w:firstLineChars="3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1）</w:t>
      </w:r>
      <w:r>
        <w:rPr>
          <w:rFonts w:hint="default" w:ascii="Times New Roman" w:hAnsi="Times New Roman" w:eastAsia="宋体" w:cs="Times New Roman"/>
          <w:color w:val="auto"/>
          <w:sz w:val="24"/>
          <w:szCs w:val="24"/>
          <w:lang w:eastAsia="zh-CN"/>
        </w:rPr>
        <w:t>混凝土强度等级不应低于C25，且不应低于原框架柱的实际混凝土强度等级。</w:t>
      </w:r>
    </w:p>
    <w:p w14:paraId="08A4EB34">
      <w:pPr>
        <w:pStyle w:val="12"/>
        <w:keepNext w:val="0"/>
        <w:keepLines w:val="0"/>
        <w:pageBreakBefore w:val="0"/>
        <w:wordWrap/>
        <w:overflowPunct/>
        <w:topLinePunct w:val="0"/>
        <w:bidi w:val="0"/>
        <w:spacing w:line="360" w:lineRule="exact"/>
        <w:ind w:firstLine="723" w:firstLineChars="3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2）</w:t>
      </w:r>
      <w:r>
        <w:rPr>
          <w:rFonts w:hint="default" w:ascii="Times New Roman" w:hAnsi="Times New Roman" w:eastAsia="宋体" w:cs="Times New Roman"/>
          <w:color w:val="auto"/>
          <w:sz w:val="24"/>
          <w:szCs w:val="24"/>
          <w:lang w:eastAsia="zh-CN"/>
        </w:rPr>
        <w:t>墙厚不宜小于140mm；竖向和横向分布钢筋的最小配筋率，均不应小于0.20%；竖向和横向分布钢筋宜双排布置，且两排钢筋之间的拉结筋间距不应大于600mm；墙体周边宜设置边缘构件；对于B、C类钢筋混凝土房屋，其墙厚和配筋应符合其抗震等级的相应要求。</w:t>
      </w:r>
    </w:p>
    <w:p w14:paraId="6957907A">
      <w:pPr>
        <w:pStyle w:val="12"/>
        <w:keepNext w:val="0"/>
        <w:keepLines w:val="0"/>
        <w:pageBreakBefore w:val="0"/>
        <w:wordWrap/>
        <w:overflowPunct/>
        <w:topLinePunct w:val="0"/>
        <w:bidi w:val="0"/>
        <w:spacing w:line="360" w:lineRule="exact"/>
        <w:ind w:firstLine="723" w:firstLineChars="300"/>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lang w:eastAsia="zh-CN"/>
        </w:rPr>
        <w:t>3）</w:t>
      </w:r>
      <w:r>
        <w:rPr>
          <w:rFonts w:hint="default" w:ascii="Times New Roman" w:hAnsi="Times New Roman" w:eastAsia="宋体" w:cs="Times New Roman"/>
          <w:color w:val="auto"/>
          <w:sz w:val="24"/>
          <w:szCs w:val="24"/>
          <w:lang w:eastAsia="zh-CN"/>
        </w:rPr>
        <w:t>墙与原有框架可采用锚筋或现浇钢筋混凝土套（图7.</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.1）连接；锚筋可采用</w:t>
      </w:r>
      <w:r>
        <w:rPr>
          <w:rFonts w:hint="default" w:ascii="Times New Roman" w:hAnsi="Times New Roman" w:eastAsia="宋体" w:cs="Times New Roman"/>
          <w:color w:val="auto"/>
          <w:sz w:val="24"/>
          <w:szCs w:val="24"/>
        </w:rPr>
        <w:t>φ</w:t>
      </w:r>
      <w:r>
        <w:rPr>
          <w:rFonts w:hint="default" w:ascii="Times New Roman" w:hAnsi="Times New Roman" w:eastAsia="宋体" w:cs="Times New Roman"/>
          <w:color w:val="auto"/>
          <w:sz w:val="24"/>
          <w:szCs w:val="24"/>
          <w:lang w:eastAsia="zh-CN"/>
        </w:rPr>
        <w:t>10或</w:t>
      </w:r>
      <w:r>
        <w:rPr>
          <w:rFonts w:hint="default" w:ascii="Times New Roman" w:hAnsi="Times New Roman" w:eastAsia="宋体" w:cs="Times New Roman"/>
          <w:color w:val="auto"/>
          <w:sz w:val="24"/>
          <w:szCs w:val="24"/>
        </w:rPr>
        <w:t>φ</w:t>
      </w:r>
      <w:r>
        <w:rPr>
          <w:rFonts w:hint="default" w:ascii="Times New Roman" w:hAnsi="Times New Roman" w:eastAsia="宋体" w:cs="Times New Roman"/>
          <w:color w:val="auto"/>
          <w:sz w:val="24"/>
          <w:szCs w:val="24"/>
          <w:lang w:eastAsia="zh-CN"/>
        </w:rPr>
        <w:t>12的钢筋，与梁柱边的距离不应小于50mm，与梁柱轴线的间距不应大于300mm。钢筋的一端应采用高强胶黏剂锚入梁柱的钻孔内，且锚固深度不应小于锚筋直径的10倍，另一端宜与墙体的分布钢筋焊接（单面焊10</w:t>
      </w:r>
      <w:r>
        <w:rPr>
          <w:rFonts w:hint="default" w:ascii="Times New Roman" w:hAnsi="Times New Roman" w:eastAsia="宋体" w:cs="Times New Roman"/>
          <w:i/>
          <w:iCs/>
          <w:color w:val="auto"/>
          <w:sz w:val="24"/>
          <w:szCs w:val="24"/>
          <w:lang w:eastAsia="zh-CN"/>
        </w:rPr>
        <w:t>d</w:t>
      </w:r>
      <w:r>
        <w:rPr>
          <w:rFonts w:hint="default" w:ascii="Times New Roman" w:hAnsi="Times New Roman" w:eastAsia="宋体" w:cs="Times New Roman"/>
          <w:color w:val="auto"/>
          <w:sz w:val="24"/>
          <w:szCs w:val="24"/>
          <w:lang w:eastAsia="zh-CN"/>
        </w:rPr>
        <w:t>，双面焊5</w:t>
      </w:r>
      <w:r>
        <w:rPr>
          <w:rFonts w:hint="default" w:ascii="Times New Roman" w:hAnsi="Times New Roman" w:eastAsia="宋体" w:cs="Times New Roman"/>
          <w:i/>
          <w:iCs/>
          <w:color w:val="auto"/>
          <w:sz w:val="24"/>
          <w:szCs w:val="24"/>
          <w:lang w:eastAsia="zh-CN"/>
        </w:rPr>
        <w:t>d</w:t>
      </w:r>
      <w:r>
        <w:rPr>
          <w:rFonts w:hint="default" w:ascii="Times New Roman" w:hAnsi="Times New Roman" w:eastAsia="宋体" w:cs="Times New Roman"/>
          <w:color w:val="auto"/>
          <w:sz w:val="24"/>
          <w:szCs w:val="24"/>
          <w:lang w:eastAsia="zh-CN"/>
        </w:rPr>
        <w:t>）；现浇钢筋混凝土套与柱的连接应符合本规程的有关规定，且厚度不宜小于50mm。</w:t>
      </w:r>
    </w:p>
    <w:p w14:paraId="7B5EEF28">
      <w:pPr>
        <w:pStyle w:val="65"/>
        <w:keepNext w:val="0"/>
        <w:keepLines w:val="0"/>
        <w:pageBreakBefore w:val="0"/>
        <w:wordWrap/>
        <w:overflowPunct/>
        <w:topLinePunct w:val="0"/>
        <w:bidi w:val="0"/>
        <w:spacing w:line="3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drawing>
          <wp:anchor distT="0" distB="0" distL="0" distR="0" simplePos="0" relativeHeight="251680768" behindDoc="0" locked="0" layoutInCell="1" allowOverlap="1">
            <wp:simplePos x="0" y="0"/>
            <wp:positionH relativeFrom="column">
              <wp:posOffset>964565</wp:posOffset>
            </wp:positionH>
            <wp:positionV relativeFrom="paragraph">
              <wp:posOffset>226695</wp:posOffset>
            </wp:positionV>
            <wp:extent cx="4172585" cy="1132840"/>
            <wp:effectExtent l="0" t="0" r="18415" b="1016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a:xfrm>
                      <a:off x="0" y="0"/>
                      <a:ext cx="4172585" cy="1132840"/>
                    </a:xfrm>
                    <a:prstGeom prst="rect">
                      <a:avLst/>
                    </a:prstGeom>
                    <a:noFill/>
                    <a:ln>
                      <a:noFill/>
                    </a:ln>
                  </pic:spPr>
                </pic:pic>
              </a:graphicData>
            </a:graphic>
          </wp:anchor>
        </w:drawing>
      </w:r>
      <w:r>
        <w:rPr>
          <w:rFonts w:hint="default" w:ascii="Times New Roman" w:hAnsi="Times New Roman" w:eastAsia="宋体" w:cs="Times New Roman"/>
          <w:color w:val="auto"/>
          <w:sz w:val="21"/>
          <w:szCs w:val="21"/>
        </w:rPr>
        <w:t>(a)锚筋连接</w:t>
      </w:r>
    </w:p>
    <w:p w14:paraId="5A34752E">
      <w:pPr>
        <w:pStyle w:val="65"/>
        <w:keepNext w:val="0"/>
        <w:keepLines w:val="0"/>
        <w:pageBreakBefore w:val="0"/>
        <w:wordWrap/>
        <w:overflowPunct/>
        <w:topLinePunct w:val="0"/>
        <w:bidi w:val="0"/>
        <w:spacing w:line="3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drawing>
          <wp:anchor distT="0" distB="0" distL="0" distR="0" simplePos="0" relativeHeight="251663360" behindDoc="0" locked="0" layoutInCell="1" allowOverlap="1">
            <wp:simplePos x="0" y="0"/>
            <wp:positionH relativeFrom="column">
              <wp:posOffset>918845</wp:posOffset>
            </wp:positionH>
            <wp:positionV relativeFrom="paragraph">
              <wp:posOffset>225425</wp:posOffset>
            </wp:positionV>
            <wp:extent cx="4278630" cy="1320165"/>
            <wp:effectExtent l="0" t="0" r="7620" b="13335"/>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a:xfrm>
                      <a:off x="0" y="0"/>
                      <a:ext cx="4283202" cy="1321745"/>
                    </a:xfrm>
                    <a:prstGeom prst="rect">
                      <a:avLst/>
                    </a:prstGeom>
                    <a:noFill/>
                    <a:ln>
                      <a:noFill/>
                    </a:ln>
                  </pic:spPr>
                </pic:pic>
              </a:graphicData>
            </a:graphic>
          </wp:anchor>
        </w:drawing>
      </w:r>
      <w:r>
        <w:rPr>
          <w:rFonts w:hint="default" w:ascii="Times New Roman" w:hAnsi="Times New Roman" w:eastAsia="宋体" w:cs="Times New Roman"/>
          <w:color w:val="auto"/>
          <w:sz w:val="21"/>
          <w:szCs w:val="21"/>
        </w:rPr>
        <w:t>(b)钢筋混凝土套连接</w:t>
      </w:r>
    </w:p>
    <w:p w14:paraId="5DCE1B9F">
      <w:pPr>
        <w:pStyle w:val="65"/>
        <w:keepNext w:val="0"/>
        <w:keepLines w:val="0"/>
        <w:pageBreakBefore w:val="0"/>
        <w:wordWrap/>
        <w:overflowPunct/>
        <w:topLinePunct w:val="0"/>
        <w:bidi w:val="0"/>
        <w:spacing w:line="360" w:lineRule="exac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图</w:t>
      </w:r>
      <w:r>
        <w:rPr>
          <w:rFonts w:hint="default" w:ascii="Times New Roman" w:hAnsi="Times New Roman" w:eastAsia="宋体" w:cs="Times New Roman"/>
          <w:color w:val="auto"/>
          <w:sz w:val="24"/>
          <w:szCs w:val="24"/>
          <w:lang w:eastAsia="zh-CN"/>
        </w:rPr>
        <w:t>7.</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.1 增设墙与原框架柱的连接</w:t>
      </w:r>
    </w:p>
    <w:p w14:paraId="0CC10037">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3</w:t>
      </w:r>
      <w:r>
        <w:rPr>
          <w:rFonts w:hint="default" w:ascii="Times New Roman" w:hAnsi="Times New Roman" w:eastAsia="宋体" w:cs="Times New Roman"/>
          <w:color w:val="auto"/>
          <w:sz w:val="24"/>
          <w:szCs w:val="24"/>
          <w:lang w:eastAsia="zh-CN"/>
        </w:rPr>
        <w:t xml:space="preserve"> 增设抗震墙后应按框架-抗震墙结构进行抗震分析，增设的混凝土和钢筋的强度均应乘以规定的折减系数。加固后抗震墙之间楼、屋盖长宽比的局部影响系数应作相应改变。</w:t>
      </w:r>
    </w:p>
    <w:p w14:paraId="52F9D14A">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4</w:t>
      </w:r>
      <w:r>
        <w:rPr>
          <w:rFonts w:hint="default" w:ascii="Times New Roman" w:hAnsi="Times New Roman" w:eastAsia="宋体" w:cs="Times New Roman"/>
          <w:color w:val="auto"/>
          <w:sz w:val="24"/>
          <w:szCs w:val="24"/>
          <w:lang w:eastAsia="zh-CN"/>
        </w:rPr>
        <w:t xml:space="preserve"> 增设翼墙后，翼墙与柱形成的构件可按整体偏心受压构件计算；新增钢筋、混凝土的强度折减系数不宜大于0.85；当新增的混凝土强度等级比原框架柱高一个等级时，可直接按原强度等级计算而不再计入混凝土强度的折减系数。</w:t>
      </w:r>
    </w:p>
    <w:p w14:paraId="3B97E4AE">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bookmarkStart w:id="128" w:name="_Toc2110"/>
      <w:r>
        <w:rPr>
          <w:rFonts w:hint="default" w:ascii="Times New Roman" w:hAnsi="Times New Roman" w:eastAsia="宋体" w:cs="Times New Roman"/>
          <w:b/>
          <w:color w:val="auto"/>
          <w:sz w:val="24"/>
          <w:szCs w:val="24"/>
          <w:lang w:eastAsia="zh-CN"/>
        </w:rPr>
        <w:t>5</w:t>
      </w:r>
      <w:r>
        <w:rPr>
          <w:rFonts w:hint="default" w:ascii="Times New Roman" w:hAnsi="Times New Roman" w:eastAsia="宋体" w:cs="Times New Roman"/>
          <w:color w:val="auto"/>
          <w:sz w:val="24"/>
          <w:szCs w:val="24"/>
          <w:lang w:eastAsia="zh-CN"/>
        </w:rPr>
        <w:t xml:space="preserve"> 抗震墙或翼墙的施工，应符合下列要求：</w:t>
      </w:r>
      <w:bookmarkEnd w:id="128"/>
    </w:p>
    <w:p w14:paraId="7D680627">
      <w:pPr>
        <w:pStyle w:val="12"/>
        <w:keepNext w:val="0"/>
        <w:keepLines w:val="0"/>
        <w:pageBreakBefore w:val="0"/>
        <w:wordWrap/>
        <w:overflowPunct/>
        <w:topLinePunct w:val="0"/>
        <w:bidi w:val="0"/>
        <w:spacing w:line="360" w:lineRule="exact"/>
        <w:ind w:firstLine="723" w:firstLineChars="3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1）</w:t>
      </w:r>
      <w:r>
        <w:rPr>
          <w:rFonts w:hint="default" w:ascii="Times New Roman" w:hAnsi="Times New Roman" w:eastAsia="宋体" w:cs="Times New Roman"/>
          <w:color w:val="auto"/>
          <w:sz w:val="24"/>
          <w:szCs w:val="24"/>
          <w:lang w:eastAsia="zh-CN"/>
        </w:rPr>
        <w:t>原有的梁、柱表面应凿毛，浇筑混凝土前应清洗并保持湿润，浇筑后应加强养护。</w:t>
      </w:r>
    </w:p>
    <w:p w14:paraId="7F5D7E9F">
      <w:pPr>
        <w:pStyle w:val="12"/>
        <w:keepNext w:val="0"/>
        <w:keepLines w:val="0"/>
        <w:pageBreakBefore w:val="0"/>
        <w:wordWrap/>
        <w:overflowPunct/>
        <w:topLinePunct w:val="0"/>
        <w:bidi w:val="0"/>
        <w:spacing w:line="360" w:lineRule="exact"/>
        <w:ind w:firstLine="723" w:firstLineChars="3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2）</w:t>
      </w:r>
      <w:r>
        <w:rPr>
          <w:rFonts w:hint="default" w:ascii="Times New Roman" w:hAnsi="Times New Roman" w:eastAsia="宋体" w:cs="Times New Roman"/>
          <w:color w:val="auto"/>
          <w:sz w:val="24"/>
          <w:szCs w:val="24"/>
          <w:lang w:eastAsia="zh-CN"/>
        </w:rPr>
        <w:t>锚筋应除锈，锚孔应采用钻孔成形，不得用手凿，孔内应采用压缩空气吹净并用水冲洗，注胶应饱满并使锚筋固定牢靠。</w:t>
      </w:r>
    </w:p>
    <w:p w14:paraId="603EEBDE">
      <w:pPr>
        <w:pStyle w:val="12"/>
        <w:keepNext w:val="0"/>
        <w:keepLines w:val="0"/>
        <w:pageBreakBefore w:val="0"/>
        <w:wordWrap/>
        <w:overflowPunct/>
        <w:topLinePunct w:val="0"/>
        <w:bidi w:val="0"/>
        <w:spacing w:line="360" w:lineRule="exact"/>
        <w:ind w:firstLine="723" w:firstLineChars="3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3）</w:t>
      </w:r>
      <w:r>
        <w:rPr>
          <w:rFonts w:hint="default" w:ascii="Times New Roman" w:hAnsi="Times New Roman" w:eastAsia="宋体" w:cs="Times New Roman"/>
          <w:color w:val="auto"/>
          <w:sz w:val="24"/>
          <w:szCs w:val="24"/>
          <w:lang w:eastAsia="zh-CN"/>
        </w:rPr>
        <w:t>为确保剪力墙顶部与梁板可靠连接，剪力墙宜采用收缩补偿混凝土浇筑。</w:t>
      </w:r>
    </w:p>
    <w:p w14:paraId="29BA463C">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条文说明：本条给出了增设墙体加固的构造和计算的最基本要求。增设抗震墙可避免对全部梁柱进行普遍加固，一般按框架-抗震墙结构进行抗震加固设计。</w:t>
      </w:r>
    </w:p>
    <w:p w14:paraId="4C763663">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为使增设墙体的加固有效，注意了以下几点：①墙体最小厚度；②墙体的最小竖向和横向分布筋；③考虑新增构件的应力滞后，抗震承载力验算时，新增混凝土和钢筋的强度，均应乘以折减系数。④加固后抗震墙之间楼、屋盖长宽比的局部影响系数应做相应改变。</w:t>
      </w:r>
    </w:p>
    <w:p w14:paraId="72FC391C">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增设抗震墙，需注意复核原有地基基础的承载力，增设抗震墙加固的主要构造是确保新旧构件的连接，以便传递剪力。可有三种方法：</w:t>
      </w:r>
    </w:p>
    <w:p w14:paraId="4A0EEF8F">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eastAsia" w:ascii="仿宋" w:hAnsi="仿宋" w:eastAsia="仿宋" w:cs="仿宋"/>
          <w:b w:val="0"/>
          <w:bCs w:val="0"/>
          <w:color w:val="0070C0"/>
          <w:spacing w:val="0"/>
          <w:sz w:val="24"/>
          <w:szCs w:val="24"/>
          <w:lang w:val="en-US" w:eastAsia="zh-CN"/>
        </w:rPr>
      </w:pPr>
      <w:bookmarkStart w:id="129" w:name="_Toc8960"/>
      <w:r>
        <w:rPr>
          <w:rFonts w:hint="eastAsia" w:ascii="仿宋" w:hAnsi="仿宋" w:eastAsia="仿宋" w:cs="仿宋"/>
          <w:b w:val="0"/>
          <w:bCs w:val="0"/>
          <w:color w:val="0070C0"/>
          <w:spacing w:val="0"/>
          <w:sz w:val="24"/>
          <w:szCs w:val="24"/>
          <w:lang w:val="en-US" w:eastAsia="zh-CN"/>
        </w:rPr>
        <w:t>1 锚筋连接。需在原构件上钻孔，并用符合规定的高强胶锚固，施工质量要求高。</w:t>
      </w:r>
      <w:bookmarkEnd w:id="129"/>
    </w:p>
    <w:p w14:paraId="42198D20">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eastAsia" w:ascii="仿宋" w:hAnsi="仿宋" w:eastAsia="仿宋" w:cs="仿宋"/>
          <w:b w:val="0"/>
          <w:bCs w:val="0"/>
          <w:color w:val="0070C0"/>
          <w:spacing w:val="0"/>
          <w:sz w:val="24"/>
          <w:szCs w:val="24"/>
          <w:lang w:val="en-US" w:eastAsia="zh-CN"/>
        </w:rPr>
      </w:pPr>
      <w:bookmarkStart w:id="130" w:name="_Toc10524"/>
      <w:r>
        <w:rPr>
          <w:rFonts w:hint="eastAsia" w:ascii="仿宋" w:hAnsi="仿宋" w:eastAsia="仿宋" w:cs="仿宋"/>
          <w:b w:val="0"/>
          <w:bCs w:val="0"/>
          <w:color w:val="0070C0"/>
          <w:spacing w:val="0"/>
          <w:sz w:val="24"/>
          <w:szCs w:val="24"/>
          <w:lang w:val="en-US" w:eastAsia="zh-CN"/>
        </w:rPr>
        <w:t>2 钢筋混凝土套连接。</w:t>
      </w:r>
      <w:bookmarkEnd w:id="130"/>
    </w:p>
    <w:p w14:paraId="6F3BCDE2">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eastAsia" w:ascii="仿宋" w:hAnsi="仿宋" w:eastAsia="仿宋" w:cs="仿宋"/>
          <w:b w:val="0"/>
          <w:bCs w:val="0"/>
          <w:color w:val="0070C0"/>
          <w:spacing w:val="0"/>
          <w:sz w:val="24"/>
          <w:szCs w:val="24"/>
          <w:lang w:val="en-US" w:eastAsia="zh-CN"/>
        </w:rPr>
      </w:pPr>
      <w:bookmarkStart w:id="131" w:name="_Toc25809"/>
      <w:r>
        <w:rPr>
          <w:rFonts w:hint="eastAsia" w:ascii="仿宋" w:hAnsi="仿宋" w:eastAsia="仿宋" w:cs="仿宋"/>
          <w:b w:val="0"/>
          <w:bCs w:val="0"/>
          <w:color w:val="0070C0"/>
          <w:spacing w:val="0"/>
          <w:sz w:val="24"/>
          <w:szCs w:val="24"/>
          <w:lang w:val="en-US" w:eastAsia="zh-CN"/>
        </w:rPr>
        <w:t>3 锚栓连接。需要专用的施工机具，其布置可参照锚筋的规定。</w:t>
      </w:r>
      <w:bookmarkEnd w:id="131"/>
    </w:p>
    <w:p w14:paraId="10695524">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当新增混凝土的强度等级比原有构件提高一个等级时，考虑混凝土、钢筋强度折减的截面抗震验算可有所简化：仍按原构件的混凝土强度等级采用，即相当于混凝土强度乘以折减系数0.85，然后，将计算所需增加的配筋乘以1.15，即为按原钢筋级别所需要新增的钢筋。</w:t>
      </w:r>
    </w:p>
    <w:p w14:paraId="67AFBB13">
      <w:pPr>
        <w:keepNext w:val="0"/>
        <w:keepLines w:val="0"/>
        <w:pageBreakBefore w:val="0"/>
        <w:wordWrap/>
        <w:overflowPunct/>
        <w:topLinePunct w:val="0"/>
        <w:bidi w:val="0"/>
        <w:spacing w:before="120" w:after="120" w:line="360" w:lineRule="exact"/>
        <w:jc w:val="center"/>
        <w:rPr>
          <w:rFonts w:hint="default" w:ascii="Times New Roman" w:hAnsi="Times New Roman" w:eastAsia="宋体" w:cs="Times New Roman"/>
          <w:color w:val="auto"/>
          <w:sz w:val="24"/>
          <w:szCs w:val="24"/>
        </w:rPr>
      </w:pPr>
      <w:bookmarkStart w:id="132" w:name="_Toc5129"/>
      <w:r>
        <w:rPr>
          <w:rFonts w:hint="default" w:ascii="Times New Roman" w:hAnsi="Times New Roman" w:eastAsia="宋体" w:cs="Times New Roman"/>
          <w:color w:val="auto"/>
          <w:sz w:val="24"/>
          <w:szCs w:val="24"/>
        </w:rPr>
        <w:t>II 钢构套加固</w:t>
      </w:r>
      <w:bookmarkEnd w:id="132"/>
      <w:bookmarkStart w:id="133" w:name="_Toc14860"/>
    </w:p>
    <w:p w14:paraId="1ADC1909">
      <w:pPr>
        <w:keepNext w:val="0"/>
        <w:keepLines w:val="0"/>
        <w:pageBreakBefore w:val="0"/>
        <w:wordWrap/>
        <w:overflowPunct/>
        <w:topLinePunct w:val="0"/>
        <w:bidi w:val="0"/>
        <w:spacing w:before="120" w:line="360" w:lineRule="exact"/>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 xml:space="preserve">7.3.2 </w:t>
      </w:r>
      <w:r>
        <w:rPr>
          <w:rFonts w:hint="default" w:ascii="Times New Roman" w:hAnsi="Times New Roman" w:eastAsia="宋体" w:cs="Times New Roman"/>
          <w:color w:val="auto"/>
          <w:sz w:val="24"/>
          <w:szCs w:val="24"/>
        </w:rPr>
        <w:t>采用钢构套加固框架时，应符合下列规定：</w:t>
      </w:r>
      <w:bookmarkEnd w:id="133"/>
    </w:p>
    <w:p w14:paraId="75DE31D6">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bookmarkStart w:id="134" w:name="_Toc26022"/>
      <w:r>
        <w:rPr>
          <w:rFonts w:hint="default" w:ascii="Times New Roman" w:hAnsi="Times New Roman" w:eastAsia="宋体" w:cs="Times New Roman"/>
          <w:b/>
          <w:color w:val="auto"/>
          <w:sz w:val="24"/>
          <w:szCs w:val="24"/>
          <w:lang w:eastAsia="zh-CN"/>
        </w:rPr>
        <w:t xml:space="preserve">1 </w:t>
      </w:r>
      <w:r>
        <w:rPr>
          <w:rFonts w:hint="default" w:ascii="Times New Roman" w:hAnsi="Times New Roman" w:eastAsia="宋体" w:cs="Times New Roman"/>
          <w:color w:val="auto"/>
          <w:sz w:val="24"/>
          <w:szCs w:val="24"/>
          <w:lang w:eastAsia="zh-CN"/>
        </w:rPr>
        <w:t>钢构套加固梁时，纵向角钢、扁钢两端应与柱有可靠连接；</w:t>
      </w:r>
      <w:bookmarkEnd w:id="134"/>
    </w:p>
    <w:p w14:paraId="21ECA005">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2</w:t>
      </w:r>
      <w:r>
        <w:rPr>
          <w:rFonts w:hint="default" w:ascii="Times New Roman" w:hAnsi="Times New Roman" w:eastAsia="宋体" w:cs="Times New Roman"/>
          <w:color w:val="auto"/>
          <w:sz w:val="24"/>
          <w:szCs w:val="24"/>
          <w:lang w:eastAsia="zh-CN"/>
        </w:rPr>
        <w:t xml:space="preserve"> 钢构套加固柱时，应采取措施使楼板上下的角钢、扁钢可靠连接；顶层的角钢、扁钢应与屋面板可靠连接；底层的角钢、扁钢应与基础锚固；</w:t>
      </w:r>
    </w:p>
    <w:p w14:paraId="57C4C0DD">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3</w:t>
      </w:r>
      <w:r>
        <w:rPr>
          <w:rFonts w:hint="default" w:ascii="Times New Roman" w:hAnsi="Times New Roman" w:eastAsia="宋体" w:cs="Times New Roman"/>
          <w:color w:val="auto"/>
          <w:sz w:val="24"/>
          <w:szCs w:val="24"/>
          <w:lang w:eastAsia="zh-CN"/>
        </w:rPr>
        <w:t xml:space="preserve"> 加固后梁、柱截面抗震验算时，角钢、扁钢应作为纵向钢筋、钢缀板应作为箍筋进行计算，其材料强度应乘以规定的折减系数；</w:t>
      </w:r>
    </w:p>
    <w:p w14:paraId="24600CFD">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snapToGrid/>
          <w:color w:val="auto"/>
          <w:kern w:val="2"/>
          <w:sz w:val="24"/>
          <w:szCs w:val="24"/>
          <w:lang w:val="en-US" w:eastAsia="zh-CN" w:bidi="ar-SA"/>
        </w:rPr>
        <w:t>4 钢构套加固柱时，当工程要求不使用胶粘剂时，加固后的钢构套与原柱所承担的外力，应按各自截面刚度比例进行分配；当工程允许使用胶粘剂时，加固后的承载力和截面刚度应按整截面共同工作确定。</w:t>
      </w:r>
    </w:p>
    <w:p w14:paraId="7BFDEA30">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条文说明：本条规定了采用钢构套加固框架的基本要求。钢构套对原结构的刚度影响较小，可避免结构地震反应的加大。因此，当加固后构件刚度和重力荷载代表值的变化符合本规程第4.4.8条的有关规定时，可以直接采用抗震鉴定的计算分析结果而不必重新进行整个结构的抗震计算分析。</w:t>
      </w:r>
    </w:p>
    <w:p w14:paraId="5AA6B8EB">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为使钢构套的加固有效，注意以下几点：①钢构套构件两端的锚固；②钢构套缀板的间距；③考虑新增构件的应力滞后和协同工作的程度，其钢材的强度应乘以折减系数。</w:t>
      </w:r>
    </w:p>
    <w:p w14:paraId="471AD509">
      <w:pPr>
        <w:pStyle w:val="42"/>
        <w:keepNext w:val="0"/>
        <w:keepLines w:val="0"/>
        <w:pageBreakBefore w:val="0"/>
        <w:numPr>
          <w:ilvl w:val="0"/>
          <w:numId w:val="0"/>
        </w:numPr>
        <w:tabs>
          <w:tab w:val="left" w:pos="680"/>
          <w:tab w:val="left" w:pos="1134"/>
        </w:tabs>
        <w:wordWrap/>
        <w:overflowPunct/>
        <w:topLinePunct w:val="0"/>
        <w:bidi w:val="0"/>
        <w:adjustRightInd w:val="0"/>
        <w:spacing w:line="360" w:lineRule="exact"/>
        <w:ind w:leftChars="0"/>
        <w:jc w:val="left"/>
        <w:rPr>
          <w:rFonts w:hint="default" w:ascii="Times New Roman" w:hAnsi="Times New Roman" w:eastAsia="宋体" w:cs="Times New Roman"/>
          <w:color w:val="auto"/>
          <w:sz w:val="24"/>
          <w:szCs w:val="24"/>
        </w:rPr>
      </w:pPr>
      <w:bookmarkStart w:id="135" w:name="_Toc9929"/>
      <w:r>
        <w:rPr>
          <w:rFonts w:hint="default" w:ascii="Times New Roman" w:hAnsi="Times New Roman" w:eastAsia="宋体" w:cs="Times New Roman"/>
          <w:b/>
          <w:bCs/>
          <w:color w:val="auto"/>
          <w:sz w:val="24"/>
          <w:szCs w:val="24"/>
          <w:lang w:val="en-US" w:eastAsia="zh-CN"/>
        </w:rPr>
        <w:t xml:space="preserve">7.3.3 </w:t>
      </w:r>
      <w:r>
        <w:rPr>
          <w:rFonts w:hint="default" w:ascii="Times New Roman" w:hAnsi="Times New Roman" w:eastAsia="宋体" w:cs="Times New Roman"/>
          <w:color w:val="auto"/>
          <w:sz w:val="24"/>
          <w:szCs w:val="24"/>
        </w:rPr>
        <w:t>采用钢构套加固框架的设计，尚应符合下列规定：</w:t>
      </w:r>
      <w:bookmarkEnd w:id="135"/>
    </w:p>
    <w:p w14:paraId="5990D203">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1</w:t>
      </w:r>
      <w:r>
        <w:rPr>
          <w:rFonts w:hint="default" w:ascii="Times New Roman" w:hAnsi="Times New Roman" w:eastAsia="宋体" w:cs="Times New Roman"/>
          <w:color w:val="auto"/>
          <w:sz w:val="24"/>
          <w:szCs w:val="24"/>
          <w:lang w:eastAsia="zh-CN"/>
        </w:rPr>
        <w:t xml:space="preserve"> 钢构套加固梁时，应在梁的阳角外贴角钢（图7.</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.3a），角钢应与钢缀板焊接，钢缀板应穿过楼板形成封闭环形；</w:t>
      </w:r>
    </w:p>
    <w:p w14:paraId="6DA673F8">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2</w:t>
      </w:r>
      <w:r>
        <w:rPr>
          <w:rFonts w:hint="default" w:ascii="Times New Roman" w:hAnsi="Times New Roman" w:eastAsia="宋体" w:cs="Times New Roman"/>
          <w:color w:val="auto"/>
          <w:sz w:val="24"/>
          <w:szCs w:val="24"/>
          <w:lang w:eastAsia="zh-CN"/>
        </w:rPr>
        <w:t xml:space="preserve"> 钢构套加固柱时，应在柱四角外贴角钢（图7.</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.3b），角钢应与外围的钢缀板焊接。</w:t>
      </w:r>
    </w:p>
    <w:p w14:paraId="6DA09FDC">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bookmarkStart w:id="136" w:name="_Toc846"/>
      <w:r>
        <w:rPr>
          <w:rFonts w:hint="default" w:ascii="Times New Roman" w:hAnsi="Times New Roman" w:eastAsia="宋体" w:cs="Times New Roman"/>
          <w:b/>
          <w:color w:val="auto"/>
          <w:sz w:val="24"/>
          <w:szCs w:val="24"/>
          <w:lang w:eastAsia="zh-CN"/>
        </w:rPr>
        <w:t>3</w:t>
      </w:r>
      <w:r>
        <w:rPr>
          <w:rFonts w:hint="default" w:ascii="Times New Roman" w:hAnsi="Times New Roman" w:eastAsia="宋体" w:cs="Times New Roman"/>
          <w:color w:val="auto"/>
          <w:sz w:val="24"/>
          <w:szCs w:val="24"/>
          <w:lang w:eastAsia="zh-CN"/>
        </w:rPr>
        <w:t xml:space="preserve"> 钢构套的构造应符合下列规定：</w:t>
      </w:r>
      <w:bookmarkEnd w:id="136"/>
    </w:p>
    <w:p w14:paraId="74890064">
      <w:pPr>
        <w:pStyle w:val="12"/>
        <w:keepNext w:val="0"/>
        <w:keepLines w:val="0"/>
        <w:pageBreakBefore w:val="0"/>
        <w:wordWrap/>
        <w:overflowPunct/>
        <w:topLinePunct w:val="0"/>
        <w:bidi w:val="0"/>
        <w:spacing w:line="360" w:lineRule="exact"/>
        <w:ind w:firstLine="723" w:firstLineChars="3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1）</w:t>
      </w:r>
      <w:r>
        <w:rPr>
          <w:rFonts w:hint="default" w:ascii="Times New Roman" w:hAnsi="Times New Roman" w:eastAsia="宋体" w:cs="Times New Roman"/>
          <w:color w:val="auto"/>
          <w:sz w:val="24"/>
          <w:szCs w:val="24"/>
          <w:lang w:eastAsia="zh-CN"/>
        </w:rPr>
        <w:t>角钢不宜小于L50×6；钢缀板截面不宜小于40mm×4mm，其间距不应大于单肢角钢的截面最小回转半径的40倍，且不应大于400mm，构件两端应适当加密；</w:t>
      </w:r>
    </w:p>
    <w:p w14:paraId="481D2A96">
      <w:pPr>
        <w:pStyle w:val="12"/>
        <w:keepNext w:val="0"/>
        <w:keepLines w:val="0"/>
        <w:pageBreakBefore w:val="0"/>
        <w:wordWrap/>
        <w:overflowPunct/>
        <w:topLinePunct w:val="0"/>
        <w:bidi w:val="0"/>
        <w:spacing w:line="360" w:lineRule="exact"/>
        <w:ind w:firstLine="723" w:firstLineChars="300"/>
        <w:rPr>
          <w:rFonts w:hint="default" w:ascii="Times New Roman" w:hAnsi="Times New Roman" w:eastAsia="宋体" w:cs="Times New Roman"/>
          <w:color w:val="auto"/>
          <w:sz w:val="24"/>
          <w:szCs w:val="24"/>
          <w:lang w:eastAsia="zh-CN"/>
        </w:rPr>
      </w:pPr>
      <w:bookmarkStart w:id="137" w:name="_Toc14564"/>
      <w:r>
        <w:rPr>
          <w:rFonts w:hint="default" w:ascii="Times New Roman" w:hAnsi="Times New Roman" w:eastAsia="宋体" w:cs="Times New Roman"/>
          <w:b/>
          <w:color w:val="auto"/>
          <w:sz w:val="24"/>
          <w:szCs w:val="24"/>
          <w:lang w:eastAsia="zh-CN"/>
        </w:rPr>
        <w:t>2）</w:t>
      </w:r>
      <w:r>
        <w:rPr>
          <w:rFonts w:hint="default" w:ascii="Times New Roman" w:hAnsi="Times New Roman" w:eastAsia="宋体" w:cs="Times New Roman"/>
          <w:color w:val="auto"/>
          <w:sz w:val="24"/>
          <w:szCs w:val="24"/>
          <w:lang w:eastAsia="zh-CN"/>
        </w:rPr>
        <w:t>钢构套与梁柱混凝土之间应采用胶粘剂粘结。</w:t>
      </w:r>
      <w:bookmarkEnd w:id="137"/>
    </w:p>
    <w:p w14:paraId="508128F0">
      <w:pPr>
        <w:keepNext w:val="0"/>
        <w:keepLines w:val="0"/>
        <w:pageBreakBefore w:val="0"/>
        <w:wordWrap/>
        <w:overflowPunct/>
        <w:topLinePunct w:val="0"/>
        <w:bidi w:val="0"/>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33"/>
          <w:sz w:val="21"/>
          <w:szCs w:val="21"/>
        </w:rPr>
        <w:drawing>
          <wp:anchor distT="0" distB="0" distL="0" distR="0" simplePos="0" relativeHeight="251664384" behindDoc="0" locked="0" layoutInCell="1" allowOverlap="1">
            <wp:simplePos x="0" y="0"/>
            <wp:positionH relativeFrom="column">
              <wp:posOffset>1490980</wp:posOffset>
            </wp:positionH>
            <wp:positionV relativeFrom="paragraph">
              <wp:posOffset>35560</wp:posOffset>
            </wp:positionV>
            <wp:extent cx="1599565" cy="1066165"/>
            <wp:effectExtent l="0" t="0" r="635" b="635"/>
            <wp:wrapTopAndBottom/>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284"/>
                    <a:stretch>
                      <a:fillRect/>
                    </a:stretch>
                  </pic:blipFill>
                  <pic:spPr>
                    <a:xfrm>
                      <a:off x="0" y="0"/>
                      <a:ext cx="1600198" cy="1066751"/>
                    </a:xfrm>
                    <a:prstGeom prst="rect">
                      <a:avLst/>
                    </a:prstGeom>
                  </pic:spPr>
                </pic:pic>
              </a:graphicData>
            </a:graphic>
          </wp:anchor>
        </w:drawing>
      </w:r>
      <w:r>
        <w:rPr>
          <w:rFonts w:hint="default" w:ascii="Times New Roman" w:hAnsi="Times New Roman" w:eastAsia="宋体" w:cs="Times New Roman"/>
          <w:color w:val="auto"/>
          <w:position w:val="-27"/>
          <w:sz w:val="21"/>
          <w:szCs w:val="21"/>
        </w:rPr>
        <w:drawing>
          <wp:anchor distT="0" distB="0" distL="0" distR="0" simplePos="0" relativeHeight="251665408" behindDoc="0" locked="0" layoutInCell="1" allowOverlap="1">
            <wp:simplePos x="0" y="0"/>
            <wp:positionH relativeFrom="column">
              <wp:posOffset>3582670</wp:posOffset>
            </wp:positionH>
            <wp:positionV relativeFrom="paragraph">
              <wp:posOffset>141605</wp:posOffset>
            </wp:positionV>
            <wp:extent cx="1123950" cy="876300"/>
            <wp:effectExtent l="0" t="0" r="0" b="0"/>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285"/>
                    <a:stretch>
                      <a:fillRect/>
                    </a:stretch>
                  </pic:blipFill>
                  <pic:spPr>
                    <a:xfrm>
                      <a:off x="0" y="0"/>
                      <a:ext cx="1123990" cy="876327"/>
                    </a:xfrm>
                    <a:prstGeom prst="rect">
                      <a:avLst/>
                    </a:prstGeom>
                  </pic:spPr>
                </pic:pic>
              </a:graphicData>
            </a:graphic>
          </wp:anchor>
        </w:drawing>
      </w:r>
      <w:r>
        <w:rPr>
          <w:rFonts w:hint="default" w:ascii="Times New Roman" w:hAnsi="Times New Roman" w:eastAsia="宋体" w:cs="Times New Roman"/>
          <w:color w:val="auto"/>
          <w:sz w:val="21"/>
          <w:szCs w:val="21"/>
        </w:rPr>
        <w:t xml:space="preserve">（a）加固梁     </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 xml:space="preserve">                  </w:t>
      </w:r>
      <w:bookmarkStart w:id="138" w:name="OLE_LINK15"/>
      <w:bookmarkStart w:id="139" w:name="OLE_LINK16"/>
      <w:r>
        <w:rPr>
          <w:rFonts w:hint="default" w:ascii="Times New Roman" w:hAnsi="Times New Roman" w:eastAsia="宋体" w:cs="Times New Roman"/>
          <w:color w:val="auto"/>
          <w:sz w:val="21"/>
          <w:szCs w:val="21"/>
        </w:rPr>
        <w:t>（b）</w:t>
      </w:r>
      <w:bookmarkEnd w:id="138"/>
      <w:bookmarkEnd w:id="139"/>
      <w:r>
        <w:rPr>
          <w:rFonts w:hint="default" w:ascii="Times New Roman" w:hAnsi="Times New Roman" w:eastAsia="宋体" w:cs="Times New Roman"/>
          <w:color w:val="auto"/>
          <w:sz w:val="21"/>
          <w:szCs w:val="21"/>
        </w:rPr>
        <w:t>加固柱</w:t>
      </w:r>
    </w:p>
    <w:p w14:paraId="3291748D">
      <w:pPr>
        <w:pStyle w:val="65"/>
        <w:keepNext w:val="0"/>
        <w:keepLines w:val="0"/>
        <w:pageBreakBefore w:val="0"/>
        <w:wordWrap/>
        <w:overflowPunct/>
        <w:topLinePunct w:val="0"/>
        <w:bidi w:val="0"/>
        <w:spacing w:line="360" w:lineRule="exact"/>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图</w:t>
      </w:r>
      <w:r>
        <w:rPr>
          <w:rFonts w:hint="default" w:ascii="Times New Roman" w:hAnsi="Times New Roman" w:eastAsia="宋体" w:cs="Times New Roman"/>
          <w:color w:val="auto"/>
          <w:sz w:val="24"/>
          <w:szCs w:val="24"/>
          <w:lang w:eastAsia="zh-CN"/>
        </w:rPr>
        <w:t>7.</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.3 钢构套加固示意图</w:t>
      </w:r>
    </w:p>
    <w:p w14:paraId="6773DB1E">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 xml:space="preserve">4 </w:t>
      </w:r>
      <w:r>
        <w:rPr>
          <w:rFonts w:hint="default" w:ascii="Times New Roman" w:hAnsi="Times New Roman" w:eastAsia="宋体" w:cs="Times New Roman"/>
          <w:color w:val="auto"/>
          <w:sz w:val="24"/>
          <w:szCs w:val="24"/>
          <w:lang w:eastAsia="zh-CN"/>
        </w:rPr>
        <w:t>加固后结构抗震验算时，梁柱箍筋构造的体系影响系数可取1.0。构件按组合截面进行抗震验算，加固梁的钢材强度宜乘以折减系数0.8；加固柱应符合下列规定：</w:t>
      </w:r>
    </w:p>
    <w:p w14:paraId="0BDBAC1A">
      <w:pPr>
        <w:pStyle w:val="12"/>
        <w:keepNext w:val="0"/>
        <w:keepLines w:val="0"/>
        <w:pageBreakBefore w:val="0"/>
        <w:wordWrap/>
        <w:overflowPunct/>
        <w:topLinePunct w:val="0"/>
        <w:bidi w:val="0"/>
        <w:spacing w:line="360" w:lineRule="exact"/>
        <w:ind w:firstLine="723" w:firstLineChars="300"/>
        <w:rPr>
          <w:rFonts w:hint="default" w:ascii="Times New Roman" w:hAnsi="Times New Roman" w:eastAsia="宋体" w:cs="Times New Roman"/>
          <w:color w:val="auto"/>
          <w:sz w:val="24"/>
          <w:szCs w:val="24"/>
          <w:lang w:eastAsia="zh-CN"/>
        </w:rPr>
      </w:pPr>
      <w:bookmarkStart w:id="140" w:name="_Toc30178"/>
      <w:r>
        <w:rPr>
          <w:rFonts w:hint="default" w:ascii="Times New Roman" w:hAnsi="Times New Roman" w:eastAsia="宋体" w:cs="Times New Roman"/>
          <w:b/>
          <w:color w:val="auto"/>
          <w:sz w:val="24"/>
          <w:szCs w:val="24"/>
          <w:lang w:eastAsia="zh-CN"/>
        </w:rPr>
        <w:t>1）</w:t>
      </w:r>
      <w:r>
        <w:rPr>
          <w:rFonts w:hint="default" w:ascii="Times New Roman" w:hAnsi="Times New Roman" w:eastAsia="宋体" w:cs="Times New Roman"/>
          <w:color w:val="auto"/>
          <w:sz w:val="24"/>
          <w:szCs w:val="24"/>
          <w:lang w:eastAsia="zh-CN"/>
        </w:rPr>
        <w:t>柱加固后的初始刚度可按下式计算：</w:t>
      </w:r>
      <w:bookmarkEnd w:id="140"/>
    </w:p>
    <w:p w14:paraId="64D83001">
      <w:pPr>
        <w:pStyle w:val="12"/>
        <w:keepNext w:val="0"/>
        <w:keepLines w:val="0"/>
        <w:pageBreakBefore w:val="0"/>
        <w:wordWrap/>
        <w:overflowPunct/>
        <w:topLinePunct w:val="0"/>
        <w:bidi w:val="0"/>
        <w:spacing w:line="360" w:lineRule="exact"/>
        <w:ind w:firstLine="4800" w:firstLineChars="2000"/>
        <w:jc w:val="right"/>
        <w:rPr>
          <w:rFonts w:hint="default" w:ascii="Times New Roman" w:hAnsi="Times New Roman" w:eastAsia="宋体" w:cs="Times New Roman"/>
          <w:b/>
          <w:bCs/>
          <w:color w:val="auto"/>
          <w:spacing w:val="-3"/>
          <w:sz w:val="24"/>
          <w:szCs w:val="24"/>
          <w:lang w:eastAsia="zh-CN"/>
        </w:rPr>
      </w:pPr>
      <w:r>
        <w:rPr>
          <w:rFonts w:hint="default" w:ascii="Times New Roman" w:hAnsi="Times New Roman" w:eastAsia="宋体" w:cs="Times New Roman"/>
          <w:color w:val="auto"/>
          <w:position w:val="-12"/>
          <w:sz w:val="24"/>
          <w:szCs w:val="24"/>
        </w:rPr>
        <w:object>
          <v:shape id="_x0000_i1167" o:spt="75" type="#_x0000_t75" style="height:18.05pt;width:85.05pt;" o:ole="t" filled="f" o:preferrelative="t" stroked="f" coordsize="21600,21600">
            <v:path/>
            <v:fill on="f" focussize="0,0"/>
            <v:stroke on="f" joinstyle="miter"/>
            <v:imagedata r:id="rId287" o:title=""/>
            <o:lock v:ext="edit" aspectratio="t"/>
            <w10:wrap type="none"/>
            <w10:anchorlock/>
          </v:shape>
          <o:OLEObject Type="Embed" ProgID="Equation.DSMT4" ShapeID="_x0000_i1167" DrawAspect="Content" ObjectID="_1468075867" r:id="rId286">
            <o:LockedField>false</o:LockedField>
          </o:OLEObject>
        </w:object>
      </w:r>
      <w:r>
        <w:rPr>
          <w:rFonts w:hint="default" w:ascii="Times New Roman" w:hAnsi="Times New Roman" w:eastAsia="宋体" w:cs="Times New Roman"/>
          <w:color w:val="auto"/>
          <w:sz w:val="24"/>
          <w:szCs w:val="24"/>
          <w:lang w:eastAsia="zh-CN"/>
        </w:rPr>
        <w:t xml:space="preserve">                    （7.</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.3-1）</w:t>
      </w:r>
    </w:p>
    <w:p w14:paraId="6E408939">
      <w:pPr>
        <w:keepNext w:val="0"/>
        <w:keepLines w:val="0"/>
        <w:pageBreakBefore w:val="0"/>
        <w:wordWrap/>
        <w:overflowPunct/>
        <w:topLinePunct w:val="0"/>
        <w:bidi w:val="0"/>
        <w:spacing w:line="360" w:lineRule="exac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w:t>
      </w:r>
      <w:r>
        <w:rPr>
          <w:rFonts w:hint="default" w:ascii="Times New Roman" w:hAnsi="Times New Roman" w:eastAsia="宋体" w:cs="Times New Roman"/>
          <w:color w:val="auto"/>
          <w:position w:val="-4"/>
          <w:sz w:val="24"/>
          <w:szCs w:val="24"/>
        </w:rPr>
        <w:object>
          <v:shape id="_x0000_i1168" o:spt="75" type="#_x0000_t75" style="height:13.05pt;width:13.05pt;" o:ole="t" filled="f" o:preferrelative="t" stroked="f" coordsize="21600,21600">
            <v:path/>
            <v:fill on="f" focussize="0,0"/>
            <v:stroke on="f" joinstyle="miter"/>
            <v:imagedata r:id="rId289" o:title=""/>
            <o:lock v:ext="edit" aspectratio="t"/>
            <w10:wrap type="none"/>
            <w10:anchorlock/>
          </v:shape>
          <o:OLEObject Type="Embed" ProgID="Equation.DSMT4" ShapeID="_x0000_i1168" DrawAspect="Content" ObjectID="_1468075868" r:id="rId288">
            <o:LockedField>false</o:LockedField>
          </o:OLEObject>
        </w:object>
      </w:r>
      <w:r>
        <w:rPr>
          <w:rFonts w:hint="default" w:ascii="Times New Roman" w:hAnsi="Times New Roman" w:eastAsia="宋体" w:cs="Times New Roman"/>
          <w:color w:val="auto"/>
          <w:sz w:val="24"/>
          <w:szCs w:val="24"/>
        </w:rPr>
        <w:t>——加固后的初始刚度；</w:t>
      </w:r>
    </w:p>
    <w:p w14:paraId="450A6C07">
      <w:pPr>
        <w:keepNext w:val="0"/>
        <w:keepLines w:val="0"/>
        <w:pageBreakBefore w:val="0"/>
        <w:wordWrap/>
        <w:overflowPunct/>
        <w:topLinePunct w:val="0"/>
        <w:bidi w:val="0"/>
        <w:spacing w:line="360" w:lineRule="exact"/>
        <w:ind w:firstLine="720" w:firstLineChars="3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position w:val="-12"/>
          <w:sz w:val="24"/>
          <w:szCs w:val="24"/>
        </w:rPr>
        <w:object>
          <v:shape id="_x0000_i1169" o:spt="75" type="#_x0000_t75" style="height:18.05pt;width:16.1pt;" o:ole="t" filled="f" o:preferrelative="t" stroked="f" coordsize="21600,21600">
            <v:path/>
            <v:fill on="f" focussize="0,0"/>
            <v:stroke on="f" joinstyle="miter"/>
            <v:imagedata r:id="rId291" o:title=""/>
            <o:lock v:ext="edit" aspectratio="t"/>
            <w10:wrap type="none"/>
            <w10:anchorlock/>
          </v:shape>
          <o:OLEObject Type="Embed" ProgID="Equation.DSMT4" ShapeID="_x0000_i1169" DrawAspect="Content" ObjectID="_1468075869" r:id="rId290">
            <o:LockedField>false</o:LockedField>
          </o:OLEObject>
        </w:object>
      </w:r>
      <w:r>
        <w:rPr>
          <w:rFonts w:hint="default" w:ascii="Times New Roman" w:hAnsi="Times New Roman" w:eastAsia="宋体" w:cs="Times New Roman"/>
          <w:color w:val="auto"/>
          <w:sz w:val="24"/>
          <w:szCs w:val="24"/>
        </w:rPr>
        <w:t>——原柱截面的弯曲刚度；</w:t>
      </w:r>
    </w:p>
    <w:p w14:paraId="5C0CFB1A">
      <w:pPr>
        <w:keepNext w:val="0"/>
        <w:keepLines w:val="0"/>
        <w:pageBreakBefore w:val="0"/>
        <w:wordWrap/>
        <w:overflowPunct/>
        <w:topLinePunct w:val="0"/>
        <w:bidi w:val="0"/>
        <w:spacing w:line="360" w:lineRule="exact"/>
        <w:ind w:firstLine="720" w:firstLineChars="3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position w:val="-12"/>
          <w:sz w:val="24"/>
          <w:szCs w:val="24"/>
        </w:rPr>
        <w:object>
          <v:shape id="_x0000_i1170" o:spt="75" type="#_x0000_t75" style="height:18.05pt;width:15pt;" o:ole="t" filled="f" o:preferrelative="t" stroked="f" coordsize="21600,21600">
            <v:path/>
            <v:fill on="f" focussize="0,0"/>
            <v:stroke on="f" joinstyle="miter"/>
            <v:imagedata r:id="rId293" o:title=""/>
            <o:lock v:ext="edit" aspectratio="t"/>
            <w10:wrap type="none"/>
            <w10:anchorlock/>
          </v:shape>
          <o:OLEObject Type="Embed" ProgID="Equation.DSMT4" ShapeID="_x0000_i1170" DrawAspect="Content" ObjectID="_1468075870" r:id="rId292">
            <o:LockedField>false</o:LockedField>
          </o:OLEObject>
        </w:object>
      </w:r>
      <w:r>
        <w:rPr>
          <w:rFonts w:hint="default" w:ascii="Times New Roman" w:hAnsi="Times New Roman" w:eastAsia="宋体" w:cs="Times New Roman"/>
          <w:color w:val="auto"/>
          <w:sz w:val="24"/>
          <w:szCs w:val="24"/>
        </w:rPr>
        <w:t>——角钢的弹性模量；</w:t>
      </w:r>
    </w:p>
    <w:p w14:paraId="32A27BF6">
      <w:pPr>
        <w:keepNext w:val="0"/>
        <w:keepLines w:val="0"/>
        <w:pageBreakBefore w:val="0"/>
        <w:wordWrap/>
        <w:overflowPunct/>
        <w:topLinePunct w:val="0"/>
        <w:bidi w:val="0"/>
        <w:spacing w:line="360" w:lineRule="exact"/>
        <w:ind w:firstLine="720" w:firstLineChars="3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position w:val="-12"/>
          <w:sz w:val="24"/>
          <w:szCs w:val="24"/>
        </w:rPr>
        <w:object>
          <v:shape id="_x0000_i1171" o:spt="75" type="#_x0000_t75" style="height:18.05pt;width:11.95pt;" o:ole="t" filled="f" o:preferrelative="t" stroked="f" coordsize="21600,21600">
            <v:path/>
            <v:fill on="f" focussize="0,0"/>
            <v:stroke on="f" joinstyle="miter"/>
            <v:imagedata r:id="rId295" o:title=""/>
            <o:lock v:ext="edit" aspectratio="t"/>
            <w10:wrap type="none"/>
            <w10:anchorlock/>
          </v:shape>
          <o:OLEObject Type="Embed" ProgID="Equation.DSMT4" ShapeID="_x0000_i1171" DrawAspect="Content" ObjectID="_1468075871" r:id="rId294">
            <o:LockedField>false</o:LockedField>
          </o:OLEObject>
        </w:object>
      </w:r>
      <w:r>
        <w:rPr>
          <w:rFonts w:hint="default" w:ascii="Times New Roman" w:hAnsi="Times New Roman" w:eastAsia="宋体" w:cs="Times New Roman"/>
          <w:color w:val="auto"/>
          <w:sz w:val="24"/>
          <w:szCs w:val="24"/>
        </w:rPr>
        <w:t>——外包角钢对柱截面形心的惯性矩。</w:t>
      </w:r>
    </w:p>
    <w:p w14:paraId="056CB397">
      <w:pPr>
        <w:keepNext w:val="0"/>
        <w:keepLines w:val="0"/>
        <w:pageBreakBefore w:val="0"/>
        <w:wordWrap/>
        <w:overflowPunct/>
        <w:topLinePunct w:val="0"/>
        <w:bidi w:val="0"/>
        <w:spacing w:line="360" w:lineRule="exact"/>
        <w:ind w:firstLine="720" w:firstLineChars="3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2）柱加固后的现有正截面受弯承载力可按下式计算：</w:t>
      </w:r>
    </w:p>
    <w:p w14:paraId="6929D0CD">
      <w:pPr>
        <w:keepNext w:val="0"/>
        <w:keepLines w:val="0"/>
        <w:pageBreakBefore w:val="0"/>
        <w:widowControl w:val="0"/>
        <w:kinsoku/>
        <w:wordWrap/>
        <w:overflowPunct/>
        <w:topLinePunct w:val="0"/>
        <w:autoSpaceDE/>
        <w:autoSpaceDN/>
        <w:bidi w:val="0"/>
        <w:adjustRightInd/>
        <w:snapToGrid/>
        <w:spacing w:line="360" w:lineRule="exact"/>
        <w:ind w:firstLine="4560" w:firstLineChars="19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position w:val="-14"/>
          <w:sz w:val="24"/>
          <w:szCs w:val="24"/>
        </w:rPr>
        <w:object>
          <v:shape id="_x0000_i1172" o:spt="75" type="#_x0000_t75" style="height:18.9pt;width:119.55pt;" o:ole="t" filled="f" o:preferrelative="t" stroked="f" coordsize="21600,21600">
            <v:path/>
            <v:fill on="f" focussize="0,0"/>
            <v:stroke on="f" joinstyle="miter"/>
            <v:imagedata r:id="rId297" o:title=""/>
            <o:lock v:ext="edit" aspectratio="t"/>
            <w10:wrap type="none"/>
            <w10:anchorlock/>
          </v:shape>
          <o:OLEObject Type="Embed" ProgID="Equation.DSMT4" ShapeID="_x0000_i1172" DrawAspect="Content" ObjectID="_1468075872" r:id="rId296">
            <o:LockedField>false</o:LockedField>
          </o:OLEObject>
        </w:objec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z w:val="24"/>
          <w:szCs w:val="24"/>
          <w:lang w:eastAsia="zh-CN"/>
        </w:rPr>
        <w:t>7.</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.3-2）</w:t>
      </w:r>
    </w:p>
    <w:p w14:paraId="77844258">
      <w:pPr>
        <w:keepNext w:val="0"/>
        <w:keepLines w:val="0"/>
        <w:pageBreakBefore w:val="0"/>
        <w:wordWrap/>
        <w:overflowPunct/>
        <w:topLinePunct w:val="0"/>
        <w:bidi w:val="0"/>
        <w:spacing w:line="360" w:lineRule="exac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w:t>
      </w:r>
      <w:r>
        <w:rPr>
          <w:rFonts w:hint="default" w:ascii="Times New Roman" w:hAnsi="Times New Roman" w:eastAsia="宋体" w:cs="Times New Roman"/>
          <w:color w:val="auto"/>
          <w:position w:val="-14"/>
          <w:sz w:val="24"/>
          <w:szCs w:val="24"/>
        </w:rPr>
        <w:object>
          <v:shape id="_x0000_i1173" o:spt="75" type="#_x0000_t75" style="height:18.9pt;width:18.9pt;" o:ole="t" filled="f" o:preferrelative="t" stroked="f" coordsize="21600,21600">
            <v:path/>
            <v:fill on="f" focussize="0,0"/>
            <v:stroke on="f" joinstyle="miter"/>
            <v:imagedata r:id="rId299" o:title=""/>
            <o:lock v:ext="edit" aspectratio="t"/>
            <w10:wrap type="none"/>
            <w10:anchorlock/>
          </v:shape>
          <o:OLEObject Type="Embed" ProgID="Equation.DSMT4" ShapeID="_x0000_i1173" DrawAspect="Content" ObjectID="_1468075873" r:id="rId298">
            <o:LockedField>false</o:LockedField>
          </o:OLEObject>
        </w:object>
      </w:r>
      <w:r>
        <w:rPr>
          <w:rFonts w:hint="default" w:ascii="Times New Roman" w:hAnsi="Times New Roman" w:eastAsia="宋体" w:cs="Times New Roman"/>
          <w:color w:val="auto"/>
          <w:sz w:val="24"/>
          <w:szCs w:val="24"/>
        </w:rPr>
        <w:t>——柱加固后的现有正截面受弯承载力；</w:t>
      </w:r>
    </w:p>
    <w:p w14:paraId="461E29C7">
      <w:pPr>
        <w:keepNext w:val="0"/>
        <w:keepLines w:val="0"/>
        <w:pageBreakBefore w:val="0"/>
        <w:wordWrap/>
        <w:overflowPunct/>
        <w:topLinePunct w:val="0"/>
        <w:bidi w:val="0"/>
        <w:spacing w:line="360" w:lineRule="exact"/>
        <w:ind w:firstLine="720" w:firstLineChars="3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position w:val="-14"/>
          <w:sz w:val="24"/>
          <w:szCs w:val="24"/>
        </w:rPr>
        <w:object>
          <v:shape id="_x0000_i1174" o:spt="75" type="#_x0000_t75" style="height:18.9pt;width:21.95pt;" o:ole="t" filled="f" o:preferrelative="t" stroked="f" coordsize="21600,21600">
            <v:path/>
            <v:fill on="f" focussize="0,0"/>
            <v:stroke on="f" joinstyle="miter"/>
            <v:imagedata r:id="rId301" o:title=""/>
            <o:lock v:ext="edit" aspectratio="t"/>
            <w10:wrap type="none"/>
            <w10:anchorlock/>
          </v:shape>
          <o:OLEObject Type="Embed" ProgID="Equation.DSMT4" ShapeID="_x0000_i1174" DrawAspect="Content" ObjectID="_1468075874" r:id="rId300">
            <o:LockedField>false</o:LockedField>
          </o:OLEObject>
        </w:object>
      </w:r>
      <w:r>
        <w:rPr>
          <w:rFonts w:hint="default" w:ascii="Times New Roman" w:hAnsi="Times New Roman" w:eastAsia="宋体" w:cs="Times New Roman"/>
          <w:color w:val="auto"/>
          <w:sz w:val="24"/>
          <w:szCs w:val="24"/>
        </w:rPr>
        <w:t>——原柱现有正截面受弯承载力，可按国家标准《建筑抗震鉴定标准》GB 50023的有关规定确定；</w:t>
      </w:r>
    </w:p>
    <w:p w14:paraId="1CD502D5">
      <w:pPr>
        <w:keepNext w:val="0"/>
        <w:keepLines w:val="0"/>
        <w:pageBreakBefore w:val="0"/>
        <w:wordWrap/>
        <w:overflowPunct/>
        <w:topLinePunct w:val="0"/>
        <w:bidi w:val="0"/>
        <w:spacing w:line="360" w:lineRule="exact"/>
        <w:ind w:firstLine="720" w:firstLineChars="3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position w:val="-12"/>
          <w:sz w:val="24"/>
          <w:szCs w:val="24"/>
        </w:rPr>
        <w:object>
          <v:shape id="_x0000_i1175" o:spt="75" type="#_x0000_t75" style="height:18.05pt;width:13.9pt;" o:ole="t" filled="f" o:preferrelative="t" stroked="f" coordsize="21600,21600">
            <v:path/>
            <v:fill on="f" focussize="0,0"/>
            <v:stroke on="f" joinstyle="miter"/>
            <v:imagedata r:id="rId303" o:title=""/>
            <o:lock v:ext="edit" aspectratio="t"/>
            <w10:wrap type="none"/>
            <w10:anchorlock/>
          </v:shape>
          <o:OLEObject Type="Embed" ProgID="Equation.DSMT4" ShapeID="_x0000_i1175" DrawAspect="Content" ObjectID="_1468075875" r:id="rId302">
            <o:LockedField>false</o:LockedField>
          </o:OLEObject>
        </w:object>
      </w:r>
      <w:r>
        <w:rPr>
          <w:rFonts w:hint="default" w:ascii="Times New Roman" w:hAnsi="Times New Roman" w:eastAsia="宋体" w:cs="Times New Roman"/>
          <w:color w:val="auto"/>
          <w:sz w:val="24"/>
          <w:szCs w:val="24"/>
        </w:rPr>
        <w:t>——原构件震损修复后承载力折减系数，震损程度属于中等或严重的，取0.7~0.9；震损程度属于轻微和基本完好、无须修复的，取1.0；</w:t>
      </w:r>
    </w:p>
    <w:p w14:paraId="1DFFB237">
      <w:pPr>
        <w:keepNext w:val="0"/>
        <w:keepLines w:val="0"/>
        <w:pageBreakBefore w:val="0"/>
        <w:wordWrap/>
        <w:overflowPunct/>
        <w:topLinePunct w:val="0"/>
        <w:bidi w:val="0"/>
        <w:spacing w:line="360" w:lineRule="exact"/>
        <w:ind w:firstLine="720" w:firstLineChars="3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position w:val="-12"/>
          <w:sz w:val="24"/>
          <w:szCs w:val="24"/>
        </w:rPr>
        <w:object>
          <v:shape id="_x0000_i1176" o:spt="75" type="#_x0000_t75" style="height:18.05pt;width:15pt;" o:ole="t" filled="f" o:preferrelative="t" stroked="f" coordsize="21600,21600">
            <v:path/>
            <v:fill on="f" focussize="0,0"/>
            <v:stroke on="f" joinstyle="miter"/>
            <v:imagedata r:id="rId305" o:title=""/>
            <o:lock v:ext="edit" aspectratio="t"/>
            <w10:wrap type="none"/>
            <w10:anchorlock/>
          </v:shape>
          <o:OLEObject Type="Embed" ProgID="Equation.DSMT4" ShapeID="_x0000_i1176" DrawAspect="Content" ObjectID="_1468075876" r:id="rId304">
            <o:LockedField>false</o:LockedField>
          </o:OLEObject>
        </w:object>
      </w:r>
      <w:r>
        <w:rPr>
          <w:rFonts w:hint="default" w:ascii="Times New Roman" w:hAnsi="Times New Roman" w:eastAsia="宋体" w:cs="Times New Roman"/>
          <w:color w:val="auto"/>
          <w:sz w:val="24"/>
          <w:szCs w:val="24"/>
        </w:rPr>
        <w:t>——柱一侧外包角钢、扁钢的截面面积；</w:t>
      </w:r>
    </w:p>
    <w:p w14:paraId="202CB93C">
      <w:pPr>
        <w:keepNext w:val="0"/>
        <w:keepLines w:val="0"/>
        <w:pageBreakBefore w:val="0"/>
        <w:wordWrap/>
        <w:overflowPunct/>
        <w:topLinePunct w:val="0"/>
        <w:bidi w:val="0"/>
        <w:spacing w:line="360" w:lineRule="exact"/>
        <w:ind w:firstLine="720" w:firstLineChars="3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position w:val="-14"/>
          <w:sz w:val="24"/>
          <w:szCs w:val="24"/>
        </w:rPr>
        <w:object>
          <v:shape id="_x0000_i1177" o:spt="75" type="#_x0000_t75" style="height:18.9pt;width:16.95pt;" o:ole="t" filled="f" o:preferrelative="t" stroked="f" coordsize="21600,21600">
            <v:path/>
            <v:fill on="f" focussize="0,0"/>
            <v:stroke on="f" joinstyle="miter"/>
            <v:imagedata r:id="rId307" o:title=""/>
            <o:lock v:ext="edit" aspectratio="t"/>
            <w10:wrap type="none"/>
            <w10:anchorlock/>
          </v:shape>
          <o:OLEObject Type="Embed" ProgID="Equation.DSMT4" ShapeID="_x0000_i1177" DrawAspect="Content" ObjectID="_1468075877" r:id="rId306">
            <o:LockedField>false</o:LockedField>
          </o:OLEObject>
        </w:object>
      </w:r>
      <w:r>
        <w:rPr>
          <w:rFonts w:hint="default" w:ascii="Times New Roman" w:hAnsi="Times New Roman" w:eastAsia="宋体" w:cs="Times New Roman"/>
          <w:color w:val="auto"/>
          <w:sz w:val="24"/>
          <w:szCs w:val="24"/>
        </w:rPr>
        <w:t>——角钢、扁钢的抗拉屈服强度；</w:t>
      </w:r>
    </w:p>
    <w:p w14:paraId="755CD16D">
      <w:pPr>
        <w:keepNext w:val="0"/>
        <w:keepLines w:val="0"/>
        <w:pageBreakBefore w:val="0"/>
        <w:wordWrap/>
        <w:overflowPunct/>
        <w:topLinePunct w:val="0"/>
        <w:bidi w:val="0"/>
        <w:spacing w:line="360" w:lineRule="exact"/>
        <w:ind w:firstLine="720" w:firstLineChars="300"/>
        <w:rPr>
          <w:rFonts w:hint="default" w:ascii="Times New Roman" w:hAnsi="Times New Roman" w:eastAsia="宋体" w:cs="Times New Roman"/>
          <w:color w:val="auto"/>
          <w:sz w:val="24"/>
          <w:szCs w:val="24"/>
        </w:rPr>
      </w:pPr>
      <w:r>
        <w:rPr>
          <w:rFonts w:hint="default" w:ascii="Times New Roman" w:hAnsi="Times New Roman" w:eastAsia="宋体" w:cs="Times New Roman"/>
          <w:i/>
          <w:iCs/>
          <w:color w:val="auto"/>
          <w:sz w:val="24"/>
          <w:szCs w:val="24"/>
        </w:rPr>
        <w:t>h</w:t>
      </w:r>
      <w:r>
        <w:rPr>
          <w:rFonts w:hint="default" w:ascii="Times New Roman" w:hAnsi="Times New Roman" w:eastAsia="宋体" w:cs="Times New Roman"/>
          <w:color w:val="auto"/>
          <w:sz w:val="24"/>
          <w:szCs w:val="24"/>
        </w:rPr>
        <w:t>——验算方向柱截面高度。</w:t>
      </w:r>
    </w:p>
    <w:p w14:paraId="098CE8AB">
      <w:pPr>
        <w:keepNext w:val="0"/>
        <w:keepLines w:val="0"/>
        <w:pageBreakBefore w:val="0"/>
        <w:wordWrap/>
        <w:overflowPunct/>
        <w:topLinePunct w:val="0"/>
        <w:bidi w:val="0"/>
        <w:spacing w:line="360" w:lineRule="exact"/>
        <w:ind w:firstLine="720" w:firstLineChars="3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3）柱加固后的现有斜截面受剪承载力可按下式计算：</w:t>
      </w:r>
    </w:p>
    <w:p w14:paraId="66110CCC">
      <w:pPr>
        <w:keepNext w:val="0"/>
        <w:keepLines w:val="0"/>
        <w:pageBreakBefore w:val="0"/>
        <w:wordWrap/>
        <w:overflowPunct/>
        <w:topLinePunct w:val="0"/>
        <w:bidi w:val="0"/>
        <w:spacing w:line="360" w:lineRule="exact"/>
        <w:ind w:firstLine="4080" w:firstLineChars="17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position w:val="-24"/>
          <w:sz w:val="24"/>
          <w:szCs w:val="24"/>
        </w:rPr>
        <w:object>
          <v:shape id="_x0000_i1178" o:spt="75" type="#_x0000_t75" style="height:31.15pt;width:117.6pt;" o:ole="t" filled="f" o:preferrelative="t" stroked="f" coordsize="21600,21600">
            <v:path/>
            <v:fill on="f" focussize="0,0"/>
            <v:stroke on="f" joinstyle="miter"/>
            <v:imagedata r:id="rId309" o:title=""/>
            <o:lock v:ext="edit" aspectratio="t"/>
            <w10:wrap type="none"/>
            <w10:anchorlock/>
          </v:shape>
          <o:OLEObject Type="Embed" ProgID="Equation.DSMT4" ShapeID="_x0000_i1178" DrawAspect="Content" ObjectID="_1468075878" r:id="rId308">
            <o:LockedField>false</o:LockedField>
          </o:OLEObject>
        </w:object>
      </w:r>
      <w:r>
        <w:rPr>
          <w:rFonts w:hint="default" w:ascii="Times New Roman" w:hAnsi="Times New Roman" w:eastAsia="宋体" w:cs="Times New Roman"/>
          <w:color w:val="auto"/>
          <w:sz w:val="24"/>
          <w:szCs w:val="24"/>
        </w:rPr>
        <w:t xml:space="preserve">     </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z w:val="24"/>
          <w:szCs w:val="24"/>
          <w:lang w:eastAsia="zh-CN"/>
        </w:rPr>
        <w:t>7.</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.3-3）</w:t>
      </w:r>
    </w:p>
    <w:p w14:paraId="00C3BBA0">
      <w:pPr>
        <w:keepNext w:val="0"/>
        <w:keepLines w:val="0"/>
        <w:pageBreakBefore w:val="0"/>
        <w:wordWrap/>
        <w:overflowPunct/>
        <w:topLinePunct w:val="0"/>
        <w:bidi w:val="0"/>
        <w:spacing w:line="360" w:lineRule="exact"/>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式中</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position w:val="-14"/>
          <w:sz w:val="24"/>
          <w:szCs w:val="24"/>
        </w:rPr>
        <w:object>
          <v:shape id="_x0000_i1179" o:spt="75" type="#_x0000_t75" style="height:18.9pt;width:13.9pt;" o:ole="t" filled="f" o:preferrelative="t" stroked="f" coordsize="21600,21600">
            <v:path/>
            <v:fill on="f" focussize="0,0"/>
            <v:stroke on="f" joinstyle="miter"/>
            <v:imagedata r:id="rId311" o:title=""/>
            <o:lock v:ext="edit" aspectratio="t"/>
            <w10:wrap type="none"/>
            <w10:anchorlock/>
          </v:shape>
          <o:OLEObject Type="Embed" ProgID="Equation.DSMT4" ShapeID="_x0000_i1179" DrawAspect="Content" ObjectID="_1468075879" r:id="rId310">
            <o:LockedField>false</o:LockedField>
          </o:OLEObject>
        </w:object>
      </w:r>
      <w:r>
        <w:rPr>
          <w:rFonts w:hint="default" w:ascii="Times New Roman" w:hAnsi="Times New Roman" w:eastAsia="宋体" w:cs="Times New Roman"/>
          <w:color w:val="auto"/>
          <w:sz w:val="24"/>
          <w:szCs w:val="24"/>
        </w:rPr>
        <w:t>——柱加固后的现有斜截面受剪承载力；</w:t>
      </w:r>
    </w:p>
    <w:p w14:paraId="4CE41796">
      <w:pPr>
        <w:keepNext w:val="0"/>
        <w:keepLines w:val="0"/>
        <w:pageBreakBefore w:val="0"/>
        <w:wordWrap/>
        <w:overflowPunct/>
        <w:topLinePunct w:val="0"/>
        <w:bidi w:val="0"/>
        <w:spacing w:line="360" w:lineRule="exact"/>
        <w:ind w:firstLine="720" w:firstLineChars="3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position w:val="-14"/>
          <w:sz w:val="24"/>
          <w:szCs w:val="24"/>
        </w:rPr>
        <w:object>
          <v:shape id="_x0000_i1180" o:spt="75" type="#_x0000_t75" style="height:18.9pt;width:16.95pt;" o:ole="t" filled="f" o:preferrelative="t" stroked="f" coordsize="21600,21600">
            <v:path/>
            <v:fill on="f" focussize="0,0"/>
            <v:stroke on="f" joinstyle="miter"/>
            <v:imagedata r:id="rId313" o:title=""/>
            <o:lock v:ext="edit" aspectratio="t"/>
            <w10:wrap type="none"/>
            <w10:anchorlock/>
          </v:shape>
          <o:OLEObject Type="Embed" ProgID="Equation.DSMT4" ShapeID="_x0000_i1180" DrawAspect="Content" ObjectID="_1468075880" r:id="rId312">
            <o:LockedField>false</o:LockedField>
          </o:OLEObject>
        </w:object>
      </w:r>
      <w:r>
        <w:rPr>
          <w:rFonts w:hint="default" w:ascii="Times New Roman" w:hAnsi="Times New Roman" w:eastAsia="宋体" w:cs="Times New Roman"/>
          <w:color w:val="auto"/>
          <w:sz w:val="24"/>
          <w:szCs w:val="24"/>
        </w:rPr>
        <w:t>——原柱现有斜截面受剪承载力，可按国家标准《建筑抗震鉴定标准》GB 50023的有关规定确定；</w:t>
      </w:r>
    </w:p>
    <w:p w14:paraId="2BC58496">
      <w:pPr>
        <w:keepNext w:val="0"/>
        <w:keepLines w:val="0"/>
        <w:pageBreakBefore w:val="0"/>
        <w:wordWrap/>
        <w:overflowPunct/>
        <w:topLinePunct w:val="0"/>
        <w:bidi w:val="0"/>
        <w:spacing w:line="360" w:lineRule="exact"/>
        <w:ind w:firstLine="720" w:firstLineChars="3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position w:val="-12"/>
          <w:sz w:val="24"/>
          <w:szCs w:val="24"/>
        </w:rPr>
        <w:object>
          <v:shape id="_x0000_i1181" o:spt="75" type="#_x0000_t75" style="height:18.05pt;width:18.05pt;" o:ole="t" filled="f" o:preferrelative="t" stroked="f" coordsize="21600,21600">
            <v:path/>
            <v:fill on="f" focussize="0,0"/>
            <v:stroke on="f" joinstyle="miter"/>
            <v:imagedata r:id="rId315" o:title=""/>
            <o:lock v:ext="edit" aspectratio="t"/>
            <w10:wrap type="none"/>
            <w10:anchorlock/>
          </v:shape>
          <o:OLEObject Type="Embed" ProgID="Equation.DSMT4" ShapeID="_x0000_i1181" DrawAspect="Content" ObjectID="_1468075881" r:id="rId314">
            <o:LockedField>false</o:LockedField>
          </o:OLEObject>
        </w:object>
      </w:r>
      <w:r>
        <w:rPr>
          <w:rFonts w:hint="default" w:ascii="Times New Roman" w:hAnsi="Times New Roman" w:eastAsia="宋体" w:cs="Times New Roman"/>
          <w:color w:val="auto"/>
          <w:sz w:val="24"/>
          <w:szCs w:val="24"/>
        </w:rPr>
        <w:t>——同一柱截面内扁钢缀板的截面面积；</w:t>
      </w:r>
    </w:p>
    <w:p w14:paraId="12999C06">
      <w:pPr>
        <w:keepNext w:val="0"/>
        <w:keepLines w:val="0"/>
        <w:pageBreakBefore w:val="0"/>
        <w:wordWrap/>
        <w:overflowPunct/>
        <w:topLinePunct w:val="0"/>
        <w:bidi w:val="0"/>
        <w:spacing w:line="360" w:lineRule="exact"/>
        <w:ind w:firstLine="720" w:firstLineChars="3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position w:val="-14"/>
          <w:sz w:val="24"/>
          <w:szCs w:val="24"/>
        </w:rPr>
        <w:object>
          <v:shape id="_x0000_i1182" o:spt="75" type="#_x0000_t75" style="height:18.9pt;width:16.95pt;" o:ole="t" filled="f" o:preferrelative="t" stroked="f" coordsize="21600,21600">
            <v:path/>
            <v:fill on="f" focussize="0,0"/>
            <v:stroke on="f" joinstyle="miter"/>
            <v:imagedata r:id="rId317" o:title=""/>
            <o:lock v:ext="edit" aspectratio="t"/>
            <w10:wrap type="none"/>
            <w10:anchorlock/>
          </v:shape>
          <o:OLEObject Type="Embed" ProgID="Equation.DSMT4" ShapeID="_x0000_i1182" DrawAspect="Content" ObjectID="_1468075882" r:id="rId316">
            <o:LockedField>false</o:LockedField>
          </o:OLEObject>
        </w:object>
      </w:r>
      <w:r>
        <w:rPr>
          <w:rFonts w:hint="default" w:ascii="Times New Roman" w:hAnsi="Times New Roman" w:eastAsia="宋体" w:cs="Times New Roman"/>
          <w:color w:val="auto"/>
          <w:sz w:val="24"/>
          <w:szCs w:val="24"/>
        </w:rPr>
        <w:t>——扁钢抗拉屈服强度；</w:t>
      </w:r>
    </w:p>
    <w:p w14:paraId="35883B11">
      <w:pPr>
        <w:pStyle w:val="12"/>
        <w:keepNext w:val="0"/>
        <w:keepLines w:val="0"/>
        <w:pageBreakBefore w:val="0"/>
        <w:wordWrap/>
        <w:overflowPunct/>
        <w:topLinePunct w:val="0"/>
        <w:bidi w:val="0"/>
        <w:spacing w:line="360" w:lineRule="exact"/>
        <w:ind w:firstLine="960" w:firstLineChars="400"/>
        <w:jc w:val="left"/>
        <w:rPr>
          <w:rFonts w:hint="default" w:ascii="Times New Roman" w:hAnsi="Times New Roman" w:eastAsia="宋体" w:cs="Times New Roman"/>
          <w:color w:val="auto"/>
          <w:spacing w:val="-1"/>
          <w:sz w:val="24"/>
          <w:szCs w:val="24"/>
          <w:lang w:eastAsia="zh-CN"/>
        </w:rPr>
      </w:pPr>
      <w:r>
        <w:rPr>
          <w:rFonts w:hint="default" w:ascii="Times New Roman" w:hAnsi="Times New Roman" w:eastAsia="宋体" w:cs="Times New Roman"/>
          <w:i/>
          <w:iCs/>
          <w:color w:val="auto"/>
          <w:sz w:val="24"/>
          <w:szCs w:val="24"/>
          <w:lang w:eastAsia="zh-CN"/>
        </w:rPr>
        <w:t>s</w:t>
      </w:r>
      <w:r>
        <w:rPr>
          <w:rFonts w:hint="default" w:ascii="Times New Roman" w:hAnsi="Times New Roman" w:eastAsia="宋体" w:cs="Times New Roman"/>
          <w:color w:val="auto"/>
          <w:sz w:val="24"/>
          <w:szCs w:val="24"/>
          <w:lang w:eastAsia="zh-CN"/>
        </w:rPr>
        <w:t>——扁钢缀板的间距。</w:t>
      </w:r>
    </w:p>
    <w:p w14:paraId="5A2CA6E1">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条文说明：本条规定了采用钢构套加固框架的设计要求。当刚度和重力荷载代表值变化在规定的范围内时，可直接将抗震鉴定结果中构件计算配筋与实际配筋的差值，按本条规定的梁、柱钢材强度折减系数换算为所需的型钢截面面积。</w:t>
      </w:r>
    </w:p>
    <w:p w14:paraId="435FC128">
      <w:pPr>
        <w:keepNext w:val="0"/>
        <w:keepLines w:val="0"/>
        <w:pageBreakBefore w:val="0"/>
        <w:tabs>
          <w:tab w:val="left" w:pos="680"/>
          <w:tab w:val="left" w:pos="1134"/>
          <w:tab w:val="clear" w:pos="3261"/>
        </w:tabs>
        <w:wordWrap/>
        <w:overflowPunct/>
        <w:topLinePunct w:val="0"/>
        <w:bidi w:val="0"/>
        <w:adjustRightInd w:val="0"/>
        <w:spacing w:line="360" w:lineRule="exact"/>
        <w:jc w:val="left"/>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 xml:space="preserve">7.3.4 </w:t>
      </w:r>
      <w:r>
        <w:rPr>
          <w:rFonts w:hint="default" w:ascii="Times New Roman" w:hAnsi="Times New Roman" w:eastAsia="宋体" w:cs="Times New Roman"/>
          <w:color w:val="auto"/>
          <w:sz w:val="24"/>
          <w:szCs w:val="24"/>
        </w:rPr>
        <w:t>钢构套</w:t>
      </w:r>
      <w:r>
        <w:rPr>
          <w:rFonts w:hint="default" w:ascii="Times New Roman" w:hAnsi="Times New Roman" w:eastAsia="宋体" w:cs="Times New Roman"/>
          <w:color w:val="auto"/>
          <w:sz w:val="24"/>
          <w:szCs w:val="24"/>
          <w:lang w:val="en-US" w:eastAsia="zh-CN"/>
        </w:rPr>
        <w:t>加固房屋时</w:t>
      </w:r>
      <w:r>
        <w:rPr>
          <w:rFonts w:hint="default" w:ascii="Times New Roman" w:hAnsi="Times New Roman" w:eastAsia="宋体" w:cs="Times New Roman"/>
          <w:color w:val="auto"/>
          <w:sz w:val="24"/>
          <w:szCs w:val="24"/>
        </w:rPr>
        <w:t>，应符合</w:t>
      </w:r>
      <w:r>
        <w:rPr>
          <w:rFonts w:hint="default" w:ascii="Times New Roman" w:hAnsi="Times New Roman" w:eastAsia="宋体" w:cs="Times New Roman"/>
          <w:color w:val="auto"/>
          <w:sz w:val="24"/>
          <w:szCs w:val="24"/>
          <w:lang w:val="en-US" w:eastAsia="zh-CN"/>
        </w:rPr>
        <w:t>下列</w:t>
      </w:r>
      <w:r>
        <w:rPr>
          <w:rFonts w:hint="default" w:ascii="Times New Roman" w:hAnsi="Times New Roman" w:eastAsia="宋体" w:cs="Times New Roman"/>
          <w:color w:val="auto"/>
          <w:sz w:val="24"/>
          <w:szCs w:val="24"/>
        </w:rPr>
        <w:t>施工要求</w:t>
      </w:r>
    </w:p>
    <w:p w14:paraId="20288ED3">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bookmarkStart w:id="141" w:name="_Toc31286"/>
      <w:r>
        <w:rPr>
          <w:rFonts w:hint="default" w:ascii="Times New Roman" w:hAnsi="Times New Roman" w:eastAsia="宋体" w:cs="Times New Roman"/>
          <w:b/>
          <w:color w:val="auto"/>
          <w:sz w:val="24"/>
          <w:szCs w:val="24"/>
          <w:lang w:eastAsia="zh-CN"/>
        </w:rPr>
        <w:t>1</w:t>
      </w:r>
      <w:r>
        <w:rPr>
          <w:rFonts w:hint="default" w:ascii="Times New Roman" w:hAnsi="Times New Roman" w:eastAsia="宋体" w:cs="Times New Roman"/>
          <w:color w:val="auto"/>
          <w:sz w:val="24"/>
          <w:szCs w:val="24"/>
          <w:lang w:eastAsia="zh-CN"/>
        </w:rPr>
        <w:t xml:space="preserve"> 应</w:t>
      </w:r>
      <w:r>
        <w:rPr>
          <w:rFonts w:hint="default" w:ascii="Times New Roman" w:hAnsi="Times New Roman" w:eastAsia="宋体" w:cs="Times New Roman"/>
          <w:color w:val="auto"/>
          <w:sz w:val="24"/>
          <w:szCs w:val="24"/>
          <w:lang w:val="en-US" w:eastAsia="zh-CN"/>
        </w:rPr>
        <w:t>采取措施</w:t>
      </w:r>
      <w:r>
        <w:rPr>
          <w:rFonts w:hint="default" w:ascii="Times New Roman" w:hAnsi="Times New Roman" w:eastAsia="宋体" w:cs="Times New Roman"/>
          <w:color w:val="auto"/>
          <w:sz w:val="24"/>
          <w:szCs w:val="24"/>
          <w:lang w:eastAsia="zh-CN"/>
        </w:rPr>
        <w:t>卸除或大部分卸除作用在</w:t>
      </w:r>
      <w:r>
        <w:rPr>
          <w:rFonts w:hint="default" w:ascii="Times New Roman" w:hAnsi="Times New Roman" w:eastAsia="宋体" w:cs="Times New Roman"/>
          <w:color w:val="auto"/>
          <w:sz w:val="24"/>
          <w:szCs w:val="24"/>
          <w:lang w:val="en-US" w:eastAsia="zh-CN"/>
        </w:rPr>
        <w:t>结构</w:t>
      </w:r>
      <w:r>
        <w:rPr>
          <w:rFonts w:hint="default" w:ascii="Times New Roman" w:hAnsi="Times New Roman" w:eastAsia="宋体" w:cs="Times New Roman"/>
          <w:color w:val="auto"/>
          <w:sz w:val="24"/>
          <w:szCs w:val="24"/>
          <w:lang w:eastAsia="zh-CN"/>
        </w:rPr>
        <w:t>上的活荷载。</w:t>
      </w:r>
      <w:bookmarkEnd w:id="141"/>
    </w:p>
    <w:p w14:paraId="531D55ED">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2</w:t>
      </w:r>
      <w:r>
        <w:rPr>
          <w:rFonts w:hint="default" w:ascii="Times New Roman" w:hAnsi="Times New Roman" w:eastAsia="宋体" w:cs="Times New Roman"/>
          <w:color w:val="auto"/>
          <w:sz w:val="24"/>
          <w:szCs w:val="24"/>
          <w:lang w:eastAsia="zh-CN"/>
        </w:rPr>
        <w:t xml:space="preserve"> 原有的梁柱表面应清洗干净，缺陷应修补，角部应磨出小圆角。</w:t>
      </w:r>
    </w:p>
    <w:p w14:paraId="1127041C">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bookmarkStart w:id="142" w:name="_Toc22729"/>
      <w:r>
        <w:rPr>
          <w:rFonts w:hint="default" w:ascii="Times New Roman" w:hAnsi="Times New Roman" w:eastAsia="宋体" w:cs="Times New Roman"/>
          <w:b/>
          <w:color w:val="auto"/>
          <w:sz w:val="24"/>
          <w:szCs w:val="24"/>
          <w:lang w:eastAsia="zh-CN"/>
        </w:rPr>
        <w:t>3</w:t>
      </w:r>
      <w:r>
        <w:rPr>
          <w:rFonts w:hint="default" w:ascii="Times New Roman" w:hAnsi="Times New Roman" w:eastAsia="宋体" w:cs="Times New Roman"/>
          <w:color w:val="auto"/>
          <w:sz w:val="24"/>
          <w:szCs w:val="24"/>
          <w:lang w:eastAsia="zh-CN"/>
        </w:rPr>
        <w:t xml:space="preserve"> 楼板凿洞时，应避免损伤原有钢筋。</w:t>
      </w:r>
      <w:bookmarkEnd w:id="142"/>
    </w:p>
    <w:p w14:paraId="74A866A8">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4</w:t>
      </w:r>
      <w:r>
        <w:rPr>
          <w:rFonts w:hint="default" w:ascii="Times New Roman" w:hAnsi="Times New Roman" w:eastAsia="宋体" w:cs="Times New Roman"/>
          <w:color w:val="auto"/>
          <w:sz w:val="24"/>
          <w:szCs w:val="24"/>
          <w:lang w:eastAsia="zh-CN"/>
        </w:rPr>
        <w:t xml:space="preserve"> 构架的角钢应采用夹具在两个方向夹紧，缀板应分段焊接。注胶应在构架焊接完成后进行，胶缝厚度宜控制在3～5mm。</w:t>
      </w:r>
    </w:p>
    <w:p w14:paraId="37E68074">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 xml:space="preserve">5 </w:t>
      </w:r>
      <w:r>
        <w:rPr>
          <w:rFonts w:hint="default" w:ascii="Times New Roman" w:hAnsi="Times New Roman" w:eastAsia="宋体" w:cs="Times New Roman"/>
          <w:color w:val="auto"/>
          <w:sz w:val="24"/>
          <w:szCs w:val="24"/>
          <w:lang w:eastAsia="zh-CN"/>
        </w:rPr>
        <w:t>钢材表面应涂刷防锈漆，或在构架外围抹25mm厚的1:3水泥砂浆保护层，也可采用其他具有防腐蚀和防火性能的饰面材料加以保护。</w:t>
      </w:r>
    </w:p>
    <w:p w14:paraId="40112B1E">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条文说明：本条规定了钢构套的施工要点，需采取措施加强钢材与原有混凝土构件的连接，并注意防火和防腐，这些要求直接关系到加固效果，故注意遵守。</w:t>
      </w:r>
    </w:p>
    <w:p w14:paraId="31EF4C93">
      <w:pPr>
        <w:keepNext w:val="0"/>
        <w:keepLines w:val="0"/>
        <w:pageBreakBefore w:val="0"/>
        <w:wordWrap/>
        <w:overflowPunct/>
        <w:topLinePunct w:val="0"/>
        <w:bidi w:val="0"/>
        <w:spacing w:before="120" w:after="120" w:line="360" w:lineRule="exact"/>
        <w:jc w:val="center"/>
        <w:rPr>
          <w:rFonts w:hint="default" w:ascii="Times New Roman" w:hAnsi="Times New Roman" w:eastAsia="宋体" w:cs="Times New Roman"/>
          <w:color w:val="auto"/>
          <w:sz w:val="24"/>
          <w:szCs w:val="24"/>
        </w:rPr>
      </w:pPr>
      <w:bookmarkStart w:id="143" w:name="_Toc7431"/>
      <w:r>
        <w:rPr>
          <w:rFonts w:hint="default" w:ascii="Times New Roman" w:hAnsi="Times New Roman" w:eastAsia="宋体" w:cs="Times New Roman"/>
          <w:color w:val="auto"/>
          <w:sz w:val="24"/>
          <w:szCs w:val="24"/>
        </w:rPr>
        <w:t>III 钢筋混凝土套加固</w:t>
      </w:r>
      <w:bookmarkEnd w:id="143"/>
    </w:p>
    <w:p w14:paraId="143E4B56">
      <w:pPr>
        <w:keepNext w:val="0"/>
        <w:keepLines w:val="0"/>
        <w:pageBreakBefore w:val="0"/>
        <w:tabs>
          <w:tab w:val="left" w:pos="680"/>
          <w:tab w:val="left" w:pos="1134"/>
          <w:tab w:val="clear" w:pos="3261"/>
        </w:tabs>
        <w:wordWrap/>
        <w:overflowPunct/>
        <w:topLinePunct w:val="0"/>
        <w:bidi w:val="0"/>
        <w:adjustRightInd w:val="0"/>
        <w:spacing w:line="360" w:lineRule="exact"/>
        <w:jc w:val="left"/>
        <w:rPr>
          <w:rFonts w:hint="default" w:ascii="Times New Roman" w:hAnsi="Times New Roman" w:eastAsia="宋体" w:cs="Times New Roman"/>
          <w:color w:val="auto"/>
          <w:sz w:val="24"/>
          <w:szCs w:val="24"/>
        </w:rPr>
      </w:pPr>
      <w:bookmarkStart w:id="144" w:name="_Toc8213"/>
      <w:r>
        <w:rPr>
          <w:rFonts w:hint="default" w:ascii="Times New Roman" w:hAnsi="Times New Roman" w:eastAsia="宋体" w:cs="Times New Roman"/>
          <w:b/>
          <w:bCs/>
          <w:color w:val="auto"/>
          <w:sz w:val="24"/>
          <w:szCs w:val="24"/>
          <w:lang w:val="en-US" w:eastAsia="zh-CN"/>
        </w:rPr>
        <w:t xml:space="preserve">7.3.5 </w:t>
      </w:r>
      <w:r>
        <w:rPr>
          <w:rFonts w:hint="default" w:ascii="Times New Roman" w:hAnsi="Times New Roman" w:eastAsia="宋体" w:cs="Times New Roman"/>
          <w:color w:val="auto"/>
          <w:sz w:val="24"/>
          <w:szCs w:val="24"/>
        </w:rPr>
        <w:t>采用钢筋混凝土套加固梁柱时，应符合下列规定：</w:t>
      </w:r>
      <w:bookmarkEnd w:id="144"/>
    </w:p>
    <w:p w14:paraId="304D69A1">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1</w:t>
      </w:r>
      <w:r>
        <w:rPr>
          <w:rFonts w:hint="default" w:ascii="Times New Roman" w:hAnsi="Times New Roman" w:eastAsia="宋体" w:cs="Times New Roman"/>
          <w:color w:val="auto"/>
          <w:sz w:val="24"/>
          <w:szCs w:val="24"/>
          <w:lang w:eastAsia="zh-CN"/>
        </w:rPr>
        <w:t xml:space="preserve"> 混凝土的强度等级不应低于C25，且不应低于原构件实际的混凝土强度等级。</w:t>
      </w:r>
    </w:p>
    <w:p w14:paraId="5D236656">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 xml:space="preserve">2 </w:t>
      </w:r>
      <w:r>
        <w:rPr>
          <w:rFonts w:hint="default" w:ascii="Times New Roman" w:hAnsi="Times New Roman" w:eastAsia="宋体" w:cs="Times New Roman"/>
          <w:color w:val="auto"/>
          <w:sz w:val="24"/>
          <w:szCs w:val="24"/>
          <w:lang w:eastAsia="zh-CN"/>
        </w:rPr>
        <w:t>柱套的纵向钢筋遇到楼板时，应凿洞穿过并上下连接，其根部应伸入基础并满足锚固要求，其顶部应在屋面板处封顶锚固；梁套的纵向钢筋应与柱可靠连接。</w:t>
      </w:r>
    </w:p>
    <w:p w14:paraId="41DED4C0">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bookmarkStart w:id="145" w:name="bookmark135"/>
      <w:bookmarkEnd w:id="145"/>
      <w:r>
        <w:rPr>
          <w:rFonts w:hint="default" w:ascii="Times New Roman" w:hAnsi="Times New Roman" w:eastAsia="宋体" w:cs="Times New Roman"/>
          <w:b/>
          <w:color w:val="auto"/>
          <w:sz w:val="24"/>
          <w:szCs w:val="24"/>
          <w:lang w:eastAsia="zh-CN"/>
        </w:rPr>
        <w:t xml:space="preserve">3 </w:t>
      </w:r>
      <w:r>
        <w:rPr>
          <w:rFonts w:hint="default" w:ascii="Times New Roman" w:hAnsi="Times New Roman" w:eastAsia="宋体" w:cs="Times New Roman"/>
          <w:color w:val="auto"/>
          <w:sz w:val="24"/>
          <w:szCs w:val="24"/>
          <w:lang w:eastAsia="zh-CN"/>
        </w:rPr>
        <w:t>加固后梁、柱按整体截面进行抗震验算，新增的混凝土和钢筋的材料强度应乘以规定的折减系数。</w:t>
      </w:r>
    </w:p>
    <w:p w14:paraId="52A93EA3">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本条规定了采用钢筋混凝土套加固梁柱的基本要求。钢筋混凝土套加固后构件刚度有一定增加，整个结构的地震作用有所增大，但试验研究表明，钢筋混凝土套加固后可作为整体构件计算，其承载力和延性的提高可比刚度的增加要大，从而达到加固的目的。</w:t>
      </w:r>
    </w:p>
    <w:p w14:paraId="0CA969F2">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为使混凝土套的加固有效，注意以下几点：①混凝土套的纵向钢筋要与其两端的原结构构件，如楼盖、屋盖、基础和柱等可靠连接；②应考虑新增部分的应力滞后，作为整体构件验算承载力，新增的混凝土和钢筋的强度，均应乘以折减系数。</w:t>
      </w:r>
    </w:p>
    <w:p w14:paraId="154F3363">
      <w:pPr>
        <w:keepNext w:val="0"/>
        <w:keepLines w:val="0"/>
        <w:pageBreakBefore w:val="0"/>
        <w:tabs>
          <w:tab w:val="left" w:pos="680"/>
          <w:tab w:val="left" w:pos="1134"/>
          <w:tab w:val="clear" w:pos="3261"/>
        </w:tabs>
        <w:wordWrap/>
        <w:overflowPunct/>
        <w:topLinePunct w:val="0"/>
        <w:bidi w:val="0"/>
        <w:adjustRightInd w:val="0"/>
        <w:spacing w:line="360" w:lineRule="exact"/>
        <w:jc w:val="left"/>
        <w:rPr>
          <w:rFonts w:hint="default" w:ascii="Times New Roman" w:hAnsi="Times New Roman" w:eastAsia="宋体" w:cs="Times New Roman"/>
          <w:color w:val="auto"/>
          <w:sz w:val="24"/>
          <w:szCs w:val="24"/>
        </w:rPr>
      </w:pPr>
      <w:bookmarkStart w:id="146" w:name="_Toc6278"/>
      <w:r>
        <w:rPr>
          <w:rFonts w:hint="default" w:ascii="Times New Roman" w:hAnsi="Times New Roman" w:eastAsia="宋体" w:cs="Times New Roman"/>
          <w:b/>
          <w:bCs/>
          <w:color w:val="auto"/>
          <w:sz w:val="24"/>
          <w:szCs w:val="24"/>
          <w:lang w:val="en-US" w:eastAsia="zh-CN"/>
        </w:rPr>
        <w:t xml:space="preserve">7.3.6 </w:t>
      </w:r>
      <w:r>
        <w:rPr>
          <w:rFonts w:hint="default" w:ascii="Times New Roman" w:hAnsi="Times New Roman" w:eastAsia="宋体" w:cs="Times New Roman"/>
          <w:color w:val="auto"/>
          <w:sz w:val="24"/>
          <w:szCs w:val="24"/>
        </w:rPr>
        <w:t>采用钢筋混凝土套加固梁柱的设计，应符合下列规定：</w:t>
      </w:r>
      <w:bookmarkEnd w:id="146"/>
    </w:p>
    <w:p w14:paraId="13C9B41F">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1</w:t>
      </w:r>
      <w:r>
        <w:rPr>
          <w:rFonts w:hint="default" w:ascii="Times New Roman" w:hAnsi="Times New Roman" w:eastAsia="宋体" w:cs="Times New Roman"/>
          <w:color w:val="auto"/>
          <w:sz w:val="24"/>
          <w:szCs w:val="24"/>
          <w:lang w:eastAsia="zh-CN"/>
        </w:rPr>
        <w:t xml:space="preserve"> 当采用钢筋混凝土套加固混凝土构件时，可根据原构件的受力性质，构造特点和现场条件，选用四面加厚(即围套式)、三面加厚或两面加厚等构造形式。</w:t>
      </w:r>
    </w:p>
    <w:p w14:paraId="0D71279E">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b/>
          <w:color w:val="auto"/>
          <w:sz w:val="24"/>
          <w:szCs w:val="24"/>
          <w:lang w:eastAsia="zh-CN"/>
        </w:rPr>
      </w:pPr>
      <w:bookmarkStart w:id="147" w:name="_Toc6039"/>
      <w:r>
        <w:rPr>
          <w:rFonts w:hint="default" w:ascii="Times New Roman" w:hAnsi="Times New Roman" w:eastAsia="宋体" w:cs="Times New Roman"/>
          <w:b/>
          <w:color w:val="auto"/>
          <w:sz w:val="24"/>
          <w:szCs w:val="24"/>
          <w:lang w:eastAsia="zh-CN"/>
        </w:rPr>
        <w:t xml:space="preserve">2 </w:t>
      </w:r>
      <w:r>
        <w:rPr>
          <w:rFonts w:hint="default" w:ascii="Times New Roman" w:hAnsi="Times New Roman" w:eastAsia="宋体" w:cs="Times New Roman"/>
          <w:bCs/>
          <w:color w:val="auto"/>
          <w:sz w:val="24"/>
          <w:szCs w:val="24"/>
          <w:lang w:eastAsia="zh-CN"/>
        </w:rPr>
        <w:t>钢筋混凝土套的材料和构造应符合下列规定：</w:t>
      </w:r>
      <w:bookmarkEnd w:id="147"/>
    </w:p>
    <w:p w14:paraId="1103B739">
      <w:pPr>
        <w:pStyle w:val="12"/>
        <w:keepNext w:val="0"/>
        <w:keepLines w:val="0"/>
        <w:pageBreakBefore w:val="0"/>
        <w:wordWrap/>
        <w:overflowPunct/>
        <w:topLinePunct w:val="0"/>
        <w:bidi w:val="0"/>
        <w:spacing w:line="360" w:lineRule="exact"/>
        <w:ind w:firstLine="723" w:firstLineChars="3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1）</w:t>
      </w:r>
      <w:r>
        <w:rPr>
          <w:rFonts w:hint="default" w:ascii="Times New Roman" w:hAnsi="Times New Roman" w:eastAsia="宋体" w:cs="Times New Roman"/>
          <w:color w:val="auto"/>
          <w:sz w:val="24"/>
          <w:szCs w:val="24"/>
          <w:lang w:eastAsia="zh-CN"/>
        </w:rPr>
        <w:t>宜采用细石混凝土，其强度宜高于原构件一个等级；新增混凝土的最小厚度，加固板时不应小于40mm，加固梁、柱时不应小于60mm，用喷射混凝土施工时不应小于50mm；</w:t>
      </w:r>
    </w:p>
    <w:p w14:paraId="55C39C2B">
      <w:pPr>
        <w:pStyle w:val="12"/>
        <w:keepNext w:val="0"/>
        <w:keepLines w:val="0"/>
        <w:pageBreakBefore w:val="0"/>
        <w:wordWrap/>
        <w:overflowPunct/>
        <w:topLinePunct w:val="0"/>
        <w:bidi w:val="0"/>
        <w:spacing w:line="360" w:lineRule="exact"/>
        <w:ind w:firstLine="723" w:firstLineChars="3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2）</w:t>
      </w:r>
      <w:r>
        <w:rPr>
          <w:rFonts w:hint="default" w:ascii="Times New Roman" w:hAnsi="Times New Roman" w:eastAsia="宋体" w:cs="Times New Roman"/>
          <w:color w:val="auto"/>
          <w:sz w:val="24"/>
          <w:szCs w:val="24"/>
          <w:lang w:eastAsia="zh-CN"/>
        </w:rPr>
        <w:t>纵向钢筋宜采用HRB400级热轧钢筋，箍筋可采用HPB300级热轧钢筋；</w:t>
      </w:r>
    </w:p>
    <w:p w14:paraId="4B1BD70F">
      <w:pPr>
        <w:pStyle w:val="12"/>
        <w:keepNext w:val="0"/>
        <w:keepLines w:val="0"/>
        <w:pageBreakBefore w:val="0"/>
        <w:wordWrap/>
        <w:overflowPunct/>
        <w:topLinePunct w:val="0"/>
        <w:bidi w:val="0"/>
        <w:spacing w:line="360" w:lineRule="exact"/>
        <w:ind w:firstLine="723" w:firstLineChars="3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3）</w:t>
      </w:r>
      <w:r>
        <w:rPr>
          <w:rFonts w:hint="default" w:ascii="Times New Roman" w:hAnsi="Times New Roman" w:eastAsia="宋体" w:cs="Times New Roman"/>
          <w:color w:val="auto"/>
          <w:sz w:val="24"/>
          <w:szCs w:val="24"/>
          <w:lang w:eastAsia="zh-CN"/>
        </w:rPr>
        <w:t>箍筋直径和间距应符合其抗震等级的相关要求；靠近梁柱节点处应加密；柱套的箍筋应封闭，梁套的箍筋应有一半穿过楼板后弯折封闭；</w:t>
      </w:r>
    </w:p>
    <w:p w14:paraId="4DB7B331">
      <w:pPr>
        <w:pStyle w:val="12"/>
        <w:keepNext w:val="0"/>
        <w:keepLines w:val="0"/>
        <w:pageBreakBefore w:val="0"/>
        <w:wordWrap/>
        <w:overflowPunct/>
        <w:topLinePunct w:val="0"/>
        <w:bidi w:val="0"/>
        <w:spacing w:line="360" w:lineRule="exact"/>
        <w:ind w:firstLine="723" w:firstLineChars="3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4）</w:t>
      </w:r>
      <w:r>
        <w:rPr>
          <w:rFonts w:hint="default" w:ascii="Times New Roman" w:hAnsi="Times New Roman" w:eastAsia="宋体" w:cs="Times New Roman"/>
          <w:color w:val="auto"/>
          <w:sz w:val="24"/>
          <w:szCs w:val="24"/>
          <w:lang w:eastAsia="zh-CN"/>
        </w:rPr>
        <w:t>钢筋混凝土套加固混凝土梁时，加固的受力钢筋与原构件的受力钢筋间的净距不应小于20mm，可采用短筋焊接连接，箍筋应采用封闭箍筋或U型箍筋，并按照现行国家标准《混凝土结构设计标准》</w:t>
      </w:r>
      <w:r>
        <w:rPr>
          <w:rFonts w:hint="default" w:ascii="Times New Roman" w:hAnsi="Times New Roman" w:eastAsia="宋体" w:cs="Times New Roman"/>
          <w:color w:val="auto"/>
          <w:sz w:val="24"/>
          <w:szCs w:val="24"/>
        </w:rPr>
        <w:t>GB/T50011</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lang w:eastAsia="zh-CN"/>
        </w:rPr>
        <w:t>对箍筋的构造要求进行设置；</w:t>
      </w:r>
    </w:p>
    <w:p w14:paraId="2B6692E4">
      <w:pPr>
        <w:pStyle w:val="12"/>
        <w:keepNext w:val="0"/>
        <w:keepLines w:val="0"/>
        <w:pageBreakBefore w:val="0"/>
        <w:wordWrap/>
        <w:overflowPunct/>
        <w:topLinePunct w:val="0"/>
        <w:bidi w:val="0"/>
        <w:spacing w:line="360" w:lineRule="exact"/>
        <w:ind w:firstLine="723" w:firstLineChars="3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5）</w:t>
      </w:r>
      <w:r>
        <w:rPr>
          <w:rFonts w:hint="default" w:ascii="Times New Roman" w:hAnsi="Times New Roman" w:eastAsia="宋体" w:cs="Times New Roman"/>
          <w:color w:val="auto"/>
          <w:sz w:val="24"/>
          <w:szCs w:val="24"/>
          <w:lang w:eastAsia="zh-CN"/>
        </w:rPr>
        <w:t>当新增受力钢筋与原构件的受力钢筋采用短筋焊接时，短筋的直径不应小于20mm,长度不小于5</w:t>
      </w:r>
      <w:r>
        <w:rPr>
          <w:rFonts w:hint="default" w:ascii="Times New Roman" w:hAnsi="Times New Roman" w:eastAsia="宋体" w:cs="Times New Roman"/>
          <w:i/>
          <w:iCs/>
          <w:color w:val="auto"/>
          <w:sz w:val="24"/>
          <w:szCs w:val="24"/>
          <w:lang w:eastAsia="zh-CN"/>
        </w:rPr>
        <w:t>d</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i/>
          <w:iCs/>
          <w:color w:val="auto"/>
          <w:sz w:val="24"/>
          <w:szCs w:val="24"/>
          <w:lang w:eastAsia="zh-CN"/>
        </w:rPr>
        <w:t>d</w:t>
      </w:r>
      <w:r>
        <w:rPr>
          <w:rFonts w:hint="default" w:ascii="Times New Roman" w:hAnsi="Times New Roman" w:eastAsia="宋体" w:cs="Times New Roman"/>
          <w:color w:val="auto"/>
          <w:sz w:val="24"/>
          <w:szCs w:val="24"/>
          <w:lang w:eastAsia="zh-CN"/>
        </w:rPr>
        <w:t>为新增纵筋和原有纵筋直径的较小值)，各短筋的中心距不大于500mm(图7.</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.6a);</w:t>
      </w:r>
    </w:p>
    <w:p w14:paraId="2248EB44">
      <w:pPr>
        <w:pStyle w:val="12"/>
        <w:keepNext w:val="0"/>
        <w:keepLines w:val="0"/>
        <w:pageBreakBefore w:val="0"/>
        <w:wordWrap/>
        <w:overflowPunct/>
        <w:topLinePunct w:val="0"/>
        <w:bidi w:val="0"/>
        <w:spacing w:line="360" w:lineRule="exact"/>
        <w:ind w:firstLine="723" w:firstLineChars="3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6）</w:t>
      </w:r>
      <w:r>
        <w:rPr>
          <w:rFonts w:hint="default" w:ascii="Times New Roman" w:hAnsi="Times New Roman" w:eastAsia="宋体" w:cs="Times New Roman"/>
          <w:color w:val="auto"/>
          <w:sz w:val="24"/>
          <w:szCs w:val="24"/>
          <w:lang w:eastAsia="zh-CN"/>
        </w:rPr>
        <w:t>当用混凝土围套进行加固时，应设置环形箍筋或胶锚式箍筋(图7.</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.6b);</w:t>
      </w:r>
    </w:p>
    <w:p w14:paraId="75D1BF32">
      <w:pPr>
        <w:pStyle w:val="12"/>
        <w:keepNext w:val="0"/>
        <w:keepLines w:val="0"/>
        <w:pageBreakBefore w:val="0"/>
        <w:wordWrap/>
        <w:overflowPunct/>
        <w:topLinePunct w:val="0"/>
        <w:bidi w:val="0"/>
        <w:spacing w:line="360" w:lineRule="exact"/>
        <w:ind w:firstLine="720" w:firstLineChars="3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drawing>
          <wp:anchor distT="0" distB="0" distL="114300" distR="114300" simplePos="0" relativeHeight="251659264" behindDoc="0" locked="0" layoutInCell="1" allowOverlap="1">
            <wp:simplePos x="0" y="0"/>
            <wp:positionH relativeFrom="column">
              <wp:posOffset>-20955</wp:posOffset>
            </wp:positionH>
            <wp:positionV relativeFrom="paragraph">
              <wp:posOffset>1010920</wp:posOffset>
            </wp:positionV>
            <wp:extent cx="6260465" cy="2343150"/>
            <wp:effectExtent l="0" t="0" r="0" b="0"/>
            <wp:wrapTopAndBottom/>
            <wp:docPr id="6"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7"/>
                    <pic:cNvPicPr>
                      <a:picLocks noChangeAspect="1"/>
                    </pic:cNvPicPr>
                  </pic:nvPicPr>
                  <pic:blipFill>
                    <a:blip r:embed="rId318"/>
                    <a:srcRect b="10934"/>
                    <a:stretch>
                      <a:fillRect/>
                    </a:stretch>
                  </pic:blipFill>
                  <pic:spPr>
                    <a:xfrm>
                      <a:off x="0" y="0"/>
                      <a:ext cx="6260465" cy="2343150"/>
                    </a:xfrm>
                    <a:prstGeom prst="rect">
                      <a:avLst/>
                    </a:prstGeom>
                    <a:noFill/>
                    <a:ln>
                      <a:noFill/>
                    </a:ln>
                  </pic:spPr>
                </pic:pic>
              </a:graphicData>
            </a:graphic>
          </wp:anchor>
        </w:drawing>
      </w:r>
      <w:r>
        <w:rPr>
          <w:rFonts w:hint="default" w:ascii="Times New Roman" w:hAnsi="Times New Roman" w:eastAsia="宋体" w:cs="Times New Roman"/>
          <w:b/>
          <w:color w:val="auto"/>
          <w:sz w:val="24"/>
          <w:szCs w:val="24"/>
          <w:lang w:eastAsia="zh-CN"/>
        </w:rPr>
        <w:t>7）</w:t>
      </w:r>
      <w:r>
        <w:rPr>
          <w:rFonts w:hint="default" w:ascii="Times New Roman" w:hAnsi="Times New Roman" w:eastAsia="宋体" w:cs="Times New Roman"/>
          <w:color w:val="auto"/>
          <w:sz w:val="24"/>
          <w:szCs w:val="24"/>
          <w:lang w:eastAsia="zh-CN"/>
        </w:rPr>
        <w:t>当用单侧或双侧加固时，应设置U型箍筋(图7.</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.6c)。U型箍筋应焊在原有箍筋上，单面焊缝长度应为10</w:t>
      </w:r>
      <w:r>
        <w:rPr>
          <w:rFonts w:hint="default" w:ascii="Times New Roman" w:hAnsi="Times New Roman" w:eastAsia="宋体" w:cs="Times New Roman"/>
          <w:i/>
          <w:iCs/>
          <w:color w:val="auto"/>
          <w:sz w:val="24"/>
          <w:szCs w:val="24"/>
          <w:lang w:eastAsia="zh-CN"/>
        </w:rPr>
        <w:t>d</w:t>
      </w:r>
      <w:r>
        <w:rPr>
          <w:rFonts w:hint="default" w:ascii="Times New Roman" w:hAnsi="Times New Roman" w:eastAsia="宋体" w:cs="Times New Roman"/>
          <w:color w:val="auto"/>
          <w:sz w:val="24"/>
          <w:szCs w:val="24"/>
          <w:lang w:eastAsia="zh-CN"/>
        </w:rPr>
        <w:t>，双面焊缝应为5</w:t>
      </w:r>
      <w:r>
        <w:rPr>
          <w:rFonts w:hint="default" w:ascii="Times New Roman" w:hAnsi="Times New Roman" w:eastAsia="宋体" w:cs="Times New Roman"/>
          <w:i/>
          <w:iCs/>
          <w:color w:val="auto"/>
          <w:sz w:val="24"/>
          <w:szCs w:val="24"/>
          <w:lang w:eastAsia="zh-CN"/>
        </w:rPr>
        <w:t>d</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i/>
          <w:iCs/>
          <w:color w:val="auto"/>
          <w:sz w:val="24"/>
          <w:szCs w:val="24"/>
          <w:lang w:eastAsia="zh-CN"/>
        </w:rPr>
        <w:t>d</w:t>
      </w:r>
      <w:r>
        <w:rPr>
          <w:rFonts w:hint="default" w:ascii="Times New Roman" w:hAnsi="Times New Roman" w:eastAsia="宋体" w:cs="Times New Roman"/>
          <w:color w:val="auto"/>
          <w:sz w:val="24"/>
          <w:szCs w:val="24"/>
          <w:lang w:eastAsia="zh-CN"/>
        </w:rPr>
        <w:t>为U型箍筋直径)。U型箍筋可直</w:t>
      </w:r>
      <w:r>
        <w:rPr>
          <w:rFonts w:hint="default" w:ascii="Times New Roman" w:hAnsi="Times New Roman" w:eastAsia="宋体" w:cs="Times New Roman"/>
          <w:color w:val="auto"/>
          <w:sz w:val="24"/>
          <w:szCs w:val="24"/>
          <w:lang w:val="en-US" w:eastAsia="zh-CN"/>
        </w:rPr>
        <w:t>接</w:t>
      </w:r>
      <w:r>
        <w:rPr>
          <w:rFonts w:hint="default" w:ascii="Times New Roman" w:hAnsi="Times New Roman" w:eastAsia="宋体" w:cs="Times New Roman"/>
          <w:color w:val="auto"/>
          <w:sz w:val="24"/>
          <w:szCs w:val="24"/>
          <w:lang w:eastAsia="zh-CN"/>
        </w:rPr>
        <w:t>植入锚孔内，植筋直径</w:t>
      </w:r>
      <w:r>
        <w:rPr>
          <w:rFonts w:hint="default" w:ascii="Times New Roman" w:hAnsi="Times New Roman" w:eastAsia="宋体" w:cs="Times New Roman"/>
          <w:i/>
          <w:iCs/>
          <w:color w:val="auto"/>
          <w:sz w:val="24"/>
          <w:szCs w:val="24"/>
          <w:lang w:eastAsia="zh-CN"/>
        </w:rPr>
        <w:t>d</w:t>
      </w:r>
      <w:r>
        <w:rPr>
          <w:rFonts w:hint="default" w:ascii="Times New Roman" w:hAnsi="Times New Roman" w:eastAsia="宋体" w:cs="Times New Roman"/>
          <w:color w:val="auto"/>
          <w:sz w:val="24"/>
          <w:szCs w:val="24"/>
          <w:lang w:eastAsia="zh-CN"/>
        </w:rPr>
        <w:t>不应小于10mm，距构件边缘不小于3</w:t>
      </w:r>
      <w:r>
        <w:rPr>
          <w:rFonts w:hint="default" w:ascii="Times New Roman" w:hAnsi="Times New Roman" w:eastAsia="宋体" w:cs="Times New Roman"/>
          <w:i/>
          <w:iCs/>
          <w:color w:val="auto"/>
          <w:sz w:val="24"/>
          <w:szCs w:val="24"/>
          <w:lang w:eastAsia="zh-CN"/>
        </w:rPr>
        <w:t>d</w:t>
      </w:r>
      <w:r>
        <w:rPr>
          <w:rFonts w:hint="default" w:ascii="Times New Roman" w:hAnsi="Times New Roman" w:eastAsia="宋体" w:cs="Times New Roman"/>
          <w:color w:val="auto"/>
          <w:sz w:val="24"/>
          <w:szCs w:val="24"/>
          <w:lang w:eastAsia="zh-CN"/>
        </w:rPr>
        <w:t>，且不小于40mm，锚固深度不小于10</w:t>
      </w:r>
      <w:r>
        <w:rPr>
          <w:rFonts w:hint="default" w:ascii="Times New Roman" w:hAnsi="Times New Roman" w:eastAsia="宋体" w:cs="Times New Roman"/>
          <w:i/>
          <w:iCs/>
          <w:color w:val="auto"/>
          <w:sz w:val="24"/>
          <w:szCs w:val="24"/>
          <w:lang w:eastAsia="zh-CN"/>
        </w:rPr>
        <w:t>d</w:t>
      </w:r>
      <w:r>
        <w:rPr>
          <w:rFonts w:hint="default" w:ascii="Times New Roman" w:hAnsi="Times New Roman" w:eastAsia="宋体" w:cs="Times New Roman"/>
          <w:color w:val="auto"/>
          <w:sz w:val="24"/>
          <w:szCs w:val="24"/>
          <w:lang w:eastAsia="zh-CN"/>
        </w:rPr>
        <w:t>，并采用高强度粘结剂将锚钉锚固于原有梁、柱的钻孔内，钻孔直径应大于锚钉直径4mm。</w:t>
      </w:r>
    </w:p>
    <w:p w14:paraId="5D7FADB8">
      <w:pPr>
        <w:keepNext w:val="0"/>
        <w:keepLines w:val="0"/>
        <w:pageBreakBefore w:val="0"/>
        <w:widowControl w:val="0"/>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a</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连接短筋构造</w:t>
      </w:r>
    </w:p>
    <w:p w14:paraId="3E0CF210">
      <w:pPr>
        <w:pStyle w:val="12"/>
        <w:keepNext w:val="0"/>
        <w:keepLines w:val="0"/>
        <w:pageBreakBefore w:val="0"/>
        <w:wordWrap/>
        <w:overflowPunct/>
        <w:topLinePunct w:val="0"/>
        <w:bidi w:val="0"/>
        <w:spacing w:line="360" w:lineRule="exact"/>
        <w:ind w:firstLine="720" w:firstLineChars="300"/>
        <w:rPr>
          <w:rFonts w:hint="default" w:ascii="Times New Roman" w:hAnsi="Times New Roman" w:eastAsia="宋体" w:cs="Times New Roman"/>
          <w:color w:val="auto"/>
          <w:sz w:val="24"/>
          <w:szCs w:val="24"/>
          <w:lang w:eastAsia="zh-CN"/>
        </w:rPr>
      </w:pPr>
    </w:p>
    <w:p w14:paraId="7AA1D9A7">
      <w:pPr>
        <w:keepNext w:val="0"/>
        <w:keepLines w:val="0"/>
        <w:pageBreakBefore w:val="0"/>
        <w:wordWrap/>
        <w:overflowPunct/>
        <w:topLinePunct w:val="0"/>
        <w:bidi w:val="0"/>
        <w:spacing w:before="73" w:line="360" w:lineRule="exact"/>
        <w:ind w:right="2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drawing>
          <wp:anchor distT="0" distB="0" distL="114300" distR="114300" simplePos="0" relativeHeight="251666432" behindDoc="0" locked="0" layoutInCell="1" allowOverlap="1">
            <wp:simplePos x="0" y="0"/>
            <wp:positionH relativeFrom="column">
              <wp:posOffset>783590</wp:posOffset>
            </wp:positionH>
            <wp:positionV relativeFrom="paragraph">
              <wp:posOffset>119380</wp:posOffset>
            </wp:positionV>
            <wp:extent cx="4467860" cy="2492375"/>
            <wp:effectExtent l="0" t="0" r="8890" b="3175"/>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9"/>
                    <a:srcRect r="4350" b="47330"/>
                    <a:stretch>
                      <a:fillRect/>
                    </a:stretch>
                  </pic:blipFill>
                  <pic:spPr>
                    <a:xfrm>
                      <a:off x="0" y="0"/>
                      <a:ext cx="4467860" cy="2492375"/>
                    </a:xfrm>
                    <a:prstGeom prst="rect">
                      <a:avLst/>
                    </a:prstGeom>
                    <a:noFill/>
                    <a:ln>
                      <a:noFill/>
                    </a:ln>
                  </pic:spPr>
                </pic:pic>
              </a:graphicData>
            </a:graphic>
          </wp:anchor>
        </w:drawing>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b</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环形箍筋、胶锚式箍筋构造</w:t>
      </w:r>
    </w:p>
    <w:p w14:paraId="655B8CF5">
      <w:pPr>
        <w:keepNext w:val="0"/>
        <w:keepLines w:val="0"/>
        <w:pageBreakBefore w:val="0"/>
        <w:wordWrap/>
        <w:overflowPunct/>
        <w:topLinePunct w:val="0"/>
        <w:bidi w:val="0"/>
        <w:spacing w:before="73" w:line="360" w:lineRule="exact"/>
        <w:ind w:right="20" w:firstLine="1200" w:firstLineChars="5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drawing>
          <wp:anchor distT="0" distB="0" distL="114300" distR="114300" simplePos="0" relativeHeight="251667456" behindDoc="0" locked="0" layoutInCell="1" allowOverlap="1">
            <wp:simplePos x="0" y="0"/>
            <wp:positionH relativeFrom="column">
              <wp:posOffset>1004570</wp:posOffset>
            </wp:positionH>
            <wp:positionV relativeFrom="paragraph">
              <wp:posOffset>320675</wp:posOffset>
            </wp:positionV>
            <wp:extent cx="4671060" cy="1725295"/>
            <wp:effectExtent l="0" t="0" r="15240" b="825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19"/>
                    <a:srcRect t="58186" b="5354"/>
                    <a:stretch>
                      <a:fillRect/>
                    </a:stretch>
                  </pic:blipFill>
                  <pic:spPr>
                    <a:xfrm>
                      <a:off x="0" y="0"/>
                      <a:ext cx="4671060" cy="1725295"/>
                    </a:xfrm>
                    <a:prstGeom prst="rect">
                      <a:avLst/>
                    </a:prstGeom>
                    <a:noFill/>
                    <a:ln>
                      <a:noFill/>
                    </a:ln>
                  </pic:spPr>
                </pic:pic>
              </a:graphicData>
            </a:graphic>
          </wp:anchor>
        </w:drawing>
      </w:r>
    </w:p>
    <w:p w14:paraId="4F3C50D8">
      <w:pPr>
        <w:keepNext w:val="0"/>
        <w:keepLines w:val="0"/>
        <w:pageBreakBefore w:val="0"/>
        <w:wordWrap/>
        <w:overflowPunct/>
        <w:topLinePunct w:val="0"/>
        <w:bidi w:val="0"/>
        <w:spacing w:before="73" w:line="360" w:lineRule="exact"/>
        <w:ind w:right="20" w:firstLine="1050" w:firstLineChars="5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c</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U形箍筋构造</w:t>
      </w:r>
    </w:p>
    <w:p w14:paraId="3B06FC20">
      <w:pPr>
        <w:pStyle w:val="12"/>
        <w:keepNext w:val="0"/>
        <w:keepLines w:val="0"/>
        <w:pageBreakBefore w:val="0"/>
        <w:wordWrap/>
        <w:overflowPunct/>
        <w:topLinePunct w:val="0"/>
        <w:bidi w:val="0"/>
        <w:spacing w:line="360" w:lineRule="exact"/>
        <w:ind w:firstLine="422"/>
        <w:jc w:val="center"/>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eastAsia="zh-CN"/>
        </w:rPr>
        <w:t>图7.</w:t>
      </w:r>
      <w:r>
        <w:rPr>
          <w:rFonts w:hint="default" w:ascii="Times New Roman" w:hAnsi="Times New Roman" w:eastAsia="宋体" w:cs="Times New Roman"/>
          <w:b w:val="0"/>
          <w:bCs/>
          <w:color w:val="auto"/>
          <w:sz w:val="24"/>
          <w:szCs w:val="24"/>
          <w:lang w:val="en-US" w:eastAsia="zh-CN"/>
        </w:rPr>
        <w:t>3</w:t>
      </w:r>
      <w:r>
        <w:rPr>
          <w:rFonts w:hint="default" w:ascii="Times New Roman" w:hAnsi="Times New Roman" w:eastAsia="宋体" w:cs="Times New Roman"/>
          <w:b w:val="0"/>
          <w:bCs/>
          <w:color w:val="auto"/>
          <w:sz w:val="24"/>
          <w:szCs w:val="24"/>
          <w:lang w:eastAsia="zh-CN"/>
        </w:rPr>
        <w:t>.6 钢筋混凝土</w:t>
      </w:r>
      <w:r>
        <w:rPr>
          <w:rFonts w:hint="default" w:ascii="Times New Roman" w:hAnsi="Times New Roman" w:eastAsia="宋体" w:cs="Times New Roman"/>
          <w:b w:val="0"/>
          <w:bCs/>
          <w:color w:val="auto"/>
          <w:sz w:val="24"/>
          <w:szCs w:val="24"/>
          <w:lang w:val="en-US" w:eastAsia="zh-CN"/>
        </w:rPr>
        <w:t>配置新增连接箍筋的构造</w:t>
      </w:r>
    </w:p>
    <w:p w14:paraId="0C5B4F15">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 xml:space="preserve">3 </w:t>
      </w:r>
      <w:r>
        <w:rPr>
          <w:rFonts w:hint="default" w:ascii="Times New Roman" w:hAnsi="Times New Roman" w:eastAsia="宋体" w:cs="Times New Roman"/>
          <w:color w:val="auto"/>
          <w:sz w:val="24"/>
          <w:szCs w:val="24"/>
          <w:lang w:eastAsia="zh-CN"/>
        </w:rPr>
        <w:t>采用钢筋混凝土套加固钢筋混凝土结构构件时，受弯构件正截面、受弯构件斜截面和受压构件正截面承载力计算应执行现行国家标准《混凝土结构加固设计规范》GB 50367规定的增大截面加固法。加固后的梁柱可作为整体构件进行抗震验算，新增的混凝土和钢筋的强度应乘以折减系数0.85。当新增的混凝土强度等级比原框架柱高一个等级时，可直接按原强度等级计算而不再计入混凝土强度的折减系数。</w:t>
      </w:r>
    </w:p>
    <w:p w14:paraId="2915EC45">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bookmarkStart w:id="148" w:name="_Toc22953"/>
      <w:r>
        <w:rPr>
          <w:rFonts w:hint="default" w:ascii="仿宋" w:hAnsi="仿宋" w:eastAsia="仿宋" w:cs="仿宋"/>
          <w:b w:val="0"/>
          <w:bCs w:val="0"/>
          <w:color w:val="0070C0"/>
          <w:spacing w:val="0"/>
          <w:sz w:val="24"/>
          <w:szCs w:val="24"/>
          <w:lang w:val="en-US" w:eastAsia="zh-CN"/>
        </w:rPr>
        <w:t>条文说明：本条规定了采用钢筋混凝土套加固梁柱的设计要求。</w:t>
      </w:r>
      <w:bookmarkEnd w:id="148"/>
      <w:r>
        <w:rPr>
          <w:rFonts w:hint="default" w:ascii="仿宋" w:hAnsi="仿宋" w:eastAsia="仿宋" w:cs="仿宋"/>
          <w:b w:val="0"/>
          <w:bCs w:val="0"/>
          <w:color w:val="0070C0"/>
          <w:spacing w:val="0"/>
          <w:sz w:val="24"/>
          <w:szCs w:val="24"/>
          <w:lang w:val="en-US" w:eastAsia="zh-CN"/>
        </w:rPr>
        <w:t>对新增的箍筋，应采取措施加强与原有构件的拉接，如采用锚筋、锚栓或短筋焊接等方法。当新增混凝土的强度等级比原有构件提高一个等级时，截面抗震验算可有所简化：仍按原构件的混凝土强度等级采用，即相当于混凝土强度乘以折减系数0.85，然后，将计算所需增加的配筋乘以1.15，即为原钢筋等级所需新增的钢筋截面面积。</w:t>
      </w:r>
    </w:p>
    <w:p w14:paraId="6C0D76E4">
      <w:pPr>
        <w:keepNext w:val="0"/>
        <w:keepLines w:val="0"/>
        <w:pageBreakBefore w:val="0"/>
        <w:tabs>
          <w:tab w:val="left" w:pos="680"/>
          <w:tab w:val="left" w:pos="1134"/>
          <w:tab w:val="clear" w:pos="3261"/>
        </w:tabs>
        <w:wordWrap/>
        <w:overflowPunct/>
        <w:topLinePunct w:val="0"/>
        <w:bidi w:val="0"/>
        <w:adjustRightInd w:val="0"/>
        <w:spacing w:line="360" w:lineRule="exact"/>
        <w:jc w:val="left"/>
        <w:rPr>
          <w:rFonts w:hint="default" w:ascii="Times New Roman" w:hAnsi="Times New Roman" w:eastAsia="宋体" w:cs="Times New Roman"/>
          <w:color w:val="auto"/>
          <w:sz w:val="24"/>
          <w:szCs w:val="24"/>
        </w:rPr>
      </w:pPr>
      <w:bookmarkStart w:id="149" w:name="_Toc11346"/>
      <w:r>
        <w:rPr>
          <w:rFonts w:hint="default" w:ascii="Times New Roman" w:hAnsi="Times New Roman" w:eastAsia="宋体" w:cs="Times New Roman"/>
          <w:b/>
          <w:bCs/>
          <w:color w:val="auto"/>
          <w:sz w:val="24"/>
          <w:szCs w:val="24"/>
          <w:lang w:val="en-US" w:eastAsia="zh-CN"/>
        </w:rPr>
        <w:t xml:space="preserve">7.3.7 </w:t>
      </w:r>
      <w:r>
        <w:rPr>
          <w:rFonts w:hint="default" w:ascii="Times New Roman" w:hAnsi="Times New Roman" w:eastAsia="宋体" w:cs="Times New Roman"/>
          <w:color w:val="auto"/>
          <w:sz w:val="24"/>
          <w:szCs w:val="24"/>
        </w:rPr>
        <w:t>钢筋混凝土套加固房屋时，应符合</w:t>
      </w:r>
      <w:r>
        <w:rPr>
          <w:rFonts w:hint="default" w:ascii="Times New Roman" w:hAnsi="Times New Roman" w:eastAsia="宋体" w:cs="Times New Roman"/>
          <w:color w:val="auto"/>
          <w:sz w:val="24"/>
          <w:szCs w:val="24"/>
          <w:lang w:val="en-US" w:eastAsia="zh-CN"/>
        </w:rPr>
        <w:t>下列</w:t>
      </w:r>
      <w:r>
        <w:rPr>
          <w:rFonts w:hint="default" w:ascii="Times New Roman" w:hAnsi="Times New Roman" w:eastAsia="宋体" w:cs="Times New Roman"/>
          <w:color w:val="auto"/>
          <w:sz w:val="24"/>
          <w:szCs w:val="24"/>
        </w:rPr>
        <w:t>施工要求：</w:t>
      </w:r>
      <w:bookmarkEnd w:id="149"/>
    </w:p>
    <w:p w14:paraId="242D6736">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bookmarkStart w:id="150" w:name="_Toc9644"/>
      <w:r>
        <w:rPr>
          <w:rFonts w:hint="default" w:ascii="Times New Roman" w:hAnsi="Times New Roman" w:eastAsia="宋体" w:cs="Times New Roman"/>
          <w:b/>
          <w:color w:val="auto"/>
          <w:sz w:val="24"/>
          <w:szCs w:val="24"/>
          <w:lang w:eastAsia="zh-CN"/>
        </w:rPr>
        <w:t xml:space="preserve">1 </w:t>
      </w:r>
      <w:r>
        <w:rPr>
          <w:rFonts w:hint="default" w:ascii="Times New Roman" w:hAnsi="Times New Roman" w:eastAsia="宋体" w:cs="Times New Roman"/>
          <w:color w:val="auto"/>
          <w:sz w:val="24"/>
          <w:szCs w:val="24"/>
          <w:lang w:eastAsia="zh-CN"/>
        </w:rPr>
        <w:t xml:space="preserve"> 应</w:t>
      </w:r>
      <w:r>
        <w:rPr>
          <w:rFonts w:hint="default" w:ascii="Times New Roman" w:hAnsi="Times New Roman" w:eastAsia="宋体" w:cs="Times New Roman"/>
          <w:color w:val="auto"/>
          <w:sz w:val="24"/>
          <w:szCs w:val="24"/>
          <w:lang w:val="en-US" w:eastAsia="zh-CN"/>
        </w:rPr>
        <w:t>采取措施</w:t>
      </w:r>
      <w:r>
        <w:rPr>
          <w:rFonts w:hint="default" w:ascii="Times New Roman" w:hAnsi="Times New Roman" w:eastAsia="宋体" w:cs="Times New Roman"/>
          <w:color w:val="auto"/>
          <w:sz w:val="24"/>
          <w:szCs w:val="24"/>
          <w:lang w:eastAsia="zh-CN"/>
        </w:rPr>
        <w:t>卸除或大部分卸除作用在</w:t>
      </w:r>
      <w:r>
        <w:rPr>
          <w:rFonts w:hint="default" w:ascii="Times New Roman" w:hAnsi="Times New Roman" w:eastAsia="宋体" w:cs="Times New Roman"/>
          <w:color w:val="auto"/>
          <w:sz w:val="24"/>
          <w:szCs w:val="24"/>
          <w:lang w:val="en-US" w:eastAsia="zh-CN"/>
        </w:rPr>
        <w:t>结构</w:t>
      </w:r>
      <w:r>
        <w:rPr>
          <w:rFonts w:hint="default" w:ascii="Times New Roman" w:hAnsi="Times New Roman" w:eastAsia="宋体" w:cs="Times New Roman"/>
          <w:color w:val="auto"/>
          <w:sz w:val="24"/>
          <w:szCs w:val="24"/>
          <w:lang w:eastAsia="zh-CN"/>
        </w:rPr>
        <w:t>上的活荷载。</w:t>
      </w:r>
    </w:p>
    <w:p w14:paraId="4F584A2A">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2</w:t>
      </w:r>
      <w:r>
        <w:rPr>
          <w:rFonts w:hint="default" w:ascii="Times New Roman" w:hAnsi="Times New Roman" w:eastAsia="宋体" w:cs="Times New Roman"/>
          <w:color w:val="auto"/>
          <w:sz w:val="24"/>
          <w:szCs w:val="24"/>
          <w:lang w:eastAsia="zh-CN"/>
        </w:rPr>
        <w:t xml:space="preserve">  </w:t>
      </w:r>
      <w:r>
        <w:rPr>
          <w:rFonts w:hint="default" w:ascii="Times New Roman" w:hAnsi="Times New Roman" w:eastAsia="宋体" w:cs="Times New Roman"/>
          <w:color w:val="auto"/>
          <w:sz w:val="24"/>
          <w:szCs w:val="24"/>
          <w:lang w:val="en-US" w:eastAsia="zh-CN"/>
        </w:rPr>
        <w:t>原有的梁柱表面应凿毛并清理浮渣，缺陷应修补</w:t>
      </w:r>
      <w:r>
        <w:rPr>
          <w:rFonts w:hint="default" w:ascii="Times New Roman" w:hAnsi="Times New Roman" w:eastAsia="宋体" w:cs="Times New Roman"/>
          <w:color w:val="auto"/>
          <w:sz w:val="24"/>
          <w:szCs w:val="24"/>
          <w:lang w:eastAsia="zh-CN"/>
        </w:rPr>
        <w:t>。</w:t>
      </w:r>
    </w:p>
    <w:p w14:paraId="127CF1A9">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 xml:space="preserve">3 </w:t>
      </w:r>
      <w:r>
        <w:rPr>
          <w:rFonts w:hint="default" w:ascii="Times New Roman" w:hAnsi="Times New Roman" w:eastAsia="宋体" w:cs="Times New Roman"/>
          <w:color w:val="auto"/>
          <w:sz w:val="24"/>
          <w:szCs w:val="24"/>
          <w:lang w:eastAsia="zh-CN"/>
        </w:rPr>
        <w:t xml:space="preserve"> </w:t>
      </w:r>
      <w:r>
        <w:rPr>
          <w:rFonts w:hint="default" w:ascii="Times New Roman" w:hAnsi="Times New Roman" w:eastAsia="宋体" w:cs="Times New Roman"/>
          <w:color w:val="auto"/>
          <w:sz w:val="24"/>
          <w:szCs w:val="24"/>
          <w:lang w:val="en-US" w:eastAsia="zh-CN"/>
        </w:rPr>
        <w:t>楼板凿洞时，应避免损伤原有钢筋</w:t>
      </w:r>
      <w:r>
        <w:rPr>
          <w:rFonts w:hint="default" w:ascii="Times New Roman" w:hAnsi="Times New Roman" w:eastAsia="宋体" w:cs="Times New Roman"/>
          <w:color w:val="auto"/>
          <w:sz w:val="24"/>
          <w:szCs w:val="24"/>
          <w:lang w:eastAsia="zh-CN"/>
        </w:rPr>
        <w:t>。</w:t>
      </w:r>
    </w:p>
    <w:p w14:paraId="1AA63D9E">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color w:val="auto"/>
          <w:sz w:val="24"/>
          <w:szCs w:val="24"/>
          <w:lang w:eastAsia="zh-CN"/>
        </w:rPr>
        <w:t xml:space="preserve">4 </w:t>
      </w:r>
      <w:r>
        <w:rPr>
          <w:rFonts w:hint="default" w:ascii="Times New Roman" w:hAnsi="Times New Roman" w:eastAsia="宋体" w:cs="Times New Roman"/>
          <w:color w:val="auto"/>
          <w:sz w:val="24"/>
          <w:szCs w:val="24"/>
          <w:lang w:eastAsia="zh-CN"/>
        </w:rPr>
        <w:t xml:space="preserve"> </w:t>
      </w:r>
      <w:r>
        <w:rPr>
          <w:rFonts w:hint="default" w:ascii="Times New Roman" w:hAnsi="Times New Roman" w:eastAsia="宋体" w:cs="Times New Roman"/>
          <w:color w:val="auto"/>
          <w:sz w:val="24"/>
          <w:szCs w:val="24"/>
          <w:lang w:val="en-US" w:eastAsia="zh-CN"/>
        </w:rPr>
        <w:t>浇筑混凝土前应用水清洗并保持湿润，浇筑后应加强养护</w:t>
      </w:r>
      <w:r>
        <w:rPr>
          <w:rFonts w:hint="default" w:ascii="Times New Roman" w:hAnsi="Times New Roman" w:eastAsia="宋体" w:cs="Times New Roman"/>
          <w:color w:val="auto"/>
          <w:sz w:val="24"/>
          <w:szCs w:val="24"/>
          <w:lang w:eastAsia="zh-CN"/>
        </w:rPr>
        <w:t>。</w:t>
      </w:r>
    </w:p>
    <w:p w14:paraId="5D566922">
      <w:pPr>
        <w:keepNext w:val="0"/>
        <w:keepLines w:val="0"/>
        <w:pageBreakBefore w:val="0"/>
        <w:wordWrap/>
        <w:overflowPunct/>
        <w:topLinePunct w:val="0"/>
        <w:bidi w:val="0"/>
        <w:spacing w:before="120" w:after="120" w:line="360" w:lineRule="exact"/>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IV 粘贴钢板法</w:t>
      </w:r>
      <w:bookmarkEnd w:id="150"/>
    </w:p>
    <w:p w14:paraId="71EC5155">
      <w:pPr>
        <w:keepNext w:val="0"/>
        <w:keepLines w:val="0"/>
        <w:pageBreakBefore w:val="0"/>
        <w:tabs>
          <w:tab w:val="left" w:pos="680"/>
          <w:tab w:val="left" w:pos="1134"/>
          <w:tab w:val="clear" w:pos="3261"/>
        </w:tabs>
        <w:wordWrap/>
        <w:overflowPunct/>
        <w:topLinePunct w:val="0"/>
        <w:bidi w:val="0"/>
        <w:adjustRightInd w:val="0"/>
        <w:spacing w:line="360" w:lineRule="exact"/>
        <w:jc w:val="left"/>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 xml:space="preserve">7.3.8 </w:t>
      </w:r>
      <w:r>
        <w:rPr>
          <w:rFonts w:hint="default" w:ascii="Times New Roman" w:hAnsi="Times New Roman" w:eastAsia="宋体" w:cs="Times New Roman"/>
          <w:color w:val="auto"/>
          <w:sz w:val="24"/>
          <w:szCs w:val="24"/>
        </w:rPr>
        <w:t>采用粘贴钢板法加固受弯、大偏心受压和受拉构件时，应将钢板受力方式设计成仅承受轴向应力作用。</w:t>
      </w:r>
    </w:p>
    <w:p w14:paraId="4CAB7F48">
      <w:pPr>
        <w:keepNext w:val="0"/>
        <w:keepLines w:val="0"/>
        <w:pageBreakBefore w:val="0"/>
        <w:tabs>
          <w:tab w:val="left" w:pos="680"/>
          <w:tab w:val="left" w:pos="1134"/>
          <w:tab w:val="clear" w:pos="3261"/>
        </w:tabs>
        <w:wordWrap/>
        <w:overflowPunct/>
        <w:topLinePunct w:val="0"/>
        <w:bidi w:val="0"/>
        <w:adjustRightInd w:val="0"/>
        <w:spacing w:line="360" w:lineRule="exact"/>
        <w:jc w:val="left"/>
        <w:rPr>
          <w:rFonts w:hint="default" w:ascii="Times New Roman" w:hAnsi="Times New Roman" w:eastAsia="宋体" w:cs="Times New Roman"/>
          <w:color w:val="auto"/>
          <w:sz w:val="24"/>
          <w:szCs w:val="24"/>
        </w:rPr>
      </w:pPr>
      <w:bookmarkStart w:id="151" w:name="_Toc29132"/>
      <w:r>
        <w:rPr>
          <w:rFonts w:hint="default" w:ascii="Times New Roman" w:hAnsi="Times New Roman" w:eastAsia="宋体" w:cs="Times New Roman"/>
          <w:b/>
          <w:bCs/>
          <w:color w:val="auto"/>
          <w:sz w:val="24"/>
          <w:szCs w:val="24"/>
          <w:lang w:val="en-US" w:eastAsia="zh-CN"/>
        </w:rPr>
        <w:t xml:space="preserve">7.3.9 </w:t>
      </w:r>
      <w:r>
        <w:rPr>
          <w:rFonts w:hint="default" w:ascii="Times New Roman" w:hAnsi="Times New Roman" w:eastAsia="宋体" w:cs="Times New Roman"/>
          <w:color w:val="auto"/>
          <w:sz w:val="24"/>
          <w:szCs w:val="24"/>
        </w:rPr>
        <w:t>采用粘贴钢板加固梁柱时，应符合下列规定：</w:t>
      </w:r>
      <w:bookmarkEnd w:id="151"/>
    </w:p>
    <w:p w14:paraId="15C6F0F4">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 xml:space="preserve">1 </w:t>
      </w:r>
      <w:r>
        <w:rPr>
          <w:rFonts w:hint="default" w:ascii="Times New Roman" w:hAnsi="Times New Roman" w:eastAsia="宋体" w:cs="Times New Roman"/>
          <w:color w:val="auto"/>
          <w:sz w:val="24"/>
          <w:szCs w:val="24"/>
          <w:lang w:eastAsia="zh-CN"/>
        </w:rPr>
        <w:t>原构件的混凝土实际强度等级不应低于C20；混凝土表面的受拉黏结强度不应低于1.5MPa。粘贴钢板应采用粘结强度高且耐久的胶黏剂；钢板可采用Q235或Q3</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eastAsia="zh-CN"/>
        </w:rPr>
        <w:t>5钢，厚度宜为2～5mm。</w:t>
      </w:r>
    </w:p>
    <w:p w14:paraId="2D427AF4">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 xml:space="preserve">2 </w:t>
      </w:r>
      <w:r>
        <w:rPr>
          <w:rFonts w:hint="default" w:ascii="Times New Roman" w:hAnsi="Times New Roman" w:eastAsia="宋体" w:cs="Times New Roman"/>
          <w:color w:val="auto"/>
          <w:sz w:val="24"/>
          <w:szCs w:val="24"/>
          <w:lang w:eastAsia="zh-CN"/>
        </w:rPr>
        <w:t>钢板在需要加固的范围以外的锚固长度，受拉时不应小于钢板厚度的200倍，且不应小于600mm；受压时不应小于钢板厚度的150倍，且不应小于500mm。</w:t>
      </w:r>
    </w:p>
    <w:p w14:paraId="2C6D9E7D">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bookmarkStart w:id="152" w:name="_Toc76"/>
      <w:r>
        <w:rPr>
          <w:rFonts w:hint="default" w:ascii="Times New Roman" w:hAnsi="Times New Roman" w:eastAsia="宋体" w:cs="Times New Roman"/>
          <w:b/>
          <w:color w:val="auto"/>
          <w:sz w:val="24"/>
          <w:szCs w:val="24"/>
          <w:lang w:eastAsia="zh-CN"/>
        </w:rPr>
        <w:t>3</w:t>
      </w:r>
      <w:r>
        <w:rPr>
          <w:rFonts w:hint="default" w:ascii="Times New Roman" w:hAnsi="Times New Roman" w:eastAsia="宋体" w:cs="Times New Roman"/>
          <w:color w:val="auto"/>
          <w:sz w:val="24"/>
          <w:szCs w:val="24"/>
          <w:lang w:eastAsia="zh-CN"/>
        </w:rPr>
        <w:t xml:space="preserve"> 粘贴钢板与原构件尚宜采用专用金属胀栓连接。</w:t>
      </w:r>
      <w:bookmarkEnd w:id="152"/>
    </w:p>
    <w:p w14:paraId="1108CF6F">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 xml:space="preserve">4 </w:t>
      </w:r>
      <w:r>
        <w:rPr>
          <w:rFonts w:hint="default" w:ascii="Times New Roman" w:hAnsi="Times New Roman" w:eastAsia="宋体" w:cs="Times New Roman"/>
          <w:color w:val="auto"/>
          <w:sz w:val="24"/>
          <w:szCs w:val="24"/>
          <w:lang w:eastAsia="zh-CN"/>
        </w:rPr>
        <w:t>粘贴钢板加固钢筋混凝土结构胶黏剂的材料性能、加固构造和承载力验算，可按现行国家标准《混凝土结构加固设计规范》GB 50367的有关规定执行，其中，对新增部分，其加固承载力抗震调整系数宜采用1.0，原构件的材料强度设计值和抗震承载力，应按国家标准《建筑抗震鉴定标准》GB 50023的有关规定采用。</w:t>
      </w:r>
    </w:p>
    <w:p w14:paraId="69802CAB">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5</w:t>
      </w:r>
      <w:r>
        <w:rPr>
          <w:rFonts w:hint="default" w:ascii="Times New Roman" w:hAnsi="Times New Roman" w:eastAsia="宋体" w:cs="Times New Roman"/>
          <w:color w:val="auto"/>
          <w:sz w:val="24"/>
          <w:szCs w:val="24"/>
          <w:lang w:eastAsia="zh-CN"/>
        </w:rPr>
        <w:t xml:space="preserve"> 被加固构件长期使用的环境和防火要求，应符合国家现行有关标准的规定。</w:t>
      </w:r>
    </w:p>
    <w:p w14:paraId="56AF9184">
      <w:pPr>
        <w:keepNext w:val="0"/>
        <w:keepLines w:val="0"/>
        <w:pageBreakBefore w:val="0"/>
        <w:tabs>
          <w:tab w:val="left" w:pos="680"/>
          <w:tab w:val="left" w:pos="1134"/>
          <w:tab w:val="clear" w:pos="3261"/>
        </w:tabs>
        <w:wordWrap/>
        <w:overflowPunct/>
        <w:topLinePunct w:val="0"/>
        <w:bidi w:val="0"/>
        <w:adjustRightInd w:val="0"/>
        <w:spacing w:line="360" w:lineRule="exact"/>
        <w:jc w:val="left"/>
        <w:rPr>
          <w:rFonts w:hint="default" w:ascii="Times New Roman" w:hAnsi="Times New Roman" w:eastAsia="宋体" w:cs="Times New Roman"/>
          <w:color w:val="auto"/>
          <w:sz w:val="24"/>
          <w:szCs w:val="24"/>
        </w:rPr>
      </w:pPr>
      <w:bookmarkStart w:id="153" w:name="_Toc25830"/>
      <w:r>
        <w:rPr>
          <w:rFonts w:hint="default" w:ascii="Times New Roman" w:hAnsi="Times New Roman" w:eastAsia="宋体" w:cs="Times New Roman"/>
          <w:b/>
          <w:bCs/>
          <w:color w:val="auto"/>
          <w:sz w:val="24"/>
          <w:szCs w:val="24"/>
          <w:lang w:val="en-US" w:eastAsia="zh-CN"/>
        </w:rPr>
        <w:t xml:space="preserve">7.3.10 </w:t>
      </w:r>
      <w:r>
        <w:rPr>
          <w:rFonts w:hint="default" w:ascii="Times New Roman" w:hAnsi="Times New Roman" w:eastAsia="宋体" w:cs="Times New Roman"/>
          <w:color w:val="auto"/>
          <w:sz w:val="24"/>
          <w:szCs w:val="24"/>
        </w:rPr>
        <w:t>粘贴钢板加固法加固房屋时，应符合下列施工要求：</w:t>
      </w:r>
      <w:bookmarkEnd w:id="153"/>
    </w:p>
    <w:p w14:paraId="1D495553">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1</w:t>
      </w:r>
      <w:r>
        <w:rPr>
          <w:rFonts w:hint="default" w:ascii="Times New Roman" w:hAnsi="Times New Roman" w:eastAsia="宋体" w:cs="Times New Roman"/>
          <w:color w:val="auto"/>
          <w:sz w:val="24"/>
          <w:szCs w:val="24"/>
          <w:lang w:eastAsia="zh-CN"/>
        </w:rPr>
        <w:t xml:space="preserve"> 原混凝土构件的粘合面应刷除表面油垢污物，再对粘合面进行打磨。</w:t>
      </w:r>
    </w:p>
    <w:p w14:paraId="3D41A401">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2</w:t>
      </w:r>
      <w:r>
        <w:rPr>
          <w:rFonts w:hint="default" w:ascii="Times New Roman" w:hAnsi="Times New Roman" w:eastAsia="宋体" w:cs="Times New Roman"/>
          <w:color w:val="auto"/>
          <w:sz w:val="24"/>
          <w:szCs w:val="24"/>
          <w:lang w:eastAsia="zh-CN"/>
        </w:rPr>
        <w:t xml:space="preserve"> 钢板粘结面，须进行除锈和粗糙处理。</w:t>
      </w:r>
    </w:p>
    <w:p w14:paraId="44E56107">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3</w:t>
      </w:r>
      <w:r>
        <w:rPr>
          <w:rFonts w:hint="default" w:ascii="Times New Roman" w:hAnsi="Times New Roman" w:eastAsia="宋体" w:cs="Times New Roman"/>
          <w:color w:val="auto"/>
          <w:sz w:val="24"/>
          <w:szCs w:val="24"/>
          <w:lang w:eastAsia="zh-CN"/>
        </w:rPr>
        <w:t xml:space="preserve"> 应</w:t>
      </w:r>
      <w:r>
        <w:rPr>
          <w:rFonts w:hint="default" w:ascii="Times New Roman" w:hAnsi="Times New Roman" w:eastAsia="宋体" w:cs="Times New Roman"/>
          <w:color w:val="auto"/>
          <w:sz w:val="24"/>
          <w:szCs w:val="24"/>
          <w:lang w:val="en-US" w:eastAsia="zh-CN"/>
        </w:rPr>
        <w:t>采取措施</w:t>
      </w:r>
      <w:r>
        <w:rPr>
          <w:rFonts w:hint="default" w:ascii="Times New Roman" w:hAnsi="Times New Roman" w:eastAsia="宋体" w:cs="Times New Roman"/>
          <w:color w:val="auto"/>
          <w:sz w:val="24"/>
          <w:szCs w:val="24"/>
          <w:lang w:eastAsia="zh-CN"/>
        </w:rPr>
        <w:t>卸除或大部分卸除作用在</w:t>
      </w:r>
      <w:r>
        <w:rPr>
          <w:rFonts w:hint="default" w:ascii="Times New Roman" w:hAnsi="Times New Roman" w:eastAsia="宋体" w:cs="Times New Roman"/>
          <w:color w:val="auto"/>
          <w:sz w:val="24"/>
          <w:szCs w:val="24"/>
          <w:lang w:val="en-US" w:eastAsia="zh-CN"/>
        </w:rPr>
        <w:t>结构</w:t>
      </w:r>
      <w:r>
        <w:rPr>
          <w:rFonts w:hint="default" w:ascii="Times New Roman" w:hAnsi="Times New Roman" w:eastAsia="宋体" w:cs="Times New Roman"/>
          <w:color w:val="auto"/>
          <w:sz w:val="24"/>
          <w:szCs w:val="24"/>
          <w:lang w:eastAsia="zh-CN"/>
        </w:rPr>
        <w:t>上的活荷载。</w:t>
      </w:r>
    </w:p>
    <w:p w14:paraId="13198AA3">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 xml:space="preserve">4 </w:t>
      </w:r>
      <w:r>
        <w:rPr>
          <w:rFonts w:hint="default" w:ascii="Times New Roman" w:hAnsi="Times New Roman" w:eastAsia="宋体" w:cs="Times New Roman"/>
          <w:color w:val="auto"/>
          <w:sz w:val="24"/>
          <w:szCs w:val="24"/>
          <w:lang w:eastAsia="zh-CN"/>
        </w:rPr>
        <w:t>粘结剂使用前应现场抽样，进行质量检验，合格后方能使用，按产品使用说明书规定配制。</w:t>
      </w:r>
    </w:p>
    <w:p w14:paraId="2992871F">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5</w:t>
      </w:r>
      <w:r>
        <w:rPr>
          <w:rFonts w:hint="default" w:ascii="Times New Roman" w:hAnsi="Times New Roman" w:eastAsia="宋体" w:cs="Times New Roman"/>
          <w:color w:val="auto"/>
          <w:sz w:val="24"/>
          <w:szCs w:val="24"/>
          <w:lang w:eastAsia="zh-CN"/>
        </w:rPr>
        <w:t xml:space="preserve"> 钢板粘贴后立即用夹具夹紧，并用锚拴固定，适当加压，以使胶液刚从钢板边缘挤出为度。</w:t>
      </w:r>
    </w:p>
    <w:p w14:paraId="3E964DFA">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6</w:t>
      </w:r>
      <w:r>
        <w:rPr>
          <w:rFonts w:hint="default" w:ascii="Times New Roman" w:hAnsi="Times New Roman" w:eastAsia="宋体" w:cs="Times New Roman"/>
          <w:color w:val="auto"/>
          <w:sz w:val="24"/>
          <w:szCs w:val="24"/>
          <w:lang w:eastAsia="zh-CN"/>
        </w:rPr>
        <w:t xml:space="preserve"> 承重用的粘结剂宜在常温下固化，温度过低时应采取适当的加温措施。</w:t>
      </w:r>
    </w:p>
    <w:p w14:paraId="7DB85246">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bookmarkStart w:id="154" w:name="_Toc10184"/>
      <w:r>
        <w:rPr>
          <w:rFonts w:hint="default" w:ascii="Times New Roman" w:hAnsi="Times New Roman" w:eastAsia="宋体" w:cs="Times New Roman"/>
          <w:b/>
          <w:color w:val="auto"/>
          <w:sz w:val="24"/>
          <w:szCs w:val="24"/>
          <w:lang w:eastAsia="zh-CN"/>
        </w:rPr>
        <w:t xml:space="preserve">7 </w:t>
      </w:r>
      <w:r>
        <w:rPr>
          <w:rFonts w:hint="default" w:ascii="Times New Roman" w:hAnsi="Times New Roman" w:eastAsia="宋体" w:cs="Times New Roman"/>
          <w:color w:val="auto"/>
          <w:sz w:val="24"/>
          <w:szCs w:val="24"/>
          <w:lang w:eastAsia="zh-CN"/>
        </w:rPr>
        <w:t>粘贴钢板加固经验收合格后，应在钢板表面进行防护处理。</w:t>
      </w:r>
      <w:bookmarkEnd w:id="154"/>
    </w:p>
    <w:p w14:paraId="4AFC1E90">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本条为粘贴钢板法加固房屋时的施工要求。粘钢加固应用方便，适应性强，且效果主要取决于施工质量，故粘钢加固应严格按施工工艺流程进行。施工应由专业施工队伍完成。卸除或大部分卸除作用在被加固构件上的活荷载，是保证被粘钢板与加固件共同受力且防止应力滞后的重要措施，应尽可能实现。</w:t>
      </w:r>
    </w:p>
    <w:p w14:paraId="4F882BD7">
      <w:pPr>
        <w:keepNext w:val="0"/>
        <w:keepLines w:val="0"/>
        <w:pageBreakBefore w:val="0"/>
        <w:wordWrap/>
        <w:overflowPunct/>
        <w:topLinePunct w:val="0"/>
        <w:bidi w:val="0"/>
        <w:spacing w:before="120" w:after="120" w:line="360" w:lineRule="exact"/>
        <w:jc w:val="center"/>
        <w:rPr>
          <w:rFonts w:hint="default" w:ascii="Times New Roman" w:hAnsi="Times New Roman" w:eastAsia="宋体" w:cs="Times New Roman"/>
          <w:color w:val="auto"/>
          <w:sz w:val="24"/>
          <w:szCs w:val="24"/>
        </w:rPr>
      </w:pPr>
      <w:bookmarkStart w:id="155" w:name="_Toc29095"/>
      <w:r>
        <w:rPr>
          <w:rFonts w:hint="default" w:ascii="Times New Roman" w:hAnsi="Times New Roman" w:eastAsia="宋体" w:cs="Times New Roman"/>
          <w:color w:val="auto"/>
          <w:sz w:val="24"/>
          <w:szCs w:val="24"/>
        </w:rPr>
        <w:t>V 粘贴纤维复合材法</w:t>
      </w:r>
      <w:bookmarkEnd w:id="155"/>
    </w:p>
    <w:p w14:paraId="5D054F5B">
      <w:pPr>
        <w:keepNext w:val="0"/>
        <w:keepLines w:val="0"/>
        <w:pageBreakBefore w:val="0"/>
        <w:tabs>
          <w:tab w:val="left" w:pos="680"/>
          <w:tab w:val="left" w:pos="1134"/>
          <w:tab w:val="clear" w:pos="3261"/>
        </w:tabs>
        <w:wordWrap/>
        <w:overflowPunct/>
        <w:topLinePunct w:val="0"/>
        <w:bidi w:val="0"/>
        <w:adjustRightInd w:val="0"/>
        <w:spacing w:line="360" w:lineRule="exact"/>
        <w:jc w:val="left"/>
        <w:rPr>
          <w:rFonts w:hint="default" w:ascii="Times New Roman" w:hAnsi="Times New Roman" w:eastAsia="宋体" w:cs="Times New Roman"/>
          <w:color w:val="auto"/>
          <w:sz w:val="24"/>
          <w:szCs w:val="24"/>
        </w:rPr>
      </w:pPr>
      <w:bookmarkStart w:id="156" w:name="_Toc4394"/>
      <w:r>
        <w:rPr>
          <w:rFonts w:hint="default" w:ascii="Times New Roman" w:hAnsi="Times New Roman" w:eastAsia="宋体" w:cs="Times New Roman"/>
          <w:b/>
          <w:bCs/>
          <w:color w:val="auto"/>
          <w:sz w:val="24"/>
          <w:szCs w:val="24"/>
          <w:lang w:val="en-US" w:eastAsia="zh-CN"/>
        </w:rPr>
        <w:t xml:space="preserve">7.3.11 </w:t>
      </w:r>
      <w:r>
        <w:rPr>
          <w:rFonts w:hint="default" w:ascii="Times New Roman" w:hAnsi="Times New Roman" w:eastAsia="宋体" w:cs="Times New Roman"/>
          <w:color w:val="auto"/>
          <w:sz w:val="24"/>
          <w:szCs w:val="24"/>
        </w:rPr>
        <w:t>采用粘贴纤维布加固梁柱时，应符合下列规定：</w:t>
      </w:r>
      <w:bookmarkEnd w:id="156"/>
    </w:p>
    <w:p w14:paraId="7D76240A">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 xml:space="preserve">1 </w:t>
      </w:r>
      <w:r>
        <w:rPr>
          <w:rFonts w:hint="default" w:ascii="Times New Roman" w:hAnsi="Times New Roman" w:eastAsia="宋体" w:cs="Times New Roman"/>
          <w:color w:val="auto"/>
          <w:sz w:val="24"/>
          <w:szCs w:val="24"/>
          <w:lang w:eastAsia="zh-CN"/>
        </w:rPr>
        <w:t>原结构构件实际的混凝土强度等级不应低于C20，且混凝土表面的正拉粘结强度不应低于1.5MPa。</w:t>
      </w:r>
    </w:p>
    <w:p w14:paraId="159190F1">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2</w:t>
      </w:r>
      <w:r>
        <w:rPr>
          <w:rFonts w:hint="default" w:ascii="Times New Roman" w:hAnsi="Times New Roman" w:eastAsia="宋体" w:cs="Times New Roman"/>
          <w:color w:val="auto"/>
          <w:sz w:val="24"/>
          <w:szCs w:val="24"/>
          <w:lang w:eastAsia="zh-CN"/>
        </w:rPr>
        <w:t xml:space="preserve"> 碳纤维的受力方式应设计成仅承受拉应力作用。当提高梁截面的受弯承载力时，碳纤维布应设在梁顶面或底面受拉区；当提高梁截面的受剪承载力时，碳纤维布应采用U形箍加纵向压条或封闭箍的方式；当提高柱截面受剪承载力时，碳纤维布宜沿环向螺旋粘贴并封闭，当矩形截面采用封闭环箍时，至少缠绕3圈且搭接长度应超过200mm。粘贴纤维布在需要加固的范围以外的锚固长度，受拉时不应小于600mm。</w:t>
      </w:r>
    </w:p>
    <w:p w14:paraId="44F3F4FA">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3</w:t>
      </w:r>
      <w:r>
        <w:rPr>
          <w:rFonts w:hint="default" w:ascii="Times New Roman" w:hAnsi="Times New Roman" w:eastAsia="宋体" w:cs="Times New Roman"/>
          <w:color w:val="auto"/>
          <w:sz w:val="24"/>
          <w:szCs w:val="24"/>
          <w:lang w:eastAsia="zh-CN"/>
        </w:rPr>
        <w:t>纤维布和胶粘剂的材料性能、加固的构造和承载力验算，可按现行国家标准《混凝土结构加固设计规范》GB 50367的有关规定执行，其中，对构件承载力的新增部分，其承载力抗震调整系数宜采用1.0。</w:t>
      </w:r>
    </w:p>
    <w:p w14:paraId="2EC3A346">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 xml:space="preserve">4 </w:t>
      </w:r>
      <w:r>
        <w:rPr>
          <w:rFonts w:hint="default" w:ascii="Times New Roman" w:hAnsi="Times New Roman" w:eastAsia="宋体" w:cs="Times New Roman"/>
          <w:color w:val="auto"/>
          <w:sz w:val="24"/>
          <w:szCs w:val="24"/>
          <w:lang w:eastAsia="zh-CN"/>
        </w:rPr>
        <w:t>被加固构件长期使用的环境和防火要求，应符合国家现行有关标准的规定。</w:t>
      </w:r>
    </w:p>
    <w:p w14:paraId="5E983347">
      <w:pPr>
        <w:keepNext w:val="0"/>
        <w:keepLines w:val="0"/>
        <w:pageBreakBefore w:val="0"/>
        <w:tabs>
          <w:tab w:val="left" w:pos="680"/>
          <w:tab w:val="left" w:pos="1134"/>
          <w:tab w:val="clear" w:pos="3261"/>
        </w:tabs>
        <w:wordWrap/>
        <w:overflowPunct/>
        <w:topLinePunct w:val="0"/>
        <w:bidi w:val="0"/>
        <w:adjustRightInd w:val="0"/>
        <w:spacing w:line="360" w:lineRule="exact"/>
        <w:jc w:val="left"/>
        <w:rPr>
          <w:rFonts w:hint="default" w:ascii="Times New Roman" w:hAnsi="Times New Roman" w:eastAsia="宋体" w:cs="Times New Roman"/>
          <w:color w:val="auto"/>
          <w:sz w:val="24"/>
          <w:szCs w:val="24"/>
        </w:rPr>
      </w:pPr>
      <w:bookmarkStart w:id="157" w:name="_Toc23858"/>
      <w:r>
        <w:rPr>
          <w:rFonts w:hint="default" w:ascii="Times New Roman" w:hAnsi="Times New Roman" w:eastAsia="宋体" w:cs="Times New Roman"/>
          <w:b/>
          <w:bCs/>
          <w:color w:val="auto"/>
          <w:sz w:val="24"/>
          <w:szCs w:val="24"/>
          <w:lang w:val="en-US" w:eastAsia="zh-CN"/>
        </w:rPr>
        <w:t xml:space="preserve">7.3.12 </w:t>
      </w:r>
      <w:r>
        <w:rPr>
          <w:rFonts w:hint="default" w:ascii="Times New Roman" w:hAnsi="Times New Roman" w:eastAsia="宋体" w:cs="Times New Roman"/>
          <w:color w:val="auto"/>
          <w:sz w:val="24"/>
          <w:szCs w:val="24"/>
        </w:rPr>
        <w:t>粘贴纤维布加固法加固房屋时，应符合下列施工要求：</w:t>
      </w:r>
      <w:bookmarkEnd w:id="157"/>
    </w:p>
    <w:p w14:paraId="09D5A08F">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 xml:space="preserve">1 </w:t>
      </w:r>
      <w:r>
        <w:rPr>
          <w:rFonts w:hint="default" w:ascii="Times New Roman" w:hAnsi="Times New Roman" w:eastAsia="宋体" w:cs="Times New Roman"/>
          <w:color w:val="auto"/>
          <w:sz w:val="24"/>
          <w:szCs w:val="24"/>
          <w:lang w:eastAsia="zh-CN"/>
        </w:rPr>
        <w:t>应</w:t>
      </w:r>
      <w:r>
        <w:rPr>
          <w:rFonts w:hint="default" w:ascii="Times New Roman" w:hAnsi="Times New Roman" w:eastAsia="宋体" w:cs="Times New Roman"/>
          <w:color w:val="auto"/>
          <w:sz w:val="24"/>
          <w:szCs w:val="24"/>
          <w:lang w:val="en-US" w:eastAsia="zh-CN"/>
        </w:rPr>
        <w:t>采取措施</w:t>
      </w:r>
      <w:r>
        <w:rPr>
          <w:rFonts w:hint="default" w:ascii="Times New Roman" w:hAnsi="Times New Roman" w:eastAsia="宋体" w:cs="Times New Roman"/>
          <w:color w:val="auto"/>
          <w:sz w:val="24"/>
          <w:szCs w:val="24"/>
          <w:lang w:eastAsia="zh-CN"/>
        </w:rPr>
        <w:t>卸除或大部分卸除作用在</w:t>
      </w:r>
      <w:r>
        <w:rPr>
          <w:rFonts w:hint="default" w:ascii="Times New Roman" w:hAnsi="Times New Roman" w:eastAsia="宋体" w:cs="Times New Roman"/>
          <w:color w:val="auto"/>
          <w:sz w:val="24"/>
          <w:szCs w:val="24"/>
          <w:lang w:val="en-US" w:eastAsia="zh-CN"/>
        </w:rPr>
        <w:t>结构</w:t>
      </w:r>
      <w:r>
        <w:rPr>
          <w:rFonts w:hint="default" w:ascii="Times New Roman" w:hAnsi="Times New Roman" w:eastAsia="宋体" w:cs="Times New Roman"/>
          <w:color w:val="auto"/>
          <w:sz w:val="24"/>
          <w:szCs w:val="24"/>
          <w:lang w:eastAsia="zh-CN"/>
        </w:rPr>
        <w:t>上的活荷载。</w:t>
      </w:r>
    </w:p>
    <w:p w14:paraId="1416A23A">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2</w:t>
      </w:r>
      <w:r>
        <w:rPr>
          <w:rFonts w:hint="default" w:ascii="Times New Roman" w:hAnsi="Times New Roman" w:eastAsia="宋体" w:cs="Times New Roman"/>
          <w:color w:val="auto"/>
          <w:sz w:val="24"/>
          <w:szCs w:val="24"/>
          <w:lang w:eastAsia="zh-CN"/>
        </w:rPr>
        <w:t xml:space="preserve"> 不得将纤维复合材直接暴露在阳光或有害介质中，其表面应进行防护处理。表面防护材料应对纤维及胶粘剂无害，且应与胶粘剂有可靠的粘结及相互协调的变形性能。</w:t>
      </w:r>
    </w:p>
    <w:p w14:paraId="51FDD676">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 xml:space="preserve">3 </w:t>
      </w:r>
      <w:r>
        <w:rPr>
          <w:rFonts w:hint="default" w:ascii="Times New Roman" w:hAnsi="Times New Roman" w:eastAsia="宋体" w:cs="Times New Roman"/>
          <w:color w:val="auto"/>
          <w:sz w:val="24"/>
          <w:szCs w:val="24"/>
          <w:lang w:eastAsia="zh-CN"/>
        </w:rPr>
        <w:t>施工现场的环境温度必须符合黏结材料的使用温度以保证粘贴质量。当环境湿度不超过70%时，可以不考虑环境湿度对树脂固化的不利影响。</w:t>
      </w:r>
      <w:r>
        <w:rPr>
          <w:rFonts w:hint="default" w:ascii="Times New Roman" w:hAnsi="Times New Roman" w:eastAsia="宋体" w:cs="Times New Roman"/>
          <w:color w:val="auto"/>
          <w:sz w:val="24"/>
          <w:szCs w:val="24"/>
          <w:lang w:val="en-US" w:eastAsia="zh-CN"/>
        </w:rPr>
        <w:t>处于特殊环境的混凝土结构采用本方法加固时，尚应采用耐环境因素作用的胶粘剂，并按专门的工艺要求进行粘贴</w:t>
      </w:r>
      <w:r>
        <w:rPr>
          <w:rFonts w:hint="default" w:ascii="Times New Roman" w:hAnsi="Times New Roman" w:eastAsia="宋体" w:cs="Times New Roman"/>
          <w:color w:val="auto"/>
          <w:sz w:val="24"/>
          <w:szCs w:val="24"/>
          <w:lang w:eastAsia="zh-CN"/>
        </w:rPr>
        <w:t>。</w:t>
      </w:r>
    </w:p>
    <w:p w14:paraId="728D5882">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 xml:space="preserve">4 </w:t>
      </w:r>
      <w:r>
        <w:rPr>
          <w:rFonts w:hint="default" w:ascii="Times New Roman" w:hAnsi="Times New Roman" w:eastAsia="宋体" w:cs="Times New Roman"/>
          <w:color w:val="auto"/>
          <w:sz w:val="24"/>
          <w:szCs w:val="24"/>
          <w:lang w:eastAsia="zh-CN"/>
        </w:rPr>
        <w:t>涂刷底层树脂、找平处理及粘贴纤维布等施工工序及施工进度应按现行国家标准《混凝土结构加固设计规范》GB 50367及现行中国工程建设标准化协会标准《碳纤维片材加固混凝土结构技术规程》CECS 146的有关规定执行。</w:t>
      </w:r>
    </w:p>
    <w:p w14:paraId="3EB1F30D">
      <w:pPr>
        <w:keepNext w:val="0"/>
        <w:keepLines w:val="0"/>
        <w:pageBreakBefore w:val="0"/>
        <w:wordWrap/>
        <w:overflowPunct/>
        <w:topLinePunct w:val="0"/>
        <w:bidi w:val="0"/>
        <w:spacing w:before="120" w:after="120" w:line="360" w:lineRule="exact"/>
        <w:jc w:val="center"/>
        <w:rPr>
          <w:rFonts w:hint="default" w:ascii="Times New Roman" w:hAnsi="Times New Roman" w:eastAsia="宋体" w:cs="Times New Roman"/>
          <w:color w:val="auto"/>
          <w:sz w:val="24"/>
          <w:szCs w:val="24"/>
        </w:rPr>
      </w:pPr>
      <w:bookmarkStart w:id="158" w:name="_Toc21399"/>
      <w:r>
        <w:rPr>
          <w:rFonts w:hint="default" w:ascii="Times New Roman" w:hAnsi="Times New Roman" w:eastAsia="宋体" w:cs="Times New Roman"/>
          <w:color w:val="auto"/>
          <w:sz w:val="24"/>
          <w:szCs w:val="24"/>
        </w:rPr>
        <w:t>VI 钢绞线网-聚合物砂浆面层加固法</w:t>
      </w:r>
      <w:bookmarkEnd w:id="158"/>
    </w:p>
    <w:p w14:paraId="6994135C">
      <w:pPr>
        <w:keepNext w:val="0"/>
        <w:keepLines w:val="0"/>
        <w:pageBreakBefore w:val="0"/>
        <w:tabs>
          <w:tab w:val="left" w:pos="680"/>
          <w:tab w:val="left" w:pos="1134"/>
          <w:tab w:val="clear" w:pos="3261"/>
        </w:tabs>
        <w:wordWrap/>
        <w:overflowPunct/>
        <w:topLinePunct w:val="0"/>
        <w:bidi w:val="0"/>
        <w:adjustRightInd w:val="0"/>
        <w:spacing w:line="360" w:lineRule="exact"/>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 xml:space="preserve">7.3.13 </w:t>
      </w:r>
      <w:r>
        <w:rPr>
          <w:rFonts w:hint="default" w:ascii="Times New Roman" w:hAnsi="Times New Roman" w:eastAsia="宋体" w:cs="Times New Roman"/>
          <w:color w:val="auto"/>
          <w:sz w:val="24"/>
          <w:szCs w:val="24"/>
        </w:rPr>
        <w:t>钢绞线网-聚合物砂浆面层加固梁柱的钢绞线网片、聚合物砂浆的材料性能，应符合现行国家标准《建筑抗震加固技术规程》JGJ 116第5.3.4条的规定。界面剂的性能应符合现行行业标准《混凝土界面处理剂》JC/T 907关于Ⅰ型的规定。</w:t>
      </w:r>
    </w:p>
    <w:p w14:paraId="3FF652F1">
      <w:pPr>
        <w:keepNext w:val="0"/>
        <w:keepLines w:val="0"/>
        <w:pageBreakBefore w:val="0"/>
        <w:tabs>
          <w:tab w:val="left" w:pos="680"/>
          <w:tab w:val="left" w:pos="1134"/>
          <w:tab w:val="clear" w:pos="3261"/>
        </w:tabs>
        <w:wordWrap/>
        <w:overflowPunct/>
        <w:topLinePunct w:val="0"/>
        <w:bidi w:val="0"/>
        <w:adjustRightInd w:val="0"/>
        <w:spacing w:line="360" w:lineRule="exact"/>
        <w:rPr>
          <w:rFonts w:hint="default" w:ascii="Times New Roman" w:hAnsi="Times New Roman" w:eastAsia="宋体" w:cs="Times New Roman"/>
          <w:color w:val="auto"/>
          <w:sz w:val="24"/>
          <w:szCs w:val="24"/>
        </w:rPr>
      </w:pPr>
      <w:bookmarkStart w:id="159" w:name="_Toc4701"/>
      <w:r>
        <w:rPr>
          <w:rFonts w:hint="default" w:ascii="Times New Roman" w:hAnsi="Times New Roman" w:eastAsia="宋体" w:cs="Times New Roman"/>
          <w:b/>
          <w:bCs/>
          <w:color w:val="auto"/>
          <w:sz w:val="24"/>
          <w:szCs w:val="24"/>
          <w:lang w:val="en-US" w:eastAsia="zh-CN"/>
        </w:rPr>
        <w:t xml:space="preserve">7.3.14 </w:t>
      </w:r>
      <w:r>
        <w:rPr>
          <w:rFonts w:hint="default" w:ascii="Times New Roman" w:hAnsi="Times New Roman" w:eastAsia="宋体" w:cs="Times New Roman"/>
          <w:color w:val="auto"/>
          <w:sz w:val="24"/>
          <w:szCs w:val="24"/>
        </w:rPr>
        <w:t>钢绞线网-聚合物砂浆面层加固梁柱的设计，应符合下列要求：</w:t>
      </w:r>
      <w:bookmarkEnd w:id="159"/>
    </w:p>
    <w:p w14:paraId="11BC2BAB">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 xml:space="preserve">1 </w:t>
      </w:r>
      <w:r>
        <w:rPr>
          <w:rFonts w:hint="default" w:ascii="Times New Roman" w:hAnsi="Times New Roman" w:eastAsia="宋体" w:cs="Times New Roman"/>
          <w:color w:val="auto"/>
          <w:sz w:val="24"/>
          <w:szCs w:val="24"/>
          <w:lang w:eastAsia="zh-CN"/>
        </w:rPr>
        <w:t>原有构件混凝土的实际强度等级不应低于C20，且混凝土表面的正拉黏结强度不应低于1.5MPa。</w:t>
      </w:r>
    </w:p>
    <w:p w14:paraId="0E572436">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2</w:t>
      </w:r>
      <w:r>
        <w:rPr>
          <w:rFonts w:hint="default" w:ascii="Times New Roman" w:hAnsi="Times New Roman" w:eastAsia="宋体" w:cs="Times New Roman"/>
          <w:color w:val="auto"/>
          <w:sz w:val="24"/>
          <w:szCs w:val="24"/>
          <w:lang w:eastAsia="zh-CN"/>
        </w:rPr>
        <w:t xml:space="preserve"> 钢绞线网的受力方式应设计成仅承受拉应力作用。当提高梁截面的受弯承载力时，钢绞线网应设在梁顶面或底面受拉区(图7.3.14-1)；当提高梁截面的受剪承载力时，钢绞线网应采用三面围套或四面围套的方式(图7.3.14-2)；当提高柱截面受剪承载力时，钢绞线网应采用四面围套的方式(图7.3.14-3)。</w:t>
      </w:r>
    </w:p>
    <w:p w14:paraId="2FFAEF79">
      <w:pPr>
        <w:keepNext w:val="0"/>
        <w:keepLines w:val="0"/>
        <w:pageBreakBefore w:val="0"/>
        <w:wordWrap/>
        <w:overflowPunct/>
        <w:topLinePunct w:val="0"/>
        <w:bidi w:val="0"/>
        <w:spacing w:line="360" w:lineRule="exact"/>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drawing>
          <wp:anchor distT="0" distB="0" distL="0" distR="0" simplePos="0" relativeHeight="251668480" behindDoc="0" locked="0" layoutInCell="1" allowOverlap="1">
            <wp:simplePos x="0" y="0"/>
            <wp:positionH relativeFrom="column">
              <wp:posOffset>1620520</wp:posOffset>
            </wp:positionH>
            <wp:positionV relativeFrom="paragraph">
              <wp:posOffset>220980</wp:posOffset>
            </wp:positionV>
            <wp:extent cx="3088640" cy="1388745"/>
            <wp:effectExtent l="0" t="0" r="16510" b="1905"/>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a:xfrm>
                      <a:off x="0" y="0"/>
                      <a:ext cx="3094379" cy="1391271"/>
                    </a:xfrm>
                    <a:prstGeom prst="rect">
                      <a:avLst/>
                    </a:prstGeom>
                    <a:noFill/>
                    <a:ln>
                      <a:noFill/>
                    </a:ln>
                  </pic:spPr>
                </pic:pic>
              </a:graphicData>
            </a:graphic>
          </wp:anchor>
        </w:drawing>
      </w:r>
    </w:p>
    <w:p w14:paraId="5979007B">
      <w:pPr>
        <w:pStyle w:val="65"/>
        <w:keepNext w:val="0"/>
        <w:keepLines w:val="0"/>
        <w:pageBreakBefore w:val="0"/>
        <w:wordWrap/>
        <w:overflowPunct/>
        <w:topLinePunct w:val="0"/>
        <w:bidi w:val="0"/>
        <w:spacing w:line="360" w:lineRule="exac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图</w:t>
      </w:r>
      <w:r>
        <w:rPr>
          <w:rFonts w:hint="default" w:ascii="Times New Roman" w:hAnsi="Times New Roman" w:eastAsia="宋体" w:cs="Times New Roman"/>
          <w:color w:val="auto"/>
          <w:sz w:val="24"/>
          <w:szCs w:val="24"/>
          <w:lang w:eastAsia="zh-CN"/>
        </w:rPr>
        <w:t>7.3</w:t>
      </w:r>
      <w:r>
        <w:rPr>
          <w:rFonts w:hint="default" w:ascii="Times New Roman" w:hAnsi="Times New Roman" w:eastAsia="宋体" w:cs="Times New Roman"/>
          <w:color w:val="auto"/>
          <w:sz w:val="24"/>
          <w:szCs w:val="24"/>
        </w:rPr>
        <w:t>.14-1 梁受弯加固</w:t>
      </w:r>
    </w:p>
    <w:p w14:paraId="722EAD73">
      <w:pPr>
        <w:keepNext w:val="0"/>
        <w:keepLines w:val="0"/>
        <w:pageBreakBefore w:val="0"/>
        <w:wordWrap/>
        <w:overflowPunct/>
        <w:topLinePunct w:val="0"/>
        <w:bidi w:val="0"/>
        <w:spacing w:line="360" w:lineRule="exact"/>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drawing>
          <wp:anchor distT="0" distB="0" distL="0" distR="0" simplePos="0" relativeHeight="251669504" behindDoc="0" locked="0" layoutInCell="1" allowOverlap="1">
            <wp:simplePos x="0" y="0"/>
            <wp:positionH relativeFrom="column">
              <wp:posOffset>997585</wp:posOffset>
            </wp:positionH>
            <wp:positionV relativeFrom="paragraph">
              <wp:posOffset>174625</wp:posOffset>
            </wp:positionV>
            <wp:extent cx="4324350" cy="1143000"/>
            <wp:effectExtent l="0" t="0" r="0" b="0"/>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a:xfrm>
                      <a:off x="0" y="0"/>
                      <a:ext cx="4328789" cy="1144305"/>
                    </a:xfrm>
                    <a:prstGeom prst="rect">
                      <a:avLst/>
                    </a:prstGeom>
                    <a:noFill/>
                    <a:ln>
                      <a:noFill/>
                    </a:ln>
                  </pic:spPr>
                </pic:pic>
              </a:graphicData>
            </a:graphic>
          </wp:anchor>
        </w:drawing>
      </w:r>
    </w:p>
    <w:p w14:paraId="36CA92BC">
      <w:pPr>
        <w:pStyle w:val="65"/>
        <w:keepNext w:val="0"/>
        <w:keepLines w:val="0"/>
        <w:pageBreakBefore w:val="0"/>
        <w:wordWrap/>
        <w:overflowPunct/>
        <w:topLinePunct w:val="0"/>
        <w:bidi w:val="0"/>
        <w:spacing w:line="360" w:lineRule="exac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图</w:t>
      </w:r>
      <w:r>
        <w:rPr>
          <w:rFonts w:hint="default" w:ascii="Times New Roman" w:hAnsi="Times New Roman" w:eastAsia="宋体" w:cs="Times New Roman"/>
          <w:color w:val="auto"/>
          <w:sz w:val="24"/>
          <w:szCs w:val="24"/>
          <w:lang w:eastAsia="zh-CN"/>
        </w:rPr>
        <w:t>7.3</w:t>
      </w:r>
      <w:r>
        <w:rPr>
          <w:rFonts w:hint="default" w:ascii="Times New Roman" w:hAnsi="Times New Roman" w:eastAsia="宋体" w:cs="Times New Roman"/>
          <w:color w:val="auto"/>
          <w:sz w:val="24"/>
          <w:szCs w:val="24"/>
        </w:rPr>
        <w:t>.14-2 梁受剪加固                   图</w:t>
      </w:r>
      <w:r>
        <w:rPr>
          <w:rFonts w:hint="default" w:ascii="Times New Roman" w:hAnsi="Times New Roman" w:eastAsia="宋体" w:cs="Times New Roman"/>
          <w:color w:val="auto"/>
          <w:sz w:val="24"/>
          <w:szCs w:val="24"/>
          <w:lang w:eastAsia="zh-CN"/>
        </w:rPr>
        <w:t>7.3</w:t>
      </w:r>
      <w:r>
        <w:rPr>
          <w:rFonts w:hint="default" w:ascii="Times New Roman" w:hAnsi="Times New Roman" w:eastAsia="宋体" w:cs="Times New Roman"/>
          <w:color w:val="auto"/>
          <w:sz w:val="24"/>
          <w:szCs w:val="24"/>
        </w:rPr>
        <w:t>.14-3 柱受剪加固</w:t>
      </w:r>
    </w:p>
    <w:p w14:paraId="3AD9A3C3">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bookmarkStart w:id="160" w:name="_Toc7127"/>
      <w:r>
        <w:rPr>
          <w:rFonts w:hint="default" w:ascii="Times New Roman" w:hAnsi="Times New Roman" w:eastAsia="宋体" w:cs="Times New Roman"/>
          <w:b/>
          <w:color w:val="auto"/>
          <w:sz w:val="24"/>
          <w:szCs w:val="24"/>
          <w:lang w:eastAsia="zh-CN"/>
        </w:rPr>
        <w:t xml:space="preserve">3 </w:t>
      </w:r>
      <w:r>
        <w:rPr>
          <w:rFonts w:hint="default" w:ascii="Times New Roman" w:hAnsi="Times New Roman" w:eastAsia="宋体" w:cs="Times New Roman"/>
          <w:color w:val="auto"/>
          <w:sz w:val="24"/>
          <w:szCs w:val="24"/>
          <w:lang w:eastAsia="zh-CN"/>
        </w:rPr>
        <w:t>钢</w:t>
      </w:r>
      <w:r>
        <w:rPr>
          <w:rStyle w:val="31"/>
          <w:rFonts w:hint="default" w:ascii="Times New Roman" w:hAnsi="Times New Roman" w:eastAsia="宋体" w:cs="Times New Roman"/>
          <w:color w:val="auto"/>
          <w:sz w:val="24"/>
          <w:szCs w:val="24"/>
          <w:lang w:eastAsia="zh-CN"/>
        </w:rPr>
        <w:t>绞线网-聚合物砂浆面层加固梁柱的构造，应符合下列规定：</w:t>
      </w:r>
      <w:bookmarkEnd w:id="160"/>
    </w:p>
    <w:p w14:paraId="24EDF1C4">
      <w:pPr>
        <w:pStyle w:val="12"/>
        <w:keepNext w:val="0"/>
        <w:keepLines w:val="0"/>
        <w:pageBreakBefore w:val="0"/>
        <w:wordWrap/>
        <w:overflowPunct/>
        <w:topLinePunct w:val="0"/>
        <w:bidi w:val="0"/>
        <w:spacing w:line="360" w:lineRule="exact"/>
        <w:ind w:firstLine="723" w:firstLineChars="3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1</w:t>
      </w:r>
      <w:bookmarkStart w:id="161" w:name="OLE_LINK62"/>
      <w:r>
        <w:rPr>
          <w:rFonts w:hint="default" w:ascii="Times New Roman" w:hAnsi="Times New Roman" w:eastAsia="宋体" w:cs="Times New Roman"/>
          <w:b/>
          <w:color w:val="auto"/>
          <w:sz w:val="24"/>
          <w:szCs w:val="24"/>
          <w:lang w:eastAsia="zh-CN"/>
        </w:rPr>
        <w:t>）</w:t>
      </w:r>
      <w:bookmarkEnd w:id="161"/>
      <w:r>
        <w:rPr>
          <w:rFonts w:hint="default" w:ascii="Times New Roman" w:hAnsi="Times New Roman" w:eastAsia="宋体" w:cs="Times New Roman"/>
          <w:color w:val="auto"/>
          <w:sz w:val="24"/>
          <w:szCs w:val="24"/>
          <w:lang w:eastAsia="zh-CN"/>
        </w:rPr>
        <w:t>面层的厚度应大于25mm，钢绞线保护层厚度不应小于15mm；</w:t>
      </w:r>
    </w:p>
    <w:p w14:paraId="5C630653">
      <w:pPr>
        <w:pStyle w:val="12"/>
        <w:keepNext w:val="0"/>
        <w:keepLines w:val="0"/>
        <w:pageBreakBefore w:val="0"/>
        <w:wordWrap/>
        <w:overflowPunct/>
        <w:topLinePunct w:val="0"/>
        <w:bidi w:val="0"/>
        <w:spacing w:line="360" w:lineRule="exact"/>
        <w:ind w:firstLine="723" w:firstLineChars="3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2）</w:t>
      </w:r>
      <w:r>
        <w:rPr>
          <w:rFonts w:hint="default" w:ascii="Times New Roman" w:hAnsi="Times New Roman" w:eastAsia="宋体" w:cs="Times New Roman"/>
          <w:color w:val="auto"/>
          <w:sz w:val="24"/>
          <w:szCs w:val="24"/>
          <w:lang w:eastAsia="zh-CN"/>
        </w:rPr>
        <w:t>受力钢绞线的间距不应小于20mm，也不应大于40mm；分布钢绞线不应考虑其受力作用，间距在200～500mm；</w:t>
      </w:r>
    </w:p>
    <w:p w14:paraId="157EEB82">
      <w:pPr>
        <w:pStyle w:val="12"/>
        <w:keepNext w:val="0"/>
        <w:keepLines w:val="0"/>
        <w:pageBreakBefore w:val="0"/>
        <w:wordWrap/>
        <w:overflowPunct/>
        <w:topLinePunct w:val="0"/>
        <w:bidi w:val="0"/>
        <w:spacing w:line="360" w:lineRule="exact"/>
        <w:ind w:firstLine="723" w:firstLineChars="3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3）</w:t>
      </w:r>
      <w:r>
        <w:rPr>
          <w:rFonts w:hint="default" w:ascii="Times New Roman" w:hAnsi="Times New Roman" w:eastAsia="宋体" w:cs="Times New Roman"/>
          <w:color w:val="auto"/>
          <w:sz w:val="24"/>
          <w:szCs w:val="24"/>
          <w:lang w:eastAsia="zh-CN"/>
        </w:rPr>
        <w:t>钢绞线网应采用专用金属胀栓固定在构件上，端部胀栓应错开布置，中部应交置，且</w:t>
      </w:r>
      <w:r>
        <w:rPr>
          <w:rFonts w:hint="default" w:ascii="Times New Roman" w:hAnsi="Times New Roman" w:eastAsia="宋体" w:cs="Times New Roman"/>
          <w:color w:val="auto"/>
          <w:sz w:val="24"/>
          <w:szCs w:val="24"/>
          <w:lang w:val="en-US" w:eastAsia="zh-CN"/>
        </w:rPr>
        <w:t>间</w:t>
      </w:r>
      <w:r>
        <w:rPr>
          <w:rFonts w:hint="default" w:ascii="Times New Roman" w:hAnsi="Times New Roman" w:eastAsia="宋体" w:cs="Times New Roman"/>
          <w:color w:val="auto"/>
          <w:sz w:val="24"/>
          <w:szCs w:val="24"/>
          <w:lang w:eastAsia="zh-CN"/>
        </w:rPr>
        <w:t>距不大于300mm；</w:t>
      </w:r>
    </w:p>
    <w:p w14:paraId="1CC74626">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 xml:space="preserve">4 </w:t>
      </w:r>
      <w:r>
        <w:rPr>
          <w:rFonts w:hint="default" w:ascii="Times New Roman" w:hAnsi="Times New Roman" w:eastAsia="宋体" w:cs="Times New Roman"/>
          <w:color w:val="auto"/>
          <w:sz w:val="24"/>
          <w:szCs w:val="24"/>
          <w:lang w:eastAsia="zh-CN"/>
        </w:rPr>
        <w:t>钢绞线网-聚合物砂浆面层加固梁截面的承载力验算，可按照现行国家标准《混凝土结构加固设计规范》GB 50367的有关规定进行，其中，对构件截面承载力的新增部分，其加固承载力抗震调整系数宜采用1.0，原构件的材料强度设计值和抗震承载力，应按国家标准《建筑抗震鉴定标准》GB 50023的有关规定采用。</w:t>
      </w:r>
    </w:p>
    <w:p w14:paraId="7792C5D5">
      <w:pPr>
        <w:pStyle w:val="12"/>
        <w:keepNext w:val="0"/>
        <w:keepLines w:val="0"/>
        <w:pageBreakBefore w:val="0"/>
        <w:wordWrap/>
        <w:overflowPunct/>
        <w:topLinePunct w:val="0"/>
        <w:bidi w:val="0"/>
        <w:spacing w:line="360" w:lineRule="exact"/>
        <w:ind w:firstLine="422"/>
        <w:jc w:val="left"/>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5</w:t>
      </w:r>
      <w:r>
        <w:rPr>
          <w:rFonts w:hint="default" w:ascii="Times New Roman" w:hAnsi="Times New Roman" w:eastAsia="宋体" w:cs="Times New Roman"/>
          <w:color w:val="auto"/>
          <w:sz w:val="24"/>
          <w:szCs w:val="24"/>
          <w:lang w:eastAsia="zh-CN"/>
        </w:rPr>
        <w:t xml:space="preserve"> 钢绞线网-聚合物砂浆面层加固柱简化的承载力验算，环向钢绞线可按箍筋计算，但钢绞线的强度应依据柱剪跨比的大小乘以折减系数，剪跨比不小于3时取0.50，剪跨比不大于1.5时取0.32。原构件的材料强度设计值和抗震承载力，应按国家标准《建筑抗震鉴定标准》GB 50023的有关规定采用。</w:t>
      </w:r>
    </w:p>
    <w:p w14:paraId="23D007A7">
      <w:pPr>
        <w:pStyle w:val="12"/>
        <w:keepNext w:val="0"/>
        <w:keepLines w:val="0"/>
        <w:pageBreakBefore w:val="0"/>
        <w:wordWrap/>
        <w:overflowPunct/>
        <w:topLinePunct w:val="0"/>
        <w:bidi w:val="0"/>
        <w:spacing w:line="360" w:lineRule="exact"/>
        <w:ind w:firstLine="422"/>
        <w:jc w:val="left"/>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val="en-US" w:eastAsia="zh-CN"/>
        </w:rPr>
        <w:t>6</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lang w:eastAsia="zh-CN"/>
        </w:rPr>
        <w:t>被加固构件长期使用的环境要求，应符合国家现行有关标准的规定。</w:t>
      </w:r>
    </w:p>
    <w:p w14:paraId="6EED40D9">
      <w:pPr>
        <w:keepNext w:val="0"/>
        <w:keepLines w:val="0"/>
        <w:pageBreakBefore w:val="0"/>
        <w:tabs>
          <w:tab w:val="left" w:pos="680"/>
          <w:tab w:val="left" w:pos="1134"/>
          <w:tab w:val="clear" w:pos="3261"/>
        </w:tabs>
        <w:wordWrap/>
        <w:overflowPunct/>
        <w:topLinePunct w:val="0"/>
        <w:bidi w:val="0"/>
        <w:adjustRightInd w:val="0"/>
        <w:spacing w:line="360" w:lineRule="exact"/>
        <w:jc w:val="left"/>
        <w:rPr>
          <w:rFonts w:hint="default" w:ascii="Times New Roman" w:hAnsi="Times New Roman" w:eastAsia="宋体" w:cs="Times New Roman"/>
          <w:color w:val="auto"/>
          <w:sz w:val="24"/>
          <w:szCs w:val="24"/>
        </w:rPr>
      </w:pPr>
      <w:bookmarkStart w:id="162" w:name="_Toc27386"/>
      <w:r>
        <w:rPr>
          <w:rFonts w:hint="default" w:ascii="Times New Roman" w:hAnsi="Times New Roman" w:eastAsia="宋体" w:cs="Times New Roman"/>
          <w:b/>
          <w:bCs/>
          <w:color w:val="auto"/>
          <w:sz w:val="24"/>
          <w:szCs w:val="24"/>
          <w:lang w:val="en-US" w:eastAsia="zh-CN"/>
        </w:rPr>
        <w:t xml:space="preserve">7.3.15 </w:t>
      </w:r>
      <w:r>
        <w:rPr>
          <w:rFonts w:hint="default" w:ascii="Times New Roman" w:hAnsi="Times New Roman" w:eastAsia="宋体" w:cs="Times New Roman"/>
          <w:color w:val="auto"/>
          <w:sz w:val="24"/>
          <w:szCs w:val="24"/>
        </w:rPr>
        <w:t>钢绞线网-聚合物砂浆面层</w:t>
      </w:r>
      <w:r>
        <w:rPr>
          <w:rFonts w:hint="default" w:ascii="Times New Roman" w:hAnsi="Times New Roman" w:eastAsia="宋体" w:cs="Times New Roman"/>
          <w:color w:val="auto"/>
          <w:sz w:val="24"/>
          <w:szCs w:val="24"/>
          <w:lang w:val="en-US" w:eastAsia="zh-CN"/>
        </w:rPr>
        <w:t>法</w:t>
      </w:r>
      <w:r>
        <w:rPr>
          <w:rFonts w:hint="default" w:ascii="Times New Roman" w:hAnsi="Times New Roman" w:eastAsia="宋体" w:cs="Times New Roman"/>
          <w:color w:val="auto"/>
          <w:sz w:val="24"/>
          <w:szCs w:val="24"/>
        </w:rPr>
        <w:t>加固房屋时，应符合下列施工要求：</w:t>
      </w:r>
      <w:bookmarkEnd w:id="162"/>
    </w:p>
    <w:p w14:paraId="7E3D5B98">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bookmarkStart w:id="163" w:name="_Toc17422"/>
      <w:r>
        <w:rPr>
          <w:rFonts w:hint="default" w:ascii="Times New Roman" w:hAnsi="Times New Roman" w:eastAsia="宋体" w:cs="Times New Roman"/>
          <w:b/>
          <w:color w:val="auto"/>
          <w:sz w:val="24"/>
          <w:szCs w:val="24"/>
          <w:lang w:eastAsia="zh-CN"/>
        </w:rPr>
        <w:t xml:space="preserve">1 </w:t>
      </w:r>
      <w:r>
        <w:rPr>
          <w:rFonts w:hint="default" w:ascii="Times New Roman" w:hAnsi="Times New Roman" w:eastAsia="宋体" w:cs="Times New Roman"/>
          <w:color w:val="auto"/>
          <w:sz w:val="24"/>
          <w:szCs w:val="24"/>
          <w:lang w:eastAsia="zh-CN"/>
        </w:rPr>
        <w:t>应</w:t>
      </w:r>
      <w:r>
        <w:rPr>
          <w:rFonts w:hint="default" w:ascii="Times New Roman" w:hAnsi="Times New Roman" w:eastAsia="宋体" w:cs="Times New Roman"/>
          <w:color w:val="auto"/>
          <w:sz w:val="24"/>
          <w:szCs w:val="24"/>
          <w:lang w:val="en-US" w:eastAsia="zh-CN"/>
        </w:rPr>
        <w:t>采取措施</w:t>
      </w:r>
      <w:r>
        <w:rPr>
          <w:rFonts w:hint="default" w:ascii="Times New Roman" w:hAnsi="Times New Roman" w:eastAsia="宋体" w:cs="Times New Roman"/>
          <w:color w:val="auto"/>
          <w:sz w:val="24"/>
          <w:szCs w:val="24"/>
          <w:lang w:eastAsia="zh-CN"/>
        </w:rPr>
        <w:t>卸除或大部分卸除作用在</w:t>
      </w:r>
      <w:r>
        <w:rPr>
          <w:rFonts w:hint="default" w:ascii="Times New Roman" w:hAnsi="Times New Roman" w:eastAsia="宋体" w:cs="Times New Roman"/>
          <w:color w:val="auto"/>
          <w:sz w:val="24"/>
          <w:szCs w:val="24"/>
          <w:lang w:val="en-US" w:eastAsia="zh-CN"/>
        </w:rPr>
        <w:t>结构</w:t>
      </w:r>
      <w:r>
        <w:rPr>
          <w:rFonts w:hint="default" w:ascii="Times New Roman" w:hAnsi="Times New Roman" w:eastAsia="宋体" w:cs="Times New Roman"/>
          <w:color w:val="auto"/>
          <w:sz w:val="24"/>
          <w:szCs w:val="24"/>
          <w:lang w:eastAsia="zh-CN"/>
        </w:rPr>
        <w:t>上的活荷载。</w:t>
      </w:r>
      <w:bookmarkEnd w:id="163"/>
    </w:p>
    <w:p w14:paraId="7FCF49FD">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 xml:space="preserve">2 </w:t>
      </w:r>
      <w:r>
        <w:rPr>
          <w:rFonts w:hint="default" w:ascii="Times New Roman" w:hAnsi="Times New Roman" w:eastAsia="宋体" w:cs="Times New Roman"/>
          <w:color w:val="auto"/>
          <w:sz w:val="24"/>
          <w:szCs w:val="24"/>
          <w:lang w:eastAsia="zh-CN"/>
        </w:rPr>
        <w:t>加固的施工顺序和主要注意事项可按现行国家标准《建筑抗震加固技术规程》JGJ 116第5.3.6条的规定执行。</w:t>
      </w:r>
    </w:p>
    <w:p w14:paraId="0676B35D">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 xml:space="preserve">3 </w:t>
      </w:r>
      <w:r>
        <w:rPr>
          <w:rFonts w:hint="default" w:ascii="Times New Roman" w:hAnsi="Times New Roman" w:eastAsia="宋体" w:cs="Times New Roman"/>
          <w:color w:val="auto"/>
          <w:sz w:val="24"/>
          <w:szCs w:val="24"/>
          <w:lang w:eastAsia="zh-CN"/>
        </w:rPr>
        <w:t>加固时应清除原有抹灰等装修面层，处理至裸露原混凝土结构的</w:t>
      </w:r>
      <w:r>
        <w:rPr>
          <w:rFonts w:hint="default" w:ascii="Times New Roman" w:hAnsi="Times New Roman" w:eastAsia="宋体" w:cs="Times New Roman"/>
          <w:color w:val="auto"/>
          <w:sz w:val="24"/>
          <w:szCs w:val="24"/>
          <w:lang w:val="en-US" w:eastAsia="zh-CN"/>
        </w:rPr>
        <w:t>密</w:t>
      </w:r>
      <w:r>
        <w:rPr>
          <w:rFonts w:hint="default" w:ascii="Times New Roman" w:hAnsi="Times New Roman" w:eastAsia="宋体" w:cs="Times New Roman"/>
          <w:color w:val="auto"/>
          <w:sz w:val="24"/>
          <w:szCs w:val="24"/>
          <w:lang w:eastAsia="zh-CN"/>
        </w:rPr>
        <w:t>实面，缺陷应涂刷界面剂后用聚合物砂浆修补，基层处理的边缘应比设计抹灰尺寸外扩50mm。</w:t>
      </w:r>
    </w:p>
    <w:p w14:paraId="1B4BB999">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4</w:t>
      </w:r>
      <w:r>
        <w:rPr>
          <w:rFonts w:hint="default" w:ascii="Times New Roman" w:hAnsi="Times New Roman" w:eastAsia="宋体" w:cs="Times New Roman"/>
          <w:color w:val="auto"/>
          <w:sz w:val="24"/>
          <w:szCs w:val="24"/>
          <w:lang w:eastAsia="zh-CN"/>
        </w:rPr>
        <w:t xml:space="preserve"> 界面剂喷涂施工应与聚合物砂浆抹面施工段配合进行，界面剂应随用随搅拌，分布应均匀，不得遗漏被钢绞线网遮挡的基层。</w:t>
      </w:r>
    </w:p>
    <w:p w14:paraId="715EBFF3">
      <w:pPr>
        <w:keepNext w:val="0"/>
        <w:keepLines w:val="0"/>
        <w:pageBreakBefore w:val="0"/>
        <w:wordWrap/>
        <w:overflowPunct/>
        <w:topLinePunct w:val="0"/>
        <w:bidi w:val="0"/>
        <w:spacing w:before="120" w:after="120" w:line="360" w:lineRule="exact"/>
        <w:jc w:val="center"/>
        <w:rPr>
          <w:rFonts w:hint="default" w:ascii="Times New Roman" w:hAnsi="Times New Roman" w:eastAsia="宋体" w:cs="Times New Roman"/>
          <w:color w:val="auto"/>
          <w:sz w:val="24"/>
          <w:szCs w:val="24"/>
        </w:rPr>
      </w:pPr>
      <w:bookmarkStart w:id="164" w:name="_Toc2503"/>
      <w:r>
        <w:rPr>
          <w:rFonts w:hint="default" w:ascii="Times New Roman" w:hAnsi="Times New Roman" w:eastAsia="宋体" w:cs="Times New Roman"/>
          <w:color w:val="auto"/>
          <w:sz w:val="24"/>
          <w:szCs w:val="24"/>
        </w:rPr>
        <w:t>VII 增设支撑加固法</w:t>
      </w:r>
      <w:bookmarkEnd w:id="164"/>
    </w:p>
    <w:p w14:paraId="0444253C">
      <w:pPr>
        <w:keepNext w:val="0"/>
        <w:keepLines w:val="0"/>
        <w:pageBreakBefore w:val="0"/>
        <w:tabs>
          <w:tab w:val="left" w:pos="680"/>
          <w:tab w:val="left" w:pos="1134"/>
          <w:tab w:val="clear" w:pos="3261"/>
        </w:tabs>
        <w:wordWrap/>
        <w:overflowPunct/>
        <w:topLinePunct w:val="0"/>
        <w:bidi w:val="0"/>
        <w:adjustRightInd w:val="0"/>
        <w:spacing w:line="360" w:lineRule="exact"/>
        <w:jc w:val="left"/>
        <w:rPr>
          <w:rFonts w:hint="default" w:ascii="Times New Roman" w:hAnsi="Times New Roman" w:eastAsia="宋体" w:cs="Times New Roman"/>
          <w:color w:val="auto"/>
          <w:sz w:val="24"/>
          <w:szCs w:val="24"/>
        </w:rPr>
      </w:pPr>
      <w:bookmarkStart w:id="165" w:name="_Toc6254"/>
      <w:r>
        <w:rPr>
          <w:rFonts w:hint="default" w:ascii="Times New Roman" w:hAnsi="Times New Roman" w:eastAsia="宋体" w:cs="Times New Roman"/>
          <w:b/>
          <w:bCs/>
          <w:color w:val="auto"/>
          <w:sz w:val="24"/>
          <w:szCs w:val="24"/>
          <w:lang w:val="en-US" w:eastAsia="zh-CN"/>
        </w:rPr>
        <w:t xml:space="preserve">7.3.16 </w:t>
      </w:r>
      <w:r>
        <w:rPr>
          <w:rFonts w:hint="default" w:ascii="Times New Roman" w:hAnsi="Times New Roman" w:eastAsia="宋体" w:cs="Times New Roman"/>
          <w:color w:val="auto"/>
          <w:sz w:val="24"/>
          <w:szCs w:val="24"/>
        </w:rPr>
        <w:t>采用钢支撑加固框架结构时，应符合下列规定：</w:t>
      </w:r>
      <w:bookmarkEnd w:id="165"/>
    </w:p>
    <w:p w14:paraId="63A7CDAE">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 xml:space="preserve">1 </w:t>
      </w:r>
      <w:r>
        <w:rPr>
          <w:rFonts w:hint="default" w:ascii="Times New Roman" w:hAnsi="Times New Roman" w:eastAsia="宋体" w:cs="Times New Roman"/>
          <w:color w:val="auto"/>
          <w:sz w:val="24"/>
          <w:szCs w:val="24"/>
          <w:lang w:eastAsia="zh-CN"/>
        </w:rPr>
        <w:t>支撑的布置应有利于减少结构沿平面或竖向的不规则性；支撑的间距不应超过框架-抗震墙结构中墙体最大间距的规定。</w:t>
      </w:r>
    </w:p>
    <w:p w14:paraId="132E5C0C">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 xml:space="preserve">2 </w:t>
      </w:r>
      <w:r>
        <w:rPr>
          <w:rFonts w:hint="default" w:ascii="Times New Roman" w:hAnsi="Times New Roman" w:eastAsia="宋体" w:cs="Times New Roman"/>
          <w:color w:val="auto"/>
          <w:sz w:val="24"/>
          <w:szCs w:val="24"/>
          <w:lang w:eastAsia="zh-CN"/>
        </w:rPr>
        <w:t>支撑的形式可选择交叉形或人字形，支撑的水平夹角宜在35</w:t>
      </w:r>
      <w:r>
        <w:rPr>
          <w:rFonts w:hint="default" w:ascii="Times New Roman" w:hAnsi="Times New Roman" w:eastAsia="宋体" w:cs="Times New Roman"/>
          <w:color w:val="auto"/>
          <w:sz w:val="24"/>
          <w:szCs w:val="24"/>
        </w:rPr>
        <w:sym w:font="Symbol" w:char="F0B0"/>
      </w:r>
      <w:r>
        <w:rPr>
          <w:rFonts w:hint="default" w:ascii="Times New Roman" w:hAnsi="Times New Roman" w:eastAsia="宋体" w:cs="Times New Roman"/>
          <w:color w:val="auto"/>
          <w:sz w:val="24"/>
          <w:szCs w:val="24"/>
          <w:lang w:eastAsia="zh-CN"/>
        </w:rPr>
        <w:t>～55</w:t>
      </w:r>
      <w:r>
        <w:rPr>
          <w:rFonts w:hint="default" w:ascii="Times New Roman" w:hAnsi="Times New Roman" w:eastAsia="宋体" w:cs="Times New Roman"/>
          <w:color w:val="auto"/>
          <w:sz w:val="24"/>
          <w:szCs w:val="24"/>
        </w:rPr>
        <w:sym w:font="Symbol" w:char="F0B0"/>
      </w:r>
      <w:r>
        <w:rPr>
          <w:rFonts w:hint="default" w:ascii="Times New Roman" w:hAnsi="Times New Roman" w:eastAsia="宋体" w:cs="Times New Roman"/>
          <w:color w:val="auto"/>
          <w:sz w:val="24"/>
          <w:szCs w:val="24"/>
          <w:lang w:eastAsia="zh-CN"/>
        </w:rPr>
        <w:t>之间，不宜大于55</w:t>
      </w:r>
      <w:r>
        <w:rPr>
          <w:rFonts w:hint="default" w:ascii="Times New Roman" w:hAnsi="Times New Roman" w:eastAsia="宋体" w:cs="Times New Roman"/>
          <w:color w:val="auto"/>
          <w:sz w:val="24"/>
          <w:szCs w:val="24"/>
        </w:rPr>
        <w:sym w:font="Symbol" w:char="F0B0"/>
      </w:r>
      <w:r>
        <w:rPr>
          <w:rFonts w:hint="default" w:ascii="Times New Roman" w:hAnsi="Times New Roman" w:eastAsia="宋体" w:cs="Times New Roman"/>
          <w:color w:val="auto"/>
          <w:sz w:val="24"/>
          <w:szCs w:val="24"/>
          <w:lang w:eastAsia="zh-CN"/>
        </w:rPr>
        <w:t>。</w:t>
      </w:r>
    </w:p>
    <w:p w14:paraId="6E638BCD">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 xml:space="preserve">3 </w:t>
      </w:r>
      <w:r>
        <w:rPr>
          <w:rFonts w:hint="default" w:ascii="Times New Roman" w:hAnsi="Times New Roman" w:eastAsia="宋体" w:cs="Times New Roman"/>
          <w:color w:val="auto"/>
          <w:sz w:val="24"/>
          <w:szCs w:val="24"/>
          <w:lang w:eastAsia="zh-CN"/>
        </w:rPr>
        <w:t>支撑杆件的长细比和板件的宽厚比，应依据设防烈度的不同，按现行国家标准《建筑抗震设计标准》GB/T 50011对钢结构设计的有关规定采用。</w:t>
      </w:r>
    </w:p>
    <w:p w14:paraId="12D37F08">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 xml:space="preserve">4 </w:t>
      </w:r>
      <w:r>
        <w:rPr>
          <w:rFonts w:hint="default" w:ascii="Times New Roman" w:hAnsi="Times New Roman" w:eastAsia="宋体" w:cs="Times New Roman"/>
          <w:color w:val="auto"/>
          <w:sz w:val="24"/>
          <w:szCs w:val="24"/>
          <w:lang w:eastAsia="zh-CN"/>
        </w:rPr>
        <w:t>支撑可采用钢箍套与原有钢筋混凝土构件可靠连接，并应采取措施将支撑的地震内力可靠地传递到基础。</w:t>
      </w:r>
    </w:p>
    <w:p w14:paraId="4C090C32">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b/>
          <w:color w:val="auto"/>
          <w:sz w:val="24"/>
          <w:szCs w:val="24"/>
          <w:lang w:eastAsia="zh-CN"/>
        </w:rPr>
      </w:pPr>
      <w:r>
        <w:rPr>
          <w:rFonts w:hint="default"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lang w:eastAsia="zh-CN"/>
        </w:rPr>
        <w:t>新增钢支撑可</w:t>
      </w:r>
      <w:r>
        <w:rPr>
          <w:rFonts w:hint="default" w:ascii="Times New Roman" w:hAnsi="Times New Roman" w:eastAsia="宋体" w:cs="Times New Roman"/>
          <w:b w:val="0"/>
          <w:bCs/>
          <w:color w:val="auto"/>
          <w:sz w:val="24"/>
          <w:szCs w:val="24"/>
          <w:lang w:eastAsia="zh-CN"/>
        </w:rPr>
        <w:t>采用两端铰接的计算简图，且只承担地震作用。</w:t>
      </w:r>
    </w:p>
    <w:p w14:paraId="59E0B816">
      <w:pPr>
        <w:pStyle w:val="12"/>
        <w:keepNext w:val="0"/>
        <w:keepLines w:val="0"/>
        <w:pageBreakBefore w:val="0"/>
        <w:wordWrap/>
        <w:overflowPunct/>
        <w:topLinePunct w:val="0"/>
        <w:bidi w:val="0"/>
        <w:spacing w:line="360" w:lineRule="exact"/>
        <w:ind w:firstLine="422"/>
        <w:rPr>
          <w:rFonts w:hint="default" w:ascii="Times New Roman" w:hAnsi="Times New Roman" w:eastAsia="宋体" w:cs="Times New Roman"/>
          <w:b w:val="0"/>
          <w:bCs/>
          <w:color w:val="auto"/>
          <w:sz w:val="24"/>
          <w:szCs w:val="24"/>
          <w:lang w:eastAsia="zh-CN"/>
        </w:rPr>
      </w:pPr>
      <w:r>
        <w:rPr>
          <w:rFonts w:hint="default" w:ascii="Times New Roman" w:hAnsi="Times New Roman" w:eastAsia="宋体" w:cs="Times New Roman"/>
          <w:b/>
          <w:bCs w:val="0"/>
          <w:color w:val="auto"/>
          <w:sz w:val="24"/>
          <w:szCs w:val="24"/>
          <w:lang w:val="en-US" w:eastAsia="zh-CN"/>
        </w:rPr>
        <w:t>6</w:t>
      </w:r>
      <w:r>
        <w:rPr>
          <w:rFonts w:hint="default" w:ascii="Times New Roman" w:hAnsi="Times New Roman" w:eastAsia="宋体" w:cs="Times New Roman"/>
          <w:b/>
          <w:color w:val="auto"/>
          <w:sz w:val="24"/>
          <w:szCs w:val="24"/>
          <w:lang w:val="en-US" w:eastAsia="zh-CN"/>
        </w:rPr>
        <w:t xml:space="preserve"> </w:t>
      </w:r>
      <w:r>
        <w:rPr>
          <w:rFonts w:hint="default" w:ascii="Times New Roman" w:hAnsi="Times New Roman" w:eastAsia="宋体" w:cs="Times New Roman"/>
          <w:b w:val="0"/>
          <w:bCs/>
          <w:color w:val="auto"/>
          <w:sz w:val="24"/>
          <w:szCs w:val="24"/>
          <w:lang w:eastAsia="zh-CN"/>
        </w:rPr>
        <w:t>钢支撑应采取防腐、防火措施。</w:t>
      </w:r>
    </w:p>
    <w:p w14:paraId="5811D6B6">
      <w:pPr>
        <w:keepNext w:val="0"/>
        <w:keepLines w:val="0"/>
        <w:pageBreakBefore w:val="0"/>
        <w:wordWrap/>
        <w:overflowPunct/>
        <w:topLinePunct w:val="0"/>
        <w:bidi w:val="0"/>
        <w:spacing w:before="120" w:after="120" w:line="360" w:lineRule="exact"/>
        <w:jc w:val="center"/>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color w:val="auto"/>
          <w:sz w:val="24"/>
          <w:szCs w:val="24"/>
        </w:rPr>
        <w:t>VIII 混凝土</w:t>
      </w:r>
      <w:r>
        <w:rPr>
          <w:rFonts w:hint="default" w:ascii="Times New Roman" w:hAnsi="Times New Roman" w:eastAsia="宋体" w:cs="Times New Roman"/>
          <w:color w:val="auto"/>
          <w:sz w:val="24"/>
          <w:szCs w:val="24"/>
          <w:lang w:val="en-US" w:eastAsia="zh-CN"/>
        </w:rPr>
        <w:t>置换</w:t>
      </w:r>
    </w:p>
    <w:p w14:paraId="54DC9022">
      <w:pPr>
        <w:pStyle w:val="12"/>
        <w:keepNext w:val="0"/>
        <w:keepLines w:val="0"/>
        <w:pageBreakBefore w:val="0"/>
        <w:wordWrap/>
        <w:overflowPunct/>
        <w:topLinePunct w:val="0"/>
        <w:bidi w:val="0"/>
        <w:spacing w:line="360" w:lineRule="exact"/>
        <w:ind w:left="0" w:leftChars="0" w:firstLine="0" w:firstLineChars="0"/>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 xml:space="preserve">7.3.17 </w:t>
      </w:r>
      <w:r>
        <w:rPr>
          <w:rFonts w:hint="default" w:ascii="Times New Roman" w:hAnsi="Times New Roman" w:eastAsia="宋体" w:cs="Times New Roman"/>
          <w:color w:val="auto"/>
          <w:sz w:val="24"/>
          <w:szCs w:val="24"/>
          <w:lang w:val="en-US" w:eastAsia="zh-CN"/>
        </w:rPr>
        <w:t>采用置换混凝土法加固钢筋混凝土构件时，应符合下列要求：</w:t>
      </w:r>
    </w:p>
    <w:p w14:paraId="0469D738">
      <w:pPr>
        <w:pStyle w:val="12"/>
        <w:keepNext w:val="0"/>
        <w:keepLines w:val="0"/>
        <w:pageBreakBefore w:val="0"/>
        <w:wordWrap/>
        <w:overflowPunct/>
        <w:topLinePunct w:val="0"/>
        <w:bidi w:val="0"/>
        <w:spacing w:line="360" w:lineRule="exact"/>
        <w:ind w:firstLine="422"/>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 采用置换法局部加固受压区混凝土强度偏低或有严重缺陷的混凝土构件，当加固梁式构件时，应对原构件进行支顶；当加固柱、墙等构件时，应对原结构、构件在施工全过程中的承载状态进行验算、监测和控制；应采取措施保证置换混凝土的协同工作；混凝土结构构件置换部分的界面处理及粘结质量，应满足按整体截面计算的要求。</w:t>
      </w:r>
    </w:p>
    <w:p w14:paraId="0D95DDCE">
      <w:pPr>
        <w:pStyle w:val="12"/>
        <w:keepNext w:val="0"/>
        <w:keepLines w:val="0"/>
        <w:pageBreakBefore w:val="0"/>
        <w:wordWrap/>
        <w:overflowPunct/>
        <w:topLinePunct w:val="0"/>
        <w:bidi w:val="0"/>
        <w:spacing w:line="360" w:lineRule="exact"/>
        <w:ind w:firstLine="422"/>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 混凝土的置换范围应按混凝土强度和缺陷的检测及验算结果确定，但对非全长置换的情况，其两端应分别延伸不小于100mm的长度。置换部分应位于构件截面受压区内，沿整个宽度剔除（图7.3.17a），或沿部分宽度对称剔除（图7.3.17b），但不得仅剔除截面的一隅（图7.3.17c）。</w:t>
      </w:r>
    </w:p>
    <w:p w14:paraId="1623973E">
      <w:pPr>
        <w:keepNext w:val="0"/>
        <w:keepLines w:val="0"/>
        <w:pageBreakBefore w:val="0"/>
        <w:wordWrap/>
        <w:overflowPunct/>
        <w:topLinePunct w:val="0"/>
        <w:bidi w:val="0"/>
        <w:spacing w:line="360" w:lineRule="exact"/>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drawing>
          <wp:anchor distT="0" distB="0" distL="114300" distR="114300" simplePos="0" relativeHeight="251661312" behindDoc="0" locked="0" layoutInCell="1" allowOverlap="1">
            <wp:simplePos x="0" y="0"/>
            <wp:positionH relativeFrom="column">
              <wp:posOffset>226695</wp:posOffset>
            </wp:positionH>
            <wp:positionV relativeFrom="paragraph">
              <wp:posOffset>160020</wp:posOffset>
            </wp:positionV>
            <wp:extent cx="5272405" cy="1511935"/>
            <wp:effectExtent l="0" t="0" r="0" b="0"/>
            <wp:wrapSquare wrapText="bothSides"/>
            <wp:docPr id="7" name="图片 7" descr="1750595709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50595709876"/>
                    <pic:cNvPicPr>
                      <a:picLocks noChangeAspect="1"/>
                    </pic:cNvPicPr>
                  </pic:nvPicPr>
                  <pic:blipFill>
                    <a:blip r:embed="rId322"/>
                    <a:srcRect b="15237"/>
                    <a:stretch>
                      <a:fillRect/>
                    </a:stretch>
                  </pic:blipFill>
                  <pic:spPr>
                    <a:xfrm>
                      <a:off x="0" y="0"/>
                      <a:ext cx="5272405" cy="1511935"/>
                    </a:xfrm>
                    <a:prstGeom prst="rect">
                      <a:avLst/>
                    </a:prstGeom>
                  </pic:spPr>
                </pic:pic>
              </a:graphicData>
            </a:graphic>
          </wp:anchor>
        </w:drawing>
      </w:r>
    </w:p>
    <w:p w14:paraId="224880FC">
      <w:pPr>
        <w:keepNext w:val="0"/>
        <w:keepLines w:val="0"/>
        <w:pageBreakBefore w:val="0"/>
        <w:wordWrap/>
        <w:overflowPunct/>
        <w:topLinePunct w:val="0"/>
        <w:bidi w:val="0"/>
        <w:spacing w:line="360" w:lineRule="exact"/>
        <w:rPr>
          <w:rFonts w:hint="default" w:ascii="Times New Roman" w:hAnsi="Times New Roman" w:eastAsia="宋体" w:cs="Times New Roman"/>
          <w:color w:val="auto"/>
          <w:sz w:val="24"/>
          <w:szCs w:val="24"/>
          <w:lang w:val="en-US" w:eastAsia="zh-CN"/>
        </w:rPr>
      </w:pPr>
    </w:p>
    <w:p w14:paraId="5DEAD8A0">
      <w:pPr>
        <w:keepNext w:val="0"/>
        <w:keepLines w:val="0"/>
        <w:pageBreakBefore w:val="0"/>
        <w:wordWrap/>
        <w:overflowPunct/>
        <w:topLinePunct w:val="0"/>
        <w:bidi w:val="0"/>
        <w:spacing w:line="360" w:lineRule="exact"/>
        <w:rPr>
          <w:rFonts w:hint="default" w:ascii="Times New Roman" w:hAnsi="Times New Roman" w:eastAsia="宋体" w:cs="Times New Roman"/>
          <w:color w:val="auto"/>
          <w:sz w:val="24"/>
          <w:szCs w:val="24"/>
          <w:lang w:val="en-US" w:eastAsia="zh-CN"/>
        </w:rPr>
      </w:pPr>
    </w:p>
    <w:p w14:paraId="7DD190B1">
      <w:pPr>
        <w:keepNext w:val="0"/>
        <w:keepLines w:val="0"/>
        <w:pageBreakBefore w:val="0"/>
        <w:wordWrap/>
        <w:overflowPunct/>
        <w:topLinePunct w:val="0"/>
        <w:bidi w:val="0"/>
        <w:spacing w:line="360" w:lineRule="exact"/>
        <w:rPr>
          <w:rFonts w:hint="default" w:ascii="Times New Roman" w:hAnsi="Times New Roman" w:eastAsia="宋体" w:cs="Times New Roman"/>
          <w:color w:val="auto"/>
          <w:sz w:val="24"/>
          <w:szCs w:val="24"/>
          <w:lang w:val="en-US" w:eastAsia="zh-CN"/>
        </w:rPr>
      </w:pPr>
    </w:p>
    <w:p w14:paraId="250F2A93">
      <w:pPr>
        <w:keepNext w:val="0"/>
        <w:keepLines w:val="0"/>
        <w:pageBreakBefore w:val="0"/>
        <w:wordWrap/>
        <w:overflowPunct/>
        <w:topLinePunct w:val="0"/>
        <w:bidi w:val="0"/>
        <w:spacing w:line="360" w:lineRule="exact"/>
        <w:rPr>
          <w:rFonts w:hint="default" w:ascii="Times New Roman" w:hAnsi="Times New Roman" w:eastAsia="宋体" w:cs="Times New Roman"/>
          <w:color w:val="auto"/>
          <w:sz w:val="24"/>
          <w:szCs w:val="24"/>
          <w:lang w:val="en-US" w:eastAsia="zh-CN"/>
        </w:rPr>
      </w:pPr>
    </w:p>
    <w:p w14:paraId="0F2EEFCD">
      <w:pPr>
        <w:keepNext w:val="0"/>
        <w:keepLines w:val="0"/>
        <w:pageBreakBefore w:val="0"/>
        <w:wordWrap/>
        <w:overflowPunct/>
        <w:topLinePunct w:val="0"/>
        <w:bidi w:val="0"/>
        <w:spacing w:line="360" w:lineRule="exact"/>
        <w:rPr>
          <w:rFonts w:hint="default" w:ascii="Times New Roman" w:hAnsi="Times New Roman" w:eastAsia="宋体" w:cs="Times New Roman"/>
          <w:color w:val="auto"/>
          <w:sz w:val="24"/>
          <w:szCs w:val="24"/>
          <w:lang w:val="en-US" w:eastAsia="zh-CN"/>
        </w:rPr>
      </w:pPr>
    </w:p>
    <w:p w14:paraId="2E487F8C">
      <w:pPr>
        <w:keepNext w:val="0"/>
        <w:keepLines w:val="0"/>
        <w:pageBreakBefore w:val="0"/>
        <w:wordWrap/>
        <w:overflowPunct/>
        <w:topLinePunct w:val="0"/>
        <w:bidi w:val="0"/>
        <w:spacing w:line="360" w:lineRule="exact"/>
        <w:rPr>
          <w:rFonts w:hint="default" w:ascii="Times New Roman" w:hAnsi="Times New Roman" w:eastAsia="宋体" w:cs="Times New Roman"/>
          <w:color w:val="auto"/>
          <w:sz w:val="24"/>
          <w:szCs w:val="24"/>
          <w:lang w:val="en-US" w:eastAsia="zh-CN"/>
        </w:rPr>
      </w:pPr>
    </w:p>
    <w:p w14:paraId="601C29F2">
      <w:pPr>
        <w:keepNext w:val="0"/>
        <w:keepLines w:val="0"/>
        <w:pageBreakBefore w:val="0"/>
        <w:wordWrap/>
        <w:overflowPunct/>
        <w:topLinePunct w:val="0"/>
        <w:bidi w:val="0"/>
        <w:spacing w:line="360" w:lineRule="exact"/>
        <w:rPr>
          <w:rFonts w:hint="default" w:ascii="Times New Roman" w:hAnsi="Times New Roman" w:eastAsia="宋体" w:cs="Times New Roman"/>
          <w:color w:val="auto"/>
          <w:sz w:val="24"/>
          <w:szCs w:val="24"/>
          <w:lang w:val="en-US" w:eastAsia="zh-CN"/>
        </w:rPr>
      </w:pPr>
    </w:p>
    <w:p w14:paraId="1AE39F0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4"/>
          <w:szCs w:val="24"/>
        </w:rPr>
      </w:pPr>
      <w:bookmarkStart w:id="166" w:name="_Toc3607"/>
      <w:r>
        <w:rPr>
          <w:rFonts w:hint="default" w:ascii="Times New Roman" w:hAnsi="Times New Roman" w:eastAsia="宋体" w:cs="Times New Roman"/>
          <w:color w:val="auto"/>
          <w:sz w:val="24"/>
          <w:szCs w:val="24"/>
        </w:rPr>
        <w:t>图</w:t>
      </w:r>
      <w:r>
        <w:rPr>
          <w:rFonts w:hint="default" w:ascii="Times New Roman" w:hAnsi="Times New Roman" w:eastAsia="宋体" w:cs="Times New Roman"/>
          <w:color w:val="auto"/>
          <w:sz w:val="24"/>
          <w:szCs w:val="24"/>
          <w:lang w:eastAsia="zh-CN"/>
        </w:rPr>
        <w:t>7.3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17</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z w:val="24"/>
          <w:szCs w:val="24"/>
          <w:lang w:val="en-US" w:eastAsia="zh-CN"/>
        </w:rPr>
        <w:t>置换混凝土的剔除部位</w:t>
      </w:r>
    </w:p>
    <w:p w14:paraId="42CFE303">
      <w:pPr>
        <w:keepNext w:val="0"/>
        <w:keepLines w:val="0"/>
        <w:pageBreakBefore w:val="0"/>
        <w:wordWrap/>
        <w:overflowPunct/>
        <w:topLinePunct w:val="0"/>
        <w:bidi w:val="0"/>
        <w:spacing w:before="120" w:after="120" w:line="360" w:lineRule="exact"/>
        <w:jc w:val="center"/>
        <w:rPr>
          <w:rFonts w:hint="eastAsia"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FF0000"/>
          <w:sz w:val="24"/>
          <w:szCs w:val="24"/>
          <w:lang w:val="en-US" w:eastAsia="zh-CN"/>
        </w:rPr>
        <w:t>I</w:t>
      </w:r>
      <w:r>
        <w:rPr>
          <w:rFonts w:hint="eastAsia" w:ascii="Times New Roman" w:hAnsi="Times New Roman" w:eastAsia="宋体" w:cs="Times New Roman"/>
          <w:color w:val="FF0000"/>
          <w:sz w:val="24"/>
          <w:szCs w:val="24"/>
          <w:lang w:val="en-US" w:eastAsia="zh-CN"/>
        </w:rPr>
        <w:t>X 纤维增强水泥基系统加固</w:t>
      </w:r>
    </w:p>
    <w:p w14:paraId="1C9ADA20">
      <w:pPr>
        <w:pStyle w:val="12"/>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baseline"/>
        <w:rPr>
          <w:rFonts w:hint="eastAsia"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7.3.18 纤维增强水泥基系统（FRCM）加固钢筋混凝土结构时通过粘结于钢筋混凝土（RC）构件表面作为外部受拉增强材料，可提升截面的抗弯强度。加固时应符合下列规定：</w:t>
      </w:r>
    </w:p>
    <w:p w14:paraId="60A8F5A2">
      <w:pPr>
        <w:pStyle w:val="12"/>
        <w:keepNext w:val="0"/>
        <w:keepLines w:val="0"/>
        <w:pageBreakBefore w:val="0"/>
        <w:wordWrap/>
        <w:overflowPunct/>
        <w:topLinePunct w:val="0"/>
        <w:bidi w:val="0"/>
        <w:spacing w:line="360" w:lineRule="exact"/>
        <w:ind w:left="480" w:leftChars="200" w:firstLine="0" w:firstLineChars="0"/>
        <w:jc w:val="left"/>
        <w:rPr>
          <w:rFonts w:hint="default"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 xml:space="preserve">1 </w:t>
      </w:r>
      <w:r>
        <w:rPr>
          <w:rFonts w:hint="default" w:ascii="Times New Roman" w:hAnsi="Times New Roman" w:eastAsia="宋体" w:cs="Times New Roman"/>
          <w:color w:val="FF0000"/>
          <w:sz w:val="24"/>
          <w:szCs w:val="24"/>
          <w:lang w:val="en-US" w:eastAsia="zh-CN"/>
        </w:rPr>
        <w:t>平</w:t>
      </w:r>
      <w:r>
        <w:rPr>
          <w:rFonts w:hint="default" w:ascii="Times New Roman" w:hAnsi="Times New Roman" w:eastAsia="宋体" w:cs="Times New Roman"/>
          <w:color w:val="auto"/>
          <w:sz w:val="24"/>
          <w:szCs w:val="24"/>
          <w:lang w:val="en-US" w:eastAsia="zh-CN"/>
        </w:rPr>
        <w:t>面假设成立（加载后截面保持平面）；</w:t>
      </w:r>
      <w:r>
        <w:rPr>
          <w:rFonts w:hint="default" w:ascii="Times New Roman" w:hAnsi="Times New Roman" w:eastAsia="宋体" w:cs="Times New Roman"/>
          <w:color w:val="auto"/>
          <w:sz w:val="24"/>
          <w:szCs w:val="24"/>
          <w:lang w:val="en-US" w:eastAsia="zh-CN"/>
        </w:rPr>
        <w:br w:type="textWrapping"/>
      </w:r>
      <w:r>
        <w:rPr>
          <w:rFonts w:hint="eastAsia" w:ascii="Times New Roman" w:hAnsi="Times New Roman" w:eastAsia="宋体" w:cs="Times New Roman"/>
          <w:color w:val="auto"/>
          <w:sz w:val="24"/>
          <w:szCs w:val="24"/>
          <w:lang w:val="en-US" w:eastAsia="zh-CN"/>
        </w:rPr>
        <w:t xml:space="preserve">2 </w:t>
      </w:r>
      <w:r>
        <w:rPr>
          <w:rFonts w:hint="eastAsia" w:ascii="Times New Roman" w:hAnsi="Times New Roman" w:eastAsia="宋体" w:cs="Times New Roman"/>
          <w:color w:val="FF0000"/>
          <w:sz w:val="24"/>
          <w:szCs w:val="24"/>
          <w:lang w:val="en-US" w:eastAsia="zh-CN"/>
        </w:rPr>
        <w:t>纤维增强水泥基系统</w:t>
      </w:r>
      <w:r>
        <w:rPr>
          <w:rFonts w:hint="default" w:ascii="Times New Roman" w:hAnsi="Times New Roman" w:eastAsia="宋体" w:cs="Times New Roman"/>
          <w:color w:val="auto"/>
          <w:sz w:val="24"/>
          <w:szCs w:val="24"/>
          <w:lang w:val="en-US" w:eastAsia="zh-CN"/>
        </w:rPr>
        <w:t>与基材间的粘结有效；</w:t>
      </w:r>
      <w:r>
        <w:rPr>
          <w:rFonts w:hint="default" w:ascii="Times New Roman" w:hAnsi="Times New Roman" w:eastAsia="宋体" w:cs="Times New Roman"/>
          <w:color w:val="auto"/>
          <w:sz w:val="24"/>
          <w:szCs w:val="24"/>
          <w:lang w:val="en-US" w:eastAsia="zh-CN"/>
        </w:rPr>
        <w:br w:type="textWrapping"/>
      </w:r>
      <w:r>
        <w:rPr>
          <w:rFonts w:hint="eastAsia" w:ascii="Times New Roman" w:hAnsi="Times New Roman" w:eastAsia="宋体" w:cs="Times New Roman"/>
          <w:color w:val="auto"/>
          <w:sz w:val="24"/>
          <w:szCs w:val="24"/>
          <w:lang w:val="en-US" w:eastAsia="zh-CN"/>
        </w:rPr>
        <w:t xml:space="preserve">3 </w:t>
      </w:r>
      <w:r>
        <w:rPr>
          <w:rFonts w:hint="default" w:ascii="Times New Roman" w:hAnsi="Times New Roman" w:eastAsia="宋体" w:cs="Times New Roman"/>
          <w:color w:val="FF0000"/>
          <w:sz w:val="24"/>
          <w:szCs w:val="24"/>
          <w:lang w:val="en-US" w:eastAsia="zh-CN"/>
        </w:rPr>
        <w:t>混凝土</w:t>
      </w:r>
      <w:r>
        <w:rPr>
          <w:rFonts w:hint="default" w:ascii="Times New Roman" w:hAnsi="Times New Roman" w:eastAsia="宋体" w:cs="Times New Roman"/>
          <w:color w:val="auto"/>
          <w:sz w:val="24"/>
          <w:szCs w:val="24"/>
          <w:lang w:val="en-US" w:eastAsia="zh-CN"/>
        </w:rPr>
        <w:t>最大可用压应变为0.003；</w:t>
      </w:r>
      <w:r>
        <w:rPr>
          <w:rFonts w:hint="default" w:ascii="Times New Roman" w:hAnsi="Times New Roman" w:eastAsia="宋体" w:cs="Times New Roman"/>
          <w:color w:val="auto"/>
          <w:sz w:val="24"/>
          <w:szCs w:val="24"/>
          <w:lang w:val="en-US" w:eastAsia="zh-CN"/>
        </w:rPr>
        <w:br w:type="textWrapping"/>
      </w:r>
      <w:r>
        <w:rPr>
          <w:rFonts w:hint="eastAsia" w:ascii="Times New Roman" w:hAnsi="Times New Roman" w:eastAsia="宋体" w:cs="Times New Roman"/>
          <w:color w:val="auto"/>
          <w:sz w:val="24"/>
          <w:szCs w:val="24"/>
          <w:lang w:val="en-US" w:eastAsia="zh-CN"/>
        </w:rPr>
        <w:t xml:space="preserve">4 </w:t>
      </w:r>
      <w:r>
        <w:rPr>
          <w:rFonts w:hint="eastAsia" w:ascii="Times New Roman" w:hAnsi="Times New Roman" w:eastAsia="宋体" w:cs="Times New Roman"/>
          <w:color w:val="FF0000"/>
          <w:sz w:val="24"/>
          <w:szCs w:val="24"/>
          <w:lang w:val="en-US" w:eastAsia="zh-CN"/>
        </w:rPr>
        <w:t>纤维增强水泥基系统</w:t>
      </w:r>
      <w:r>
        <w:rPr>
          <w:rFonts w:hint="default" w:ascii="Times New Roman" w:hAnsi="Times New Roman" w:eastAsia="宋体" w:cs="Times New Roman"/>
          <w:color w:val="FF0000"/>
          <w:sz w:val="24"/>
          <w:szCs w:val="24"/>
          <w:lang w:val="en-US" w:eastAsia="zh-CN"/>
        </w:rPr>
        <w:t>具有双线性破坏行为，仅使用应力-应变曲线的第二线性段进行设计与分析。</w:t>
      </w:r>
    </w:p>
    <w:p w14:paraId="0EE86318">
      <w:pPr>
        <w:pStyle w:val="12"/>
        <w:ind w:left="0" w:leftChars="0" w:firstLine="0" w:firstLineChars="0"/>
        <w:rPr>
          <w:rFonts w:hint="default"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7.3.19 为确保单位宽度传递至混凝土的总荷载，FRCM增强提供的抗弯强度提升</w:t>
      </w:r>
      <w:r>
        <w:rPr>
          <w:rFonts w:hint="default" w:ascii="Times New Roman" w:hAnsi="Times New Roman" w:eastAsia="宋体" w:cs="Times New Roman"/>
          <w:color w:val="FF0000"/>
          <w:sz w:val="24"/>
          <w:szCs w:val="24"/>
          <w:lang w:val="en-US" w:eastAsia="zh-CN"/>
        </w:rPr>
        <w:t>不得超过未加固结构原有抗弯能力的50%。</w:t>
      </w:r>
    </w:p>
    <w:p w14:paraId="65F98404">
      <w:pPr>
        <w:pStyle w:val="12"/>
        <w:ind w:left="0" w:leftChars="0" w:firstLine="0" w:firstLineChars="0"/>
        <w:rPr>
          <w:rFonts w:hint="eastAsia"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 xml:space="preserve">7.3.20 </w:t>
      </w:r>
      <w:r>
        <w:rPr>
          <w:rFonts w:hint="default" w:ascii="Times New Roman" w:hAnsi="Times New Roman" w:eastAsia="宋体" w:cs="Times New Roman"/>
          <w:color w:val="FF0000"/>
          <w:sz w:val="24"/>
          <w:szCs w:val="24"/>
          <w:lang w:val="en-US" w:eastAsia="zh-CN"/>
        </w:rPr>
        <w:t>通过将FRCM复合材料粘结于</w:t>
      </w:r>
      <w:r>
        <w:rPr>
          <w:rFonts w:hint="eastAsia" w:ascii="Times New Roman" w:hAnsi="Times New Roman" w:eastAsia="宋体" w:cs="Times New Roman"/>
          <w:color w:val="FF0000"/>
          <w:sz w:val="24"/>
          <w:szCs w:val="24"/>
          <w:lang w:val="en-US" w:eastAsia="zh-CN"/>
        </w:rPr>
        <w:t>钢筋混凝土</w:t>
      </w:r>
      <w:r>
        <w:rPr>
          <w:rFonts w:hint="default" w:ascii="Times New Roman" w:hAnsi="Times New Roman" w:eastAsia="宋体" w:cs="Times New Roman"/>
          <w:color w:val="FF0000"/>
          <w:sz w:val="24"/>
          <w:szCs w:val="24"/>
          <w:lang w:val="en-US" w:eastAsia="zh-CN"/>
        </w:rPr>
        <w:t>构件表面，可将其作为外部剪切增强材料提升设计剪切强度。具体加固方式包括：</w:t>
      </w:r>
    </w:p>
    <w:p w14:paraId="13A01EF7">
      <w:pPr>
        <w:pStyle w:val="12"/>
        <w:ind w:firstLine="422"/>
        <w:rPr>
          <w:rFonts w:hint="eastAsia"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1）</w:t>
      </w:r>
      <w:r>
        <w:rPr>
          <w:rFonts w:hint="default" w:ascii="Times New Roman" w:hAnsi="Times New Roman" w:eastAsia="宋体" w:cs="Times New Roman"/>
          <w:color w:val="FF0000"/>
          <w:sz w:val="24"/>
          <w:szCs w:val="24"/>
          <w:lang w:val="en-US" w:eastAsia="zh-CN"/>
        </w:rPr>
        <w:t>沿构件侧面或底面布置纤维网格；</w:t>
      </w:r>
    </w:p>
    <w:p w14:paraId="6D5AD5B6">
      <w:pPr>
        <w:pStyle w:val="12"/>
        <w:ind w:firstLine="422"/>
        <w:rPr>
          <w:rFonts w:hint="eastAsia"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2）</w:t>
      </w:r>
      <w:r>
        <w:rPr>
          <w:rFonts w:hint="default" w:ascii="Times New Roman" w:hAnsi="Times New Roman" w:eastAsia="宋体" w:cs="Times New Roman"/>
          <w:color w:val="FF0000"/>
          <w:sz w:val="24"/>
          <w:szCs w:val="24"/>
          <w:lang w:val="en-US" w:eastAsia="zh-CN"/>
        </w:rPr>
        <w:t>按设计要求采用连续或间断式包裹配置。</w:t>
      </w:r>
    </w:p>
    <w:p w14:paraId="7CD06CDE">
      <w:pPr>
        <w:pStyle w:val="12"/>
        <w:ind w:left="0" w:leftChars="0" w:firstLine="0" w:firstLineChars="0"/>
        <w:rPr>
          <w:rFonts w:hint="eastAsia"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7.3.21 为确保单位宽度传递至混凝土的总荷载，FRCM增强提供的剪切强度提升</w:t>
      </w:r>
      <w:r>
        <w:rPr>
          <w:rFonts w:hint="default" w:ascii="Times New Roman" w:hAnsi="Times New Roman" w:eastAsia="宋体" w:cs="Times New Roman"/>
          <w:color w:val="FF0000"/>
          <w:sz w:val="24"/>
          <w:szCs w:val="24"/>
          <w:lang w:val="en-US" w:eastAsia="zh-CN"/>
        </w:rPr>
        <w:t>不得超过未加固结构原有剪切能力的50%</w:t>
      </w:r>
      <w:r>
        <w:rPr>
          <w:rFonts w:hint="eastAsia" w:ascii="Times New Roman" w:hAnsi="Times New Roman" w:eastAsia="宋体" w:cs="Times New Roman"/>
          <w:color w:val="FF0000"/>
          <w:sz w:val="24"/>
          <w:szCs w:val="24"/>
          <w:lang w:val="en-US" w:eastAsia="zh-CN"/>
        </w:rPr>
        <w:t>。</w:t>
      </w:r>
    </w:p>
    <w:p w14:paraId="21441E8F">
      <w:pPr>
        <w:pStyle w:val="12"/>
        <w:ind w:left="0" w:leftChars="0" w:firstLine="0" w:firstLineChars="0"/>
        <w:rPr>
          <w:rFonts w:hint="eastAsia"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7.3.22 纤维增强水泥基系统可应用于圆形或矩形钢筋混凝土受压构件的外表面，以提升其轴向承载力。</w:t>
      </w:r>
    </w:p>
    <w:p w14:paraId="11AE6F67">
      <w:pPr>
        <w:pStyle w:val="12"/>
        <w:ind w:left="0" w:leftChars="0" w:firstLine="0" w:firstLineChars="0"/>
        <w:rPr>
          <w:rFonts w:hint="eastAsia"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7.3.23 当</w:t>
      </w:r>
      <w:r>
        <w:rPr>
          <w:rFonts w:hint="default" w:ascii="Times New Roman" w:hAnsi="Times New Roman" w:eastAsia="宋体" w:cs="Times New Roman"/>
          <w:color w:val="FF0000"/>
          <w:sz w:val="24"/>
          <w:szCs w:val="24"/>
          <w:lang w:val="en-US" w:eastAsia="zh-CN"/>
        </w:rPr>
        <w:t>主方向纤维束基本垂直于构件轴线时，</w:t>
      </w:r>
      <w:r>
        <w:rPr>
          <w:rFonts w:hint="eastAsia" w:ascii="Times New Roman" w:hAnsi="Times New Roman" w:eastAsia="宋体" w:cs="Times New Roman"/>
          <w:color w:val="FF0000"/>
          <w:sz w:val="24"/>
          <w:szCs w:val="24"/>
          <w:lang w:val="en-US" w:eastAsia="zh-CN"/>
        </w:rPr>
        <w:t>纤维增强水泥基系统</w:t>
      </w:r>
      <w:r>
        <w:rPr>
          <w:rFonts w:hint="default" w:ascii="Times New Roman" w:hAnsi="Times New Roman" w:eastAsia="宋体" w:cs="Times New Roman"/>
          <w:color w:val="FF0000"/>
          <w:sz w:val="24"/>
          <w:szCs w:val="24"/>
          <w:lang w:val="en-US" w:eastAsia="zh-CN"/>
        </w:rPr>
        <w:t>可用于提升长宽比≤2.0的圆形或矩形截面的抗弯延性。此增强通过提高截面的有效极限压缩应变实现</w:t>
      </w:r>
      <w:r>
        <w:rPr>
          <w:rFonts w:hint="eastAsia" w:ascii="Times New Roman" w:hAnsi="Times New Roman" w:eastAsia="宋体" w:cs="Times New Roman"/>
          <w:color w:val="FF0000"/>
          <w:sz w:val="24"/>
          <w:szCs w:val="24"/>
          <w:lang w:val="en-US" w:eastAsia="zh-CN"/>
        </w:rPr>
        <w:t>。</w:t>
      </w:r>
    </w:p>
    <w:p w14:paraId="57785C78">
      <w:pPr>
        <w:pStyle w:val="12"/>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baseline"/>
        <w:rPr>
          <w:rFonts w:hint="default"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 xml:space="preserve">7.3.24 </w:t>
      </w:r>
      <w:r>
        <w:rPr>
          <w:rFonts w:hint="default" w:ascii="Times New Roman" w:hAnsi="Times New Roman" w:eastAsia="宋体" w:cs="Times New Roman"/>
          <w:color w:val="FF0000"/>
          <w:sz w:val="24"/>
          <w:szCs w:val="24"/>
          <w:lang w:val="en-US" w:eastAsia="zh-CN"/>
        </w:rPr>
        <w:t>避免在内角处（如梁与楼板底面交界处）弯曲FRCM材料。若无法避免，需设置适当的锚固措施；</w:t>
      </w:r>
      <w:r>
        <w:rPr>
          <w:rFonts w:hint="default" w:ascii="Times New Roman" w:hAnsi="Times New Roman" w:eastAsia="宋体" w:cs="Times New Roman"/>
          <w:color w:val="FF0000"/>
          <w:sz w:val="24"/>
          <w:szCs w:val="24"/>
          <w:lang w:val="en-US" w:eastAsia="zh-CN"/>
        </w:rPr>
        <w:br w:type="textWrapping"/>
      </w:r>
      <w:r>
        <w:rPr>
          <w:rFonts w:hint="eastAsia" w:ascii="Times New Roman" w:hAnsi="Times New Roman" w:eastAsia="宋体" w:cs="Times New Roman"/>
          <w:color w:val="FF0000"/>
          <w:sz w:val="24"/>
          <w:szCs w:val="24"/>
          <w:lang w:val="en-US" w:eastAsia="zh-CN"/>
        </w:rPr>
        <w:t xml:space="preserve">    1</w:t>
      </w:r>
      <w:r>
        <w:rPr>
          <w:rFonts w:hint="default" w:ascii="Times New Roman" w:hAnsi="Times New Roman" w:eastAsia="宋体" w:cs="Times New Roman"/>
          <w:color w:val="FF0000"/>
          <w:sz w:val="24"/>
          <w:szCs w:val="24"/>
          <w:lang w:val="en-US" w:eastAsia="zh-CN"/>
        </w:rPr>
        <w:t>在铺设FRCM材料前，截面转角需倒圆角，半径20毫米；</w:t>
      </w:r>
      <w:r>
        <w:rPr>
          <w:rFonts w:hint="default" w:ascii="Times New Roman" w:hAnsi="Times New Roman" w:eastAsia="宋体" w:cs="Times New Roman"/>
          <w:color w:val="FF0000"/>
          <w:sz w:val="24"/>
          <w:szCs w:val="24"/>
          <w:lang w:val="en-US" w:eastAsia="zh-CN"/>
        </w:rPr>
        <w:br w:type="textWrapping"/>
      </w:r>
      <w:r>
        <w:rPr>
          <w:rFonts w:hint="eastAsia" w:ascii="Times New Roman" w:hAnsi="Times New Roman" w:eastAsia="宋体" w:cs="Times New Roman"/>
          <w:color w:val="FF0000"/>
          <w:sz w:val="24"/>
          <w:szCs w:val="24"/>
          <w:lang w:val="en-US" w:eastAsia="zh-CN"/>
        </w:rPr>
        <w:t xml:space="preserve">    2</w:t>
      </w:r>
      <w:r>
        <w:rPr>
          <w:rFonts w:hint="default" w:ascii="Times New Roman" w:hAnsi="Times New Roman" w:eastAsia="宋体" w:cs="Times New Roman"/>
          <w:color w:val="FF0000"/>
          <w:sz w:val="24"/>
          <w:szCs w:val="24"/>
          <w:lang w:val="en-US" w:eastAsia="zh-CN"/>
        </w:rPr>
        <w:t>提供足够的锚固长度（最小</w:t>
      </w:r>
      <w:r>
        <w:rPr>
          <w:rFonts w:hint="eastAsia" w:ascii="Times New Roman" w:hAnsi="Times New Roman" w:eastAsia="宋体" w:cs="Times New Roman"/>
          <w:color w:val="FF0000"/>
          <w:sz w:val="24"/>
          <w:szCs w:val="24"/>
          <w:lang w:val="en-US" w:eastAsia="zh-CN"/>
        </w:rPr>
        <w:t>150mm</w:t>
      </w:r>
      <w:r>
        <w:rPr>
          <w:rFonts w:hint="default" w:ascii="Times New Roman" w:hAnsi="Times New Roman" w:eastAsia="宋体" w:cs="Times New Roman"/>
          <w:color w:val="FF0000"/>
          <w:sz w:val="24"/>
          <w:szCs w:val="24"/>
          <w:lang w:val="en-US" w:eastAsia="zh-CN"/>
        </w:rPr>
        <w:t>）；</w:t>
      </w:r>
      <w:r>
        <w:rPr>
          <w:rFonts w:hint="default" w:ascii="Times New Roman" w:hAnsi="Times New Roman" w:eastAsia="宋体" w:cs="Times New Roman"/>
          <w:color w:val="FF0000"/>
          <w:sz w:val="24"/>
          <w:szCs w:val="24"/>
          <w:lang w:val="en-US" w:eastAsia="zh-CN"/>
        </w:rPr>
        <w:br w:type="textWrapping"/>
      </w:r>
      <w:r>
        <w:rPr>
          <w:rFonts w:hint="eastAsia" w:ascii="Times New Roman" w:hAnsi="Times New Roman" w:eastAsia="宋体" w:cs="Times New Roman"/>
          <w:color w:val="FF0000"/>
          <w:sz w:val="24"/>
          <w:szCs w:val="24"/>
          <w:lang w:val="en-US" w:eastAsia="zh-CN"/>
        </w:rPr>
        <w:t xml:space="preserve">    3</w:t>
      </w:r>
      <w:r>
        <w:rPr>
          <w:rFonts w:hint="default" w:ascii="Times New Roman" w:hAnsi="Times New Roman" w:eastAsia="宋体" w:cs="Times New Roman"/>
          <w:color w:val="FF0000"/>
          <w:sz w:val="24"/>
          <w:szCs w:val="24"/>
          <w:lang w:val="en-US" w:eastAsia="zh-CN"/>
        </w:rPr>
        <w:t>纤维网格搭接时，搭接长度</w:t>
      </w:r>
      <w:r>
        <w:rPr>
          <w:rFonts w:hint="eastAsia" w:ascii="Times New Roman" w:hAnsi="Times New Roman" w:eastAsia="宋体" w:cs="Times New Roman"/>
          <w:color w:val="FF0000"/>
          <w:sz w:val="24"/>
          <w:szCs w:val="24"/>
          <w:lang w:val="en-US" w:eastAsia="zh-CN"/>
        </w:rPr>
        <w:t>为200mm</w:t>
      </w:r>
      <w:r>
        <w:rPr>
          <w:rFonts w:hint="default" w:ascii="Times New Roman" w:hAnsi="Times New Roman" w:eastAsia="宋体" w:cs="Times New Roman"/>
          <w:color w:val="FF0000"/>
          <w:sz w:val="24"/>
          <w:szCs w:val="24"/>
          <w:lang w:val="en-US" w:eastAsia="zh-CN"/>
        </w:rPr>
        <w:t>确保足够重叠。</w:t>
      </w:r>
    </w:p>
    <w:p w14:paraId="27F320CF">
      <w:pPr>
        <w:pStyle w:val="12"/>
        <w:ind w:firstLine="422"/>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FF0000"/>
          <w:sz w:val="24"/>
          <w:szCs w:val="24"/>
          <w:lang w:val="en-US" w:eastAsia="zh-CN"/>
        </w:rPr>
        <w:t>4为确保纤维增强水泥基系统和原结构共同受力，避免剥离破坏，须配合纤维锚栓进行固定，每平米纤维锚栓不得少于4个，同时须采用改性乙烯基酯锚固胶进行锚固。</w:t>
      </w:r>
    </w:p>
    <w:p w14:paraId="633DB243">
      <w:pPr>
        <w:keepNext w:val="0"/>
        <w:keepLines w:val="0"/>
        <w:pageBreakBefore w:val="0"/>
        <w:wordWrap/>
        <w:overflowPunct/>
        <w:topLinePunct w:val="0"/>
        <w:bidi w:val="0"/>
        <w:spacing w:before="120" w:after="120" w:line="360" w:lineRule="exact"/>
        <w:jc w:val="center"/>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X</w:t>
      </w:r>
      <w:r>
        <w:rPr>
          <w:rFonts w:hint="default" w:ascii="Times New Roman" w:hAnsi="Times New Roman" w:eastAsia="宋体" w:cs="Times New Roman"/>
          <w:color w:val="auto"/>
          <w:sz w:val="24"/>
          <w:szCs w:val="24"/>
        </w:rPr>
        <w:t xml:space="preserve"> </w:t>
      </w:r>
      <w:bookmarkEnd w:id="166"/>
      <w:r>
        <w:rPr>
          <w:rFonts w:hint="default" w:ascii="Times New Roman" w:hAnsi="Times New Roman" w:eastAsia="宋体" w:cs="Times New Roman"/>
          <w:color w:val="auto"/>
          <w:sz w:val="24"/>
          <w:szCs w:val="24"/>
        </w:rPr>
        <w:t>消能减震</w:t>
      </w:r>
      <w:r>
        <w:rPr>
          <w:rFonts w:hint="default" w:ascii="Times New Roman" w:hAnsi="Times New Roman" w:eastAsia="宋体" w:cs="Times New Roman"/>
          <w:color w:val="auto"/>
          <w:sz w:val="24"/>
          <w:szCs w:val="24"/>
          <w:lang w:val="en-US" w:eastAsia="zh-CN"/>
        </w:rPr>
        <w:t>加固</w:t>
      </w:r>
    </w:p>
    <w:p w14:paraId="3EEB5A58">
      <w:pPr>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7.3</w:t>
      </w:r>
      <w:r>
        <w:rPr>
          <w:rFonts w:hint="default" w:ascii="Times New Roman" w:hAnsi="Times New Roman" w:eastAsia="宋体" w:cs="Times New Roman"/>
          <w:b/>
          <w:bCs/>
          <w:color w:val="auto"/>
          <w:sz w:val="24"/>
          <w:szCs w:val="24"/>
        </w:rPr>
        <w:t>.</w:t>
      </w:r>
      <w:r>
        <w:rPr>
          <w:rFonts w:hint="eastAsia" w:ascii="Times New Roman" w:hAnsi="Times New Roman" w:eastAsia="宋体" w:cs="Times New Roman"/>
          <w:b/>
          <w:bCs/>
          <w:color w:val="auto"/>
          <w:sz w:val="24"/>
          <w:szCs w:val="24"/>
          <w:lang w:val="en-US" w:eastAsia="zh-CN"/>
        </w:rPr>
        <w:t>25</w:t>
      </w:r>
      <w:r>
        <w:rPr>
          <w:rFonts w:hint="default" w:ascii="Times New Roman" w:hAnsi="Times New Roman" w:eastAsia="宋体" w:cs="Times New Roman"/>
          <w:bCs/>
          <w:color w:val="auto"/>
          <w:sz w:val="24"/>
          <w:szCs w:val="24"/>
        </w:rPr>
        <w:t xml:space="preserve"> </w:t>
      </w:r>
      <w:r>
        <w:rPr>
          <w:rFonts w:hint="default" w:ascii="Times New Roman" w:hAnsi="Times New Roman" w:eastAsia="宋体" w:cs="Times New Roman"/>
          <w:bCs/>
          <w:color w:val="auto"/>
          <w:sz w:val="24"/>
          <w:szCs w:val="24"/>
          <w:lang w:val="en-US" w:eastAsia="zh-CN"/>
        </w:rPr>
        <w:t>消能减震结构</w:t>
      </w:r>
      <w:r>
        <w:rPr>
          <w:rFonts w:hint="default" w:ascii="Times New Roman" w:hAnsi="Times New Roman" w:eastAsia="宋体" w:cs="Times New Roman"/>
          <w:bCs/>
          <w:color w:val="auto"/>
          <w:sz w:val="24"/>
          <w:szCs w:val="24"/>
        </w:rPr>
        <w:t>的</w:t>
      </w:r>
      <w:r>
        <w:rPr>
          <w:rFonts w:hint="default" w:ascii="Times New Roman" w:hAnsi="Times New Roman" w:eastAsia="宋体" w:cs="Times New Roman"/>
          <w:color w:val="auto"/>
          <w:sz w:val="24"/>
          <w:szCs w:val="24"/>
        </w:rPr>
        <w:t>设计应符合下列规定：</w:t>
      </w:r>
    </w:p>
    <w:p w14:paraId="6DBA461F">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val="en-US" w:eastAsia="zh-CN"/>
        </w:rPr>
        <w:t>1</w:t>
      </w:r>
      <w:r>
        <w:rPr>
          <w:rFonts w:hint="default" w:ascii="Times New Roman" w:hAnsi="Times New Roman" w:eastAsia="宋体" w:cs="Times New Roman"/>
          <w:color w:val="auto"/>
          <w:sz w:val="24"/>
          <w:szCs w:val="24"/>
          <w:lang w:eastAsia="zh-CN"/>
        </w:rPr>
        <w:t xml:space="preserve"> 在温度或10年一遇风荷载标准值作用下，摩擦消能器不应进入滑动状态，金属消能器和屈曲约束支撑不应产生屈服。</w:t>
      </w:r>
    </w:p>
    <w:p w14:paraId="678F286C">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val="en-US" w:eastAsia="zh-CN"/>
        </w:rPr>
        <w:t>2</w:t>
      </w:r>
      <w:r>
        <w:rPr>
          <w:rFonts w:hint="default" w:ascii="Times New Roman" w:hAnsi="Times New Roman" w:eastAsia="宋体" w:cs="Times New Roman"/>
          <w:color w:val="auto"/>
          <w:sz w:val="24"/>
          <w:szCs w:val="24"/>
          <w:lang w:eastAsia="zh-CN"/>
        </w:rPr>
        <w:t xml:space="preserve"> 当位移型消能器在多遇地震作用下不屈服时，其屈服承载力应高于其按基本组合所得的内力。对屈曲约束支撑（BRB），多遇地震作用下不宜屈服耗能。</w:t>
      </w:r>
    </w:p>
    <w:p w14:paraId="78D6C5AC">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val="en-US" w:eastAsia="zh-CN"/>
        </w:rPr>
        <w:t>3</w:t>
      </w:r>
      <w:r>
        <w:rPr>
          <w:rFonts w:hint="default" w:ascii="Times New Roman" w:hAnsi="Times New Roman" w:eastAsia="宋体" w:cs="Times New Roman"/>
          <w:b/>
          <w:color w:val="auto"/>
          <w:sz w:val="24"/>
          <w:szCs w:val="24"/>
          <w:lang w:eastAsia="zh-CN"/>
        </w:rPr>
        <w:t xml:space="preserve"> </w:t>
      </w:r>
      <w:r>
        <w:rPr>
          <w:rFonts w:hint="default" w:ascii="Times New Roman" w:hAnsi="Times New Roman" w:eastAsia="宋体" w:cs="Times New Roman"/>
          <w:color w:val="auto"/>
          <w:sz w:val="24"/>
          <w:szCs w:val="24"/>
          <w:lang w:eastAsia="zh-CN"/>
        </w:rPr>
        <w:t>当消能器采用悬臂墙型连接方式时，与消能器相连的悬臂墙应采用平面单元进行模拟。</w:t>
      </w:r>
    </w:p>
    <w:p w14:paraId="6DDFD47A">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val="en-US" w:eastAsia="zh-CN"/>
        </w:rPr>
        <w:t>4</w:t>
      </w:r>
      <w:r>
        <w:rPr>
          <w:rFonts w:hint="default" w:ascii="Times New Roman" w:hAnsi="Times New Roman" w:eastAsia="宋体" w:cs="Times New Roman"/>
          <w:color w:val="auto"/>
          <w:sz w:val="24"/>
          <w:szCs w:val="24"/>
          <w:lang w:eastAsia="zh-CN"/>
        </w:rPr>
        <w:t xml:space="preserve"> 采用屈曲约束支撑和普通钢支撑-混凝土框架组成抗侧力体系的结构时，如果房屋高度不超过《建筑抗震设计标准》GB/T 50011规定的钢筋混凝土框架结构最大适用高度，支撑框架按刚度分配的多遇地震倾覆力矩可按设计需要确定；如果抗震设防烈度为6~8度且房屋高度超过钢筋混凝土框架结构最大适用高度但小于钢筋混凝土框架结构和框架-抗震墙结构二者最大适用高度的平均值，底层的支撑框架按刚度分配的多遇地震倾覆力矩应大于结构总地震倾覆力矩的50%。当结构中含有在罕遇地震下可能屈服的普通钢支撑时，则应按含与不含该部分普通钢支撑两种模型进行多遇地震作用的计算，并宜取二者的较大值。</w:t>
      </w:r>
    </w:p>
    <w:p w14:paraId="759206A5">
      <w:pPr>
        <w:pStyle w:val="12"/>
        <w:ind w:firstLine="374"/>
        <w:rPr>
          <w:rFonts w:hint="default" w:ascii="Times New Roman" w:hAnsi="Times New Roman" w:eastAsia="宋体" w:cs="Times New Roman"/>
          <w:color w:val="auto"/>
          <w:spacing w:val="-12"/>
          <w:sz w:val="24"/>
          <w:szCs w:val="24"/>
          <w:lang w:eastAsia="zh-CN"/>
        </w:rPr>
      </w:pPr>
      <w:r>
        <w:rPr>
          <w:rFonts w:hint="default" w:ascii="Times New Roman" w:hAnsi="Times New Roman" w:eastAsia="宋体" w:cs="Times New Roman"/>
          <w:b/>
          <w:bCs/>
          <w:color w:val="auto"/>
          <w:spacing w:val="-12"/>
          <w:sz w:val="24"/>
          <w:szCs w:val="24"/>
          <w:lang w:val="en-US" w:eastAsia="zh-CN"/>
        </w:rPr>
        <w:t xml:space="preserve">5 </w:t>
      </w:r>
      <w:r>
        <w:rPr>
          <w:rFonts w:hint="default" w:ascii="Times New Roman" w:hAnsi="Times New Roman" w:eastAsia="宋体" w:cs="Times New Roman"/>
          <w:color w:val="auto"/>
          <w:spacing w:val="-12"/>
          <w:sz w:val="24"/>
          <w:szCs w:val="24"/>
          <w:lang w:eastAsia="zh-CN"/>
        </w:rPr>
        <w:t>减震结构应进行罕遇地震作用下的弹塑性时程分析。弹塑性时程分析应包含结构损伤情况、弹塑性层间位移角、消能器出力和变形、消能器滞回曲线、消能器耗能占比等内容。应给出设置和未设置消能器的典型立面的弹塑性发展过程，且应满足“强柱弱梁”的要求；应给出结构顶点弹性位移与弹塑性位移的对比情况。</w:t>
      </w:r>
    </w:p>
    <w:p w14:paraId="16A64B7E">
      <w:pPr>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7.3</w:t>
      </w:r>
      <w:r>
        <w:rPr>
          <w:rFonts w:hint="default" w:ascii="Times New Roman" w:hAnsi="Times New Roman" w:eastAsia="宋体" w:cs="Times New Roman"/>
          <w:b/>
          <w:bCs/>
          <w:color w:val="auto"/>
          <w:sz w:val="24"/>
          <w:szCs w:val="24"/>
        </w:rPr>
        <w:t>.</w:t>
      </w:r>
      <w:r>
        <w:rPr>
          <w:rFonts w:hint="eastAsia" w:ascii="Times New Roman" w:hAnsi="Times New Roman" w:eastAsia="宋体" w:cs="Times New Roman"/>
          <w:b/>
          <w:bCs/>
          <w:color w:val="auto"/>
          <w:sz w:val="24"/>
          <w:szCs w:val="24"/>
          <w:lang w:val="en-US" w:eastAsia="zh-CN"/>
        </w:rPr>
        <w:t>26</w:t>
      </w:r>
      <w:r>
        <w:rPr>
          <w:rFonts w:hint="default" w:ascii="Times New Roman" w:hAnsi="Times New Roman" w:eastAsia="宋体" w:cs="Times New Roman"/>
          <w:bCs/>
          <w:color w:val="auto"/>
          <w:sz w:val="24"/>
          <w:szCs w:val="24"/>
        </w:rPr>
        <w:t xml:space="preserve"> </w:t>
      </w:r>
      <w:r>
        <w:rPr>
          <w:rFonts w:hint="default" w:ascii="Times New Roman" w:hAnsi="Times New Roman" w:eastAsia="宋体" w:cs="Times New Roman"/>
          <w:color w:val="auto"/>
          <w:sz w:val="24"/>
          <w:szCs w:val="24"/>
        </w:rPr>
        <w:t>消能部件与混凝土梁柱节点直接相连接时应进行节点承载力验算，梁柱宜采用钢板全围包或U形围包的方法加固（图</w:t>
      </w:r>
      <w:r>
        <w:rPr>
          <w:rFonts w:hint="default" w:ascii="Times New Roman" w:hAnsi="Times New Roman" w:eastAsia="宋体" w:cs="Times New Roman"/>
          <w:color w:val="auto"/>
          <w:sz w:val="24"/>
          <w:szCs w:val="24"/>
          <w:lang w:val="en-US" w:eastAsia="zh-CN"/>
        </w:rPr>
        <w:t>7.3</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26</w:t>
      </w:r>
      <w:r>
        <w:rPr>
          <w:rFonts w:hint="default" w:ascii="Times New Roman" w:hAnsi="Times New Roman" w:eastAsia="宋体" w:cs="Times New Roman"/>
          <w:color w:val="auto"/>
          <w:sz w:val="24"/>
          <w:szCs w:val="24"/>
        </w:rPr>
        <w:t>）。</w:t>
      </w:r>
    </w:p>
    <w:p w14:paraId="0B173087">
      <w:pPr>
        <w:spacing w:line="285"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position w:val="-58"/>
          <w:sz w:val="24"/>
          <w:szCs w:val="24"/>
        </w:rPr>
        <w:drawing>
          <wp:inline distT="0" distB="0" distL="0" distR="0">
            <wp:extent cx="3837305" cy="1238885"/>
            <wp:effectExtent l="0" t="0" r="10795" b="18415"/>
            <wp:docPr id="8" name="IM 106" descr="形状&#10;&#10;中度可信度描述已自动生成"/>
            <wp:cNvGraphicFramePr/>
            <a:graphic xmlns:a="http://schemas.openxmlformats.org/drawingml/2006/main">
              <a:graphicData uri="http://schemas.openxmlformats.org/drawingml/2006/picture">
                <pic:pic xmlns:pic="http://schemas.openxmlformats.org/drawingml/2006/picture">
                  <pic:nvPicPr>
                    <pic:cNvPr id="8" name="IM 106" descr="形状&#10;&#10;中度可信度描述已自动生成"/>
                    <pic:cNvPicPr/>
                  </pic:nvPicPr>
                  <pic:blipFill>
                    <a:blip r:embed="rId323"/>
                    <a:stretch>
                      <a:fillRect/>
                    </a:stretch>
                  </pic:blipFill>
                  <pic:spPr>
                    <a:xfrm>
                      <a:off x="0" y="0"/>
                      <a:ext cx="3868663" cy="1249219"/>
                    </a:xfrm>
                    <a:prstGeom prst="rect">
                      <a:avLst/>
                    </a:prstGeom>
                  </pic:spPr>
                </pic:pic>
              </a:graphicData>
            </a:graphic>
          </wp:inline>
        </w:drawing>
      </w:r>
    </w:p>
    <w:p w14:paraId="1F4CFA28">
      <w:pPr>
        <w:pStyle w:val="6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（a）梁U型加固                    （b）梁全围包</w:t>
      </w:r>
    </w:p>
    <w:p w14:paraId="7573C2FC">
      <w:pPr>
        <w:spacing w:before="162" w:line="2137" w:lineRule="exact"/>
        <w:ind w:firstLine="4478"/>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drawing>
          <wp:anchor distT="0" distB="0" distL="0" distR="0" simplePos="0" relativeHeight="251660288" behindDoc="0" locked="0" layoutInCell="1" allowOverlap="1">
            <wp:simplePos x="0" y="0"/>
            <wp:positionH relativeFrom="column">
              <wp:posOffset>1353185</wp:posOffset>
            </wp:positionH>
            <wp:positionV relativeFrom="paragraph">
              <wp:posOffset>200660</wp:posOffset>
            </wp:positionV>
            <wp:extent cx="1318260" cy="1063625"/>
            <wp:effectExtent l="0" t="0" r="15240" b="3175"/>
            <wp:wrapNone/>
            <wp:docPr id="9" name="IM 108" descr="形状&#10;&#10;中度可信度描述已自动生成"/>
            <wp:cNvGraphicFramePr/>
            <a:graphic xmlns:a="http://schemas.openxmlformats.org/drawingml/2006/main">
              <a:graphicData uri="http://schemas.openxmlformats.org/drawingml/2006/picture">
                <pic:pic xmlns:pic="http://schemas.openxmlformats.org/drawingml/2006/picture">
                  <pic:nvPicPr>
                    <pic:cNvPr id="9" name="IM 108" descr="形状&#10;&#10;中度可信度描述已自动生成"/>
                    <pic:cNvPicPr/>
                  </pic:nvPicPr>
                  <pic:blipFill>
                    <a:blip r:embed="rId324"/>
                    <a:stretch>
                      <a:fillRect/>
                    </a:stretch>
                  </pic:blipFill>
                  <pic:spPr>
                    <a:xfrm>
                      <a:off x="0" y="0"/>
                      <a:ext cx="1318209" cy="1063663"/>
                    </a:xfrm>
                    <a:prstGeom prst="rect">
                      <a:avLst/>
                    </a:prstGeom>
                  </pic:spPr>
                </pic:pic>
              </a:graphicData>
            </a:graphic>
          </wp:anchor>
        </w:drawing>
      </w:r>
      <w:r>
        <w:rPr>
          <w:rFonts w:hint="default" w:ascii="Times New Roman" w:hAnsi="Times New Roman" w:eastAsia="宋体" w:cs="Times New Roman"/>
          <w:color w:val="auto"/>
          <w:position w:val="-42"/>
          <w:sz w:val="24"/>
          <w:szCs w:val="24"/>
        </w:rPr>
        <w:drawing>
          <wp:inline distT="0" distB="0" distL="0" distR="0">
            <wp:extent cx="1833245" cy="1356360"/>
            <wp:effectExtent l="0" t="0" r="14605" b="15240"/>
            <wp:docPr id="10" name="IM 110" descr="形状&#10;&#10;低可信度描述已自动生成"/>
            <wp:cNvGraphicFramePr/>
            <a:graphic xmlns:a="http://schemas.openxmlformats.org/drawingml/2006/main">
              <a:graphicData uri="http://schemas.openxmlformats.org/drawingml/2006/picture">
                <pic:pic xmlns:pic="http://schemas.openxmlformats.org/drawingml/2006/picture">
                  <pic:nvPicPr>
                    <pic:cNvPr id="10" name="IM 110" descr="形状&#10;&#10;低可信度描述已自动生成"/>
                    <pic:cNvPicPr/>
                  </pic:nvPicPr>
                  <pic:blipFill>
                    <a:blip r:embed="rId325"/>
                    <a:stretch>
                      <a:fillRect/>
                    </a:stretch>
                  </pic:blipFill>
                  <pic:spPr>
                    <a:xfrm>
                      <a:off x="0" y="0"/>
                      <a:ext cx="1833689" cy="1356842"/>
                    </a:xfrm>
                    <a:prstGeom prst="rect">
                      <a:avLst/>
                    </a:prstGeom>
                  </pic:spPr>
                </pic:pic>
              </a:graphicData>
            </a:graphic>
          </wp:inline>
        </w:drawing>
      </w:r>
    </w:p>
    <w:p w14:paraId="153FDDDD">
      <w:pPr>
        <w:pStyle w:val="6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（c）箍筋型             </w:t>
      </w:r>
      <w:r>
        <w:rPr>
          <w:rFonts w:hint="default" w:ascii="Times New Roman" w:hAnsi="Times New Roman" w:eastAsia="宋体" w:cs="Times New Roman"/>
          <w:color w:val="auto"/>
          <w:spacing w:val="-1"/>
          <w:sz w:val="21"/>
          <w:szCs w:val="21"/>
        </w:rPr>
        <w:t xml:space="preserve">            （d）包钢型</w:t>
      </w:r>
    </w:p>
    <w:p w14:paraId="30A4F31C">
      <w:pPr>
        <w:pStyle w:val="65"/>
        <w:spacing w:line="24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图</w:t>
      </w:r>
      <w:r>
        <w:rPr>
          <w:rFonts w:hint="default" w:ascii="Times New Roman" w:hAnsi="Times New Roman" w:eastAsia="宋体" w:cs="Times New Roman"/>
          <w:color w:val="auto"/>
          <w:spacing w:val="-15"/>
          <w:sz w:val="24"/>
          <w:szCs w:val="24"/>
          <w:lang w:val="en-US" w:eastAsia="zh-CN"/>
        </w:rPr>
        <w:t>7.3</w:t>
      </w:r>
      <w:r>
        <w:rPr>
          <w:rFonts w:hint="default" w:ascii="Times New Roman" w:hAnsi="Times New Roman" w:eastAsia="宋体" w:cs="Times New Roman"/>
          <w:color w:val="auto"/>
          <w:spacing w:val="-15"/>
          <w:sz w:val="24"/>
          <w:szCs w:val="24"/>
        </w:rPr>
        <w:t>.</w:t>
      </w:r>
      <w:r>
        <w:rPr>
          <w:rFonts w:hint="eastAsia" w:ascii="Times New Roman" w:hAnsi="Times New Roman" w:eastAsia="宋体" w:cs="Times New Roman"/>
          <w:color w:val="auto"/>
          <w:spacing w:val="-15"/>
          <w:sz w:val="24"/>
          <w:szCs w:val="24"/>
          <w:lang w:val="en-US" w:eastAsia="zh-CN"/>
        </w:rPr>
        <w:t>26</w:t>
      </w:r>
      <w:r>
        <w:rPr>
          <w:rFonts w:hint="default" w:ascii="Times New Roman" w:hAnsi="Times New Roman" w:eastAsia="宋体" w:cs="Times New Roman"/>
          <w:color w:val="auto"/>
          <w:spacing w:val="2"/>
          <w:sz w:val="24"/>
          <w:szCs w:val="24"/>
        </w:rPr>
        <w:t>-1 梁柱加固方法</w:t>
      </w:r>
    </w:p>
    <w:p w14:paraId="35419A9E">
      <w:pPr>
        <w:pStyle w:val="65"/>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1—混凝土梁；2—锚板；3—锚筋；4—混凝土柱；5—外包钢</w:t>
      </w:r>
    </w:p>
    <w:p w14:paraId="44B32AD9">
      <w:pPr>
        <w:spacing w:before="66" w:line="228"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position w:val="-83"/>
          <w:sz w:val="24"/>
          <w:szCs w:val="24"/>
        </w:rPr>
        <w:drawing>
          <wp:inline distT="0" distB="0" distL="0" distR="0">
            <wp:extent cx="2947670" cy="2051050"/>
            <wp:effectExtent l="0" t="0" r="5080" b="6350"/>
            <wp:docPr id="20" name="IM 112" descr="形状&#10;&#10;中度可信度描述已自动生成"/>
            <wp:cNvGraphicFramePr/>
            <a:graphic xmlns:a="http://schemas.openxmlformats.org/drawingml/2006/main">
              <a:graphicData uri="http://schemas.openxmlformats.org/drawingml/2006/picture">
                <pic:pic xmlns:pic="http://schemas.openxmlformats.org/drawingml/2006/picture">
                  <pic:nvPicPr>
                    <pic:cNvPr id="20" name="IM 112" descr="形状&#10;&#10;中度可信度描述已自动生成"/>
                    <pic:cNvPicPr/>
                  </pic:nvPicPr>
                  <pic:blipFill>
                    <a:blip r:embed="rId326"/>
                    <a:stretch>
                      <a:fillRect/>
                    </a:stretch>
                  </pic:blipFill>
                  <pic:spPr>
                    <a:xfrm>
                      <a:off x="0" y="0"/>
                      <a:ext cx="2958752" cy="2058725"/>
                    </a:xfrm>
                    <a:prstGeom prst="rect">
                      <a:avLst/>
                    </a:prstGeom>
                  </pic:spPr>
                </pic:pic>
              </a:graphicData>
            </a:graphic>
          </wp:inline>
        </w:drawing>
      </w:r>
    </w:p>
    <w:p w14:paraId="76409D3F">
      <w:pPr>
        <w:pStyle w:val="65"/>
        <w:spacing w:line="24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图</w:t>
      </w:r>
      <w:r>
        <w:rPr>
          <w:rFonts w:hint="default" w:ascii="Times New Roman" w:hAnsi="Times New Roman" w:eastAsia="宋体" w:cs="Times New Roman"/>
          <w:color w:val="auto"/>
          <w:spacing w:val="2"/>
          <w:sz w:val="24"/>
          <w:szCs w:val="24"/>
          <w:lang w:val="en-US" w:eastAsia="zh-CN"/>
        </w:rPr>
        <w:t>7.3</w:t>
      </w:r>
      <w:r>
        <w:rPr>
          <w:rFonts w:hint="default" w:ascii="Times New Roman" w:hAnsi="Times New Roman" w:eastAsia="宋体" w:cs="Times New Roman"/>
          <w:color w:val="auto"/>
          <w:spacing w:val="2"/>
          <w:sz w:val="24"/>
          <w:szCs w:val="24"/>
        </w:rPr>
        <w:t>.</w:t>
      </w:r>
      <w:r>
        <w:rPr>
          <w:rFonts w:hint="eastAsia" w:ascii="Times New Roman" w:hAnsi="Times New Roman" w:eastAsia="宋体" w:cs="Times New Roman"/>
          <w:color w:val="auto"/>
          <w:spacing w:val="2"/>
          <w:sz w:val="24"/>
          <w:szCs w:val="24"/>
          <w:lang w:val="en-US" w:eastAsia="zh-CN"/>
        </w:rPr>
        <w:t>26</w:t>
      </w:r>
      <w:r>
        <w:rPr>
          <w:rFonts w:hint="default" w:ascii="Times New Roman" w:hAnsi="Times New Roman" w:eastAsia="宋体" w:cs="Times New Roman"/>
          <w:color w:val="auto"/>
          <w:spacing w:val="2"/>
          <w:sz w:val="24"/>
          <w:szCs w:val="24"/>
        </w:rPr>
        <w:t>-2</w:t>
      </w:r>
      <w:r>
        <w:rPr>
          <w:rFonts w:hint="default" w:ascii="Times New Roman" w:hAnsi="Times New Roman" w:eastAsia="宋体" w:cs="Times New Roman"/>
          <w:color w:val="auto"/>
          <w:sz w:val="24"/>
          <w:szCs w:val="24"/>
        </w:rPr>
        <w:t xml:space="preserve"> 柱外包式加固与连接示意</w:t>
      </w:r>
    </w:p>
    <w:p w14:paraId="314D198F">
      <w:pPr>
        <w:pStyle w:val="65"/>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1—背板；2—侧板；3—柱锚板；4—梁锚板；5—锚栓；6—对穿螺杆；</w:t>
      </w:r>
    </w:p>
    <w:p w14:paraId="6BD226BD">
      <w:pPr>
        <w:pStyle w:val="65"/>
        <w:spacing w:after="120" w:afterLines="50"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7—加劲肋；8—既有框架柱；9—既有框架梁</w:t>
      </w:r>
    </w:p>
    <w:p w14:paraId="00CCA274">
      <w:pPr>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7.3</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2</w:t>
      </w:r>
      <w:r>
        <w:rPr>
          <w:rFonts w:hint="eastAsia" w:ascii="Times New Roman" w:hAnsi="Times New Roman" w:eastAsia="宋体" w:cs="Times New Roman"/>
          <w:b/>
          <w:bCs/>
          <w:color w:val="auto"/>
          <w:sz w:val="24"/>
          <w:szCs w:val="24"/>
          <w:lang w:val="en-US" w:eastAsia="zh-CN"/>
        </w:rPr>
        <w:t>7</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color w:val="auto"/>
          <w:sz w:val="24"/>
          <w:szCs w:val="24"/>
        </w:rPr>
        <w:t>采用钢筋混凝土悬臂墙与主体结构连接时，可采用图</w:t>
      </w:r>
      <w:r>
        <w:rPr>
          <w:rFonts w:hint="default" w:ascii="Times New Roman" w:hAnsi="Times New Roman" w:eastAsia="宋体" w:cs="Times New Roman"/>
          <w:color w:val="auto"/>
          <w:sz w:val="24"/>
          <w:szCs w:val="24"/>
          <w:lang w:val="en-US" w:eastAsia="zh-CN"/>
        </w:rPr>
        <w:t>7.3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的</w:t>
      </w:r>
      <w:r>
        <w:rPr>
          <w:rFonts w:hint="default" w:ascii="Times New Roman" w:hAnsi="Times New Roman" w:eastAsia="宋体" w:cs="Times New Roman"/>
          <w:color w:val="auto"/>
          <w:sz w:val="24"/>
          <w:szCs w:val="24"/>
          <w:lang w:eastAsia="zh-CN"/>
        </w:rPr>
        <w:t>植筋</w:t>
      </w:r>
      <w:r>
        <w:rPr>
          <w:rFonts w:hint="default" w:ascii="Times New Roman" w:hAnsi="Times New Roman" w:eastAsia="宋体" w:cs="Times New Roman"/>
          <w:color w:val="auto"/>
          <w:sz w:val="24"/>
          <w:szCs w:val="24"/>
        </w:rPr>
        <w:t>连</w:t>
      </w:r>
      <w:r>
        <w:rPr>
          <w:rFonts w:hint="default" w:ascii="Times New Roman" w:hAnsi="Times New Roman" w:eastAsia="宋体" w:cs="Times New Roman"/>
          <w:color w:val="auto"/>
          <w:spacing w:val="-3"/>
          <w:sz w:val="24"/>
          <w:szCs w:val="24"/>
        </w:rPr>
        <w:t>接方式，并应符合下列规定：</w:t>
      </w:r>
    </w:p>
    <w:p w14:paraId="68682981">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1</w:t>
      </w:r>
      <w:r>
        <w:rPr>
          <w:rFonts w:hint="default" w:ascii="Times New Roman" w:hAnsi="Times New Roman" w:eastAsia="宋体" w:cs="Times New Roman"/>
          <w:color w:val="auto"/>
          <w:sz w:val="24"/>
          <w:szCs w:val="24"/>
          <w:lang w:eastAsia="zh-CN"/>
        </w:rPr>
        <w:t xml:space="preserve"> 新增钢筋混凝土悬臂墙中的竖向钢筋采用植筋锚入原结构混凝土梁内，植筋应满足现行国家标准《既有建筑鉴定与加固通用规范》GB 55021、《混凝土结构加固设计规范》GB 50367和现行行业标准《混凝土结构后锚固技术规程》JGJ 145中的相关规定。</w:t>
      </w:r>
    </w:p>
    <w:p w14:paraId="4404BC3B">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2</w:t>
      </w:r>
      <w:r>
        <w:rPr>
          <w:rFonts w:hint="default" w:ascii="Times New Roman" w:hAnsi="Times New Roman" w:eastAsia="宋体" w:cs="Times New Roman"/>
          <w:color w:val="auto"/>
          <w:sz w:val="24"/>
          <w:szCs w:val="24"/>
          <w:lang w:eastAsia="zh-CN"/>
        </w:rPr>
        <w:t xml:space="preserve"> 消能器通过预埋锚栓和预埋钢板与钢筋混凝土悬臂墙连接。</w:t>
      </w:r>
    </w:p>
    <w:p w14:paraId="1B044569">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3</w:t>
      </w:r>
      <w:r>
        <w:rPr>
          <w:rFonts w:hint="default" w:ascii="Times New Roman" w:hAnsi="Times New Roman" w:eastAsia="宋体" w:cs="Times New Roman"/>
          <w:color w:val="auto"/>
          <w:sz w:val="24"/>
          <w:szCs w:val="24"/>
          <w:lang w:eastAsia="zh-CN"/>
        </w:rPr>
        <w:t xml:space="preserve"> 与消能部件相连的原结构混凝土梁可采用增大截面等方法加固。增大截面加固应满足现行国家标准《既有建筑鉴定与加固通用规范》GB 55021、《混凝土结构加固设计规范》GB 50367中的相关规定。</w:t>
      </w:r>
    </w:p>
    <w:p w14:paraId="3A70BBC9">
      <w:pPr>
        <w:spacing w:line="300" w:lineRule="auto"/>
        <w:ind w:firstLine="45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drawing>
          <wp:inline distT="0" distB="0" distL="0" distR="0">
            <wp:extent cx="3526155" cy="2068830"/>
            <wp:effectExtent l="0" t="0" r="17145"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a:xfrm>
                      <a:off x="0" y="0"/>
                      <a:ext cx="3533870" cy="2073097"/>
                    </a:xfrm>
                    <a:prstGeom prst="rect">
                      <a:avLst/>
                    </a:prstGeom>
                    <a:noFill/>
                    <a:ln>
                      <a:noFill/>
                    </a:ln>
                  </pic:spPr>
                </pic:pic>
              </a:graphicData>
            </a:graphic>
          </wp:inline>
        </w:drawing>
      </w:r>
    </w:p>
    <w:p w14:paraId="32EDDF1D">
      <w:pPr>
        <w:pStyle w:val="65"/>
        <w:spacing w:line="24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图</w:t>
      </w:r>
      <w:r>
        <w:rPr>
          <w:rFonts w:hint="default" w:ascii="Times New Roman" w:hAnsi="Times New Roman" w:eastAsia="宋体" w:cs="Times New Roman"/>
          <w:color w:val="auto"/>
          <w:spacing w:val="-13"/>
          <w:sz w:val="24"/>
          <w:szCs w:val="24"/>
          <w:lang w:val="en-US" w:eastAsia="zh-CN"/>
        </w:rPr>
        <w:t>7.3</w:t>
      </w:r>
      <w:r>
        <w:rPr>
          <w:rFonts w:hint="default" w:ascii="Times New Roman" w:hAnsi="Times New Roman" w:eastAsia="宋体" w:cs="Times New Roman"/>
          <w:color w:val="auto"/>
          <w:spacing w:val="-13"/>
          <w:sz w:val="24"/>
          <w:szCs w:val="24"/>
        </w:rPr>
        <w:t>.</w:t>
      </w:r>
      <w:r>
        <w:rPr>
          <w:rFonts w:hint="default" w:ascii="Times New Roman" w:hAnsi="Times New Roman" w:eastAsia="宋体" w:cs="Times New Roman"/>
          <w:color w:val="auto"/>
          <w:spacing w:val="-13"/>
          <w:sz w:val="24"/>
          <w:szCs w:val="24"/>
          <w:lang w:val="en-US" w:eastAsia="zh-CN"/>
        </w:rPr>
        <w:t>2</w:t>
      </w:r>
      <w:r>
        <w:rPr>
          <w:rFonts w:hint="eastAsia" w:ascii="Times New Roman" w:hAnsi="Times New Roman" w:eastAsia="宋体" w:cs="Times New Roman"/>
          <w:color w:val="auto"/>
          <w:spacing w:val="-13"/>
          <w:sz w:val="24"/>
          <w:szCs w:val="24"/>
          <w:lang w:val="en-US" w:eastAsia="zh-CN"/>
        </w:rPr>
        <w:t>7</w:t>
      </w:r>
      <w:r>
        <w:rPr>
          <w:rFonts w:hint="default" w:ascii="Times New Roman" w:hAnsi="Times New Roman" w:eastAsia="宋体" w:cs="Times New Roman"/>
          <w:color w:val="auto"/>
          <w:sz w:val="24"/>
          <w:szCs w:val="24"/>
        </w:rPr>
        <w:t xml:space="preserve"> 采用钢筋混凝土墙支撑连接</w:t>
      </w:r>
    </w:p>
    <w:p w14:paraId="25208343">
      <w:pPr>
        <w:pStyle w:val="65"/>
        <w:spacing w:after="120" w:afterLines="50"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1—</w:t>
      </w:r>
      <w:r>
        <w:rPr>
          <w:rFonts w:hint="default" w:ascii="Times New Roman" w:hAnsi="Times New Roman" w:eastAsia="宋体" w:cs="Times New Roman"/>
          <w:color w:val="auto"/>
          <w:spacing w:val="-1"/>
          <w:sz w:val="21"/>
          <w:szCs w:val="21"/>
          <w:lang w:eastAsia="zh-CN"/>
        </w:rPr>
        <w:t>植筋</w:t>
      </w:r>
      <w:r>
        <w:rPr>
          <w:rFonts w:hint="default" w:ascii="Times New Roman" w:hAnsi="Times New Roman" w:eastAsia="宋体" w:cs="Times New Roman"/>
          <w:color w:val="auto"/>
          <w:spacing w:val="-1"/>
          <w:sz w:val="21"/>
          <w:szCs w:val="21"/>
        </w:rPr>
        <w:t>；2—混凝土墙；3—预埋锚栓；4—预埋钢板；5—阻尼器</w:t>
      </w:r>
    </w:p>
    <w:p w14:paraId="1A36527F">
      <w:pPr>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7.3</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2</w:t>
      </w:r>
      <w:r>
        <w:rPr>
          <w:rFonts w:hint="eastAsia" w:ascii="Times New Roman" w:hAnsi="Times New Roman" w:eastAsia="宋体" w:cs="Times New Roman"/>
          <w:b/>
          <w:bCs/>
          <w:color w:val="auto"/>
          <w:sz w:val="24"/>
          <w:szCs w:val="24"/>
          <w:lang w:val="en-US" w:eastAsia="zh-CN"/>
        </w:rPr>
        <w:t>8</w:t>
      </w:r>
      <w:r>
        <w:rPr>
          <w:rFonts w:hint="default" w:ascii="Times New Roman" w:hAnsi="Times New Roman" w:eastAsia="宋体" w:cs="Times New Roman"/>
          <w:bCs/>
          <w:color w:val="auto"/>
          <w:sz w:val="24"/>
          <w:szCs w:val="24"/>
        </w:rPr>
        <w:t xml:space="preserve"> </w:t>
      </w:r>
      <w:r>
        <w:rPr>
          <w:rFonts w:hint="default" w:ascii="Times New Roman" w:hAnsi="Times New Roman" w:eastAsia="宋体" w:cs="Times New Roman"/>
          <w:color w:val="auto"/>
          <w:sz w:val="24"/>
          <w:szCs w:val="24"/>
        </w:rPr>
        <w:t>消能部件与混凝土框架采用钢框嵌套式连接（图</w:t>
      </w:r>
      <w:r>
        <w:rPr>
          <w:rFonts w:hint="default" w:ascii="Times New Roman" w:hAnsi="Times New Roman" w:eastAsia="宋体" w:cs="Times New Roman"/>
          <w:color w:val="auto"/>
          <w:sz w:val="24"/>
          <w:szCs w:val="24"/>
          <w:lang w:val="en-US" w:eastAsia="zh-CN"/>
        </w:rPr>
        <w:t>7.3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）时，应符合下列规定：</w:t>
      </w:r>
    </w:p>
    <w:p w14:paraId="56621E20">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1</w:t>
      </w:r>
      <w:r>
        <w:rPr>
          <w:rFonts w:hint="default" w:ascii="Times New Roman" w:hAnsi="Times New Roman" w:eastAsia="宋体" w:cs="Times New Roman"/>
          <w:color w:val="auto"/>
          <w:sz w:val="24"/>
          <w:szCs w:val="24"/>
          <w:lang w:eastAsia="zh-CN"/>
        </w:rPr>
        <w:t xml:space="preserve"> 钢框可嵌入混凝土框架中，消能部件可通过节点板与钢框连接。</w:t>
      </w:r>
    </w:p>
    <w:p w14:paraId="4BF1E333">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2</w:t>
      </w:r>
      <w:r>
        <w:rPr>
          <w:rFonts w:hint="default" w:ascii="Times New Roman" w:hAnsi="Times New Roman" w:eastAsia="宋体" w:cs="Times New Roman"/>
          <w:color w:val="auto"/>
          <w:sz w:val="24"/>
          <w:szCs w:val="24"/>
          <w:lang w:eastAsia="zh-CN"/>
        </w:rPr>
        <w:t xml:space="preserve"> 可由栓钉和锚筋承担全部钢框传至混凝土框架的内力。</w:t>
      </w:r>
    </w:p>
    <w:p w14:paraId="385C37D7">
      <w:pPr>
        <w:pStyle w:val="12"/>
        <w:ind w:firstLine="422"/>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lang w:eastAsia="zh-CN"/>
        </w:rPr>
        <w:t>3</w:t>
      </w:r>
      <w:r>
        <w:rPr>
          <w:rFonts w:hint="default" w:ascii="Times New Roman" w:hAnsi="Times New Roman" w:eastAsia="宋体" w:cs="Times New Roman"/>
          <w:color w:val="auto"/>
          <w:sz w:val="24"/>
          <w:szCs w:val="24"/>
          <w:lang w:eastAsia="zh-CN"/>
        </w:rPr>
        <w:t xml:space="preserve"> 钢框可采用H型钢或槽形钢，混凝土过渡区内应配置纵筋和箍筋，锚筋应按现行行业标准《混凝土结构后锚固技术规程》JGJ 145的有关要求设计。</w:t>
      </w:r>
    </w:p>
    <w:p w14:paraId="723E8704">
      <w:pPr>
        <w:spacing w:before="21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position w:val="-122"/>
          <w:sz w:val="24"/>
          <w:szCs w:val="24"/>
        </w:rPr>
        <w:drawing>
          <wp:anchor distT="0" distB="0" distL="0" distR="0" simplePos="0" relativeHeight="251675648" behindDoc="0" locked="0" layoutInCell="1" allowOverlap="1">
            <wp:simplePos x="0" y="0"/>
            <wp:positionH relativeFrom="column">
              <wp:posOffset>1546860</wp:posOffset>
            </wp:positionH>
            <wp:positionV relativeFrom="paragraph">
              <wp:posOffset>126365</wp:posOffset>
            </wp:positionV>
            <wp:extent cx="3120390" cy="3728085"/>
            <wp:effectExtent l="0" t="0" r="3810" b="5715"/>
            <wp:wrapTopAndBottom/>
            <wp:docPr id="23" name="IM 116"/>
            <wp:cNvGraphicFramePr/>
            <a:graphic xmlns:a="http://schemas.openxmlformats.org/drawingml/2006/main">
              <a:graphicData uri="http://schemas.openxmlformats.org/drawingml/2006/picture">
                <pic:pic xmlns:pic="http://schemas.openxmlformats.org/drawingml/2006/picture">
                  <pic:nvPicPr>
                    <pic:cNvPr id="23" name="IM 116"/>
                    <pic:cNvPicPr/>
                  </pic:nvPicPr>
                  <pic:blipFill>
                    <a:blip r:embed="rId328"/>
                    <a:stretch>
                      <a:fillRect/>
                    </a:stretch>
                  </pic:blipFill>
                  <pic:spPr>
                    <a:xfrm>
                      <a:off x="0" y="0"/>
                      <a:ext cx="3123848" cy="3731655"/>
                    </a:xfrm>
                    <a:prstGeom prst="rect">
                      <a:avLst/>
                    </a:prstGeom>
                  </pic:spPr>
                </pic:pic>
              </a:graphicData>
            </a:graphic>
          </wp:anchor>
        </w:drawing>
      </w:r>
    </w:p>
    <w:p w14:paraId="5FF41601">
      <w:pPr>
        <w:pStyle w:val="6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（a）1-1               </w:t>
      </w:r>
      <w:r>
        <w:rPr>
          <w:rFonts w:hint="default" w:ascii="Times New Roman" w:hAnsi="Times New Roman" w:eastAsia="宋体" w:cs="Times New Roman"/>
          <w:color w:val="auto"/>
          <w:spacing w:val="-1"/>
          <w:sz w:val="21"/>
          <w:szCs w:val="21"/>
        </w:rPr>
        <w:t xml:space="preserve">       （b）2-2</w:t>
      </w:r>
    </w:p>
    <w:p w14:paraId="0304AFBB">
      <w:pPr>
        <w:pStyle w:val="65"/>
        <w:spacing w:line="24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图</w:t>
      </w:r>
      <w:r>
        <w:rPr>
          <w:rFonts w:hint="default" w:ascii="Times New Roman" w:hAnsi="Times New Roman" w:eastAsia="宋体" w:cs="Times New Roman"/>
          <w:b/>
          <w:bCs w:val="0"/>
          <w:color w:val="auto"/>
          <w:spacing w:val="-10"/>
          <w:sz w:val="24"/>
          <w:szCs w:val="24"/>
          <w:lang w:val="en-US" w:eastAsia="zh-CN"/>
        </w:rPr>
        <w:t>7.3</w:t>
      </w:r>
      <w:r>
        <w:rPr>
          <w:rFonts w:hint="default" w:ascii="Times New Roman" w:hAnsi="Times New Roman" w:eastAsia="宋体" w:cs="Times New Roman"/>
          <w:b/>
          <w:bCs w:val="0"/>
          <w:color w:val="auto"/>
          <w:spacing w:val="-10"/>
          <w:sz w:val="24"/>
          <w:szCs w:val="24"/>
        </w:rPr>
        <w:t>.</w:t>
      </w:r>
      <w:r>
        <w:rPr>
          <w:rFonts w:hint="default" w:ascii="Times New Roman" w:hAnsi="Times New Roman" w:eastAsia="宋体" w:cs="Times New Roman"/>
          <w:b/>
          <w:bCs w:val="0"/>
          <w:color w:val="auto"/>
          <w:spacing w:val="-10"/>
          <w:sz w:val="24"/>
          <w:szCs w:val="24"/>
          <w:lang w:val="en-US" w:eastAsia="zh-CN"/>
        </w:rPr>
        <w:t>2</w:t>
      </w:r>
      <w:r>
        <w:rPr>
          <w:rFonts w:hint="eastAsia" w:ascii="Times New Roman" w:hAnsi="Times New Roman" w:eastAsia="宋体" w:cs="Times New Roman"/>
          <w:b/>
          <w:bCs w:val="0"/>
          <w:color w:val="auto"/>
          <w:spacing w:val="-10"/>
          <w:sz w:val="24"/>
          <w:szCs w:val="24"/>
          <w:lang w:val="en-US" w:eastAsia="zh-CN"/>
        </w:rPr>
        <w:t>8</w:t>
      </w:r>
      <w:r>
        <w:rPr>
          <w:rFonts w:hint="default" w:ascii="Times New Roman" w:hAnsi="Times New Roman" w:eastAsia="宋体" w:cs="Times New Roman"/>
          <w:b/>
          <w:bCs w:val="0"/>
          <w:color w:val="auto"/>
          <w:spacing w:val="-10"/>
          <w:sz w:val="24"/>
          <w:szCs w:val="24"/>
        </w:rPr>
        <w:t xml:space="preserve"> </w:t>
      </w:r>
      <w:r>
        <w:rPr>
          <w:rFonts w:hint="default" w:ascii="Times New Roman" w:hAnsi="Times New Roman" w:eastAsia="宋体" w:cs="Times New Roman"/>
          <w:color w:val="auto"/>
          <w:sz w:val="24"/>
          <w:szCs w:val="24"/>
        </w:rPr>
        <w:t>内框架加固方法</w:t>
      </w:r>
    </w:p>
    <w:p w14:paraId="378F93AB">
      <w:pPr>
        <w:pStyle w:val="65"/>
        <w:spacing w:after="120" w:afterLines="50" w:line="240" w:lineRule="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2"/>
          <w:sz w:val="21"/>
          <w:szCs w:val="21"/>
        </w:rPr>
        <w:t>1—柱；2—梁；3—钢框；4—混凝土过渡区；5—锚筋</w:t>
      </w:r>
      <w:r>
        <w:rPr>
          <w:rFonts w:hint="default" w:ascii="Times New Roman" w:hAnsi="Times New Roman" w:eastAsia="宋体" w:cs="Times New Roman"/>
          <w:color w:val="auto"/>
          <w:spacing w:val="-3"/>
          <w:sz w:val="21"/>
          <w:szCs w:val="21"/>
        </w:rPr>
        <w:t>；6—栓钉；</w:t>
      </w:r>
      <w:r>
        <w:rPr>
          <w:rFonts w:hint="default" w:ascii="Times New Roman" w:hAnsi="Times New Roman" w:eastAsia="宋体" w:cs="Times New Roman"/>
          <w:color w:val="auto"/>
          <w:spacing w:val="-1"/>
          <w:sz w:val="21"/>
          <w:szCs w:val="21"/>
        </w:rPr>
        <w:t>7—纵筋；8—箍筋</w:t>
      </w:r>
    </w:p>
    <w:p w14:paraId="5A677AC0">
      <w:pPr>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7.3</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2</w:t>
      </w:r>
      <w:r>
        <w:rPr>
          <w:rFonts w:hint="eastAsia" w:ascii="Times New Roman" w:hAnsi="Times New Roman" w:eastAsia="宋体" w:cs="Times New Roman"/>
          <w:b/>
          <w:bCs/>
          <w:color w:val="auto"/>
          <w:sz w:val="24"/>
          <w:szCs w:val="24"/>
          <w:lang w:val="en-US" w:eastAsia="zh-CN"/>
        </w:rPr>
        <w:t>9</w:t>
      </w:r>
      <w:r>
        <w:rPr>
          <w:rFonts w:hint="default" w:ascii="Times New Roman" w:hAnsi="Times New Roman" w:eastAsia="宋体" w:cs="Times New Roman"/>
          <w:bCs/>
          <w:color w:val="auto"/>
          <w:sz w:val="24"/>
          <w:szCs w:val="24"/>
        </w:rPr>
        <w:t xml:space="preserve"> </w:t>
      </w:r>
      <w:r>
        <w:rPr>
          <w:rFonts w:hint="default" w:ascii="Times New Roman" w:hAnsi="Times New Roman" w:eastAsia="宋体" w:cs="Times New Roman"/>
          <w:color w:val="auto"/>
          <w:sz w:val="24"/>
          <w:szCs w:val="24"/>
        </w:rPr>
        <w:t>消能部件与混凝土框架采用附加框架连接（图</w:t>
      </w:r>
      <w:r>
        <w:rPr>
          <w:rFonts w:hint="default" w:ascii="Times New Roman" w:hAnsi="Times New Roman" w:eastAsia="宋体" w:cs="Times New Roman"/>
          <w:color w:val="auto"/>
          <w:sz w:val="24"/>
          <w:szCs w:val="24"/>
          <w:lang w:val="en-US" w:eastAsia="zh-CN"/>
        </w:rPr>
        <w:t>7.3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rPr>
        <w:t>）时，应</w:t>
      </w:r>
      <w:r>
        <w:rPr>
          <w:rFonts w:hint="default" w:ascii="Times New Roman" w:hAnsi="Times New Roman" w:eastAsia="宋体" w:cs="Times New Roman"/>
          <w:color w:val="auto"/>
          <w:spacing w:val="-2"/>
          <w:sz w:val="24"/>
          <w:szCs w:val="24"/>
        </w:rPr>
        <w:t>符合下列规定：</w:t>
      </w:r>
    </w:p>
    <w:p w14:paraId="575E10C3">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1</w:t>
      </w:r>
      <w:r>
        <w:rPr>
          <w:rFonts w:hint="default" w:ascii="Times New Roman" w:hAnsi="Times New Roman" w:eastAsia="宋体" w:cs="Times New Roman"/>
          <w:color w:val="auto"/>
          <w:sz w:val="24"/>
          <w:szCs w:val="24"/>
          <w:lang w:eastAsia="zh-CN"/>
        </w:rPr>
        <w:t xml:space="preserve"> 附加框架宜采用钢框架或现浇混凝土框架。</w:t>
      </w:r>
    </w:p>
    <w:p w14:paraId="6F718F8A">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 xml:space="preserve">2 </w:t>
      </w:r>
      <w:r>
        <w:rPr>
          <w:rFonts w:hint="default" w:ascii="Times New Roman" w:hAnsi="Times New Roman" w:eastAsia="宋体" w:cs="Times New Roman"/>
          <w:color w:val="auto"/>
          <w:sz w:val="24"/>
          <w:szCs w:val="24"/>
          <w:lang w:eastAsia="zh-CN"/>
        </w:rPr>
        <w:t>现浇混凝土附加框架与既有结构可采用贯穿螺栓连接或采用后锚固抗剪键连接，与附加框架相连的既有结构构件表面应凿毛。抗剪键锚筋应在附加框架内设置拉结弯钩或其他可靠的拉结措施。</w:t>
      </w:r>
    </w:p>
    <w:p w14:paraId="136E3558">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 xml:space="preserve">3 </w:t>
      </w:r>
      <w:r>
        <w:rPr>
          <w:rFonts w:hint="default" w:ascii="Times New Roman" w:hAnsi="Times New Roman" w:eastAsia="宋体" w:cs="Times New Roman"/>
          <w:color w:val="auto"/>
          <w:sz w:val="24"/>
          <w:szCs w:val="24"/>
          <w:lang w:eastAsia="zh-CN"/>
        </w:rPr>
        <w:t>后锚固抗剪键可采用后锚固扩底型机械锚栓或</w:t>
      </w:r>
      <w:r>
        <w:rPr>
          <w:rFonts w:hint="default" w:ascii="Times New Roman" w:hAnsi="Times New Roman" w:eastAsia="宋体" w:cs="Times New Roman"/>
          <w:color w:val="auto"/>
          <w:sz w:val="24"/>
          <w:szCs w:val="24"/>
          <w:lang w:val="en-US" w:eastAsia="zh-CN"/>
        </w:rPr>
        <w:t>胶粘型</w:t>
      </w:r>
      <w:r>
        <w:rPr>
          <w:rFonts w:hint="default" w:ascii="Times New Roman" w:hAnsi="Times New Roman" w:eastAsia="宋体" w:cs="Times New Roman"/>
          <w:color w:val="auto"/>
          <w:sz w:val="24"/>
          <w:szCs w:val="24"/>
          <w:lang w:eastAsia="zh-CN"/>
        </w:rPr>
        <w:t>锚栓，或后锚固锚栓加钢筋混凝土抗剪键等形式。</w:t>
      </w:r>
    </w:p>
    <w:p w14:paraId="5B27AF60">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4</w:t>
      </w:r>
      <w:r>
        <w:rPr>
          <w:rFonts w:hint="default" w:ascii="Times New Roman" w:hAnsi="Times New Roman" w:eastAsia="宋体" w:cs="Times New Roman"/>
          <w:b/>
          <w:color w:val="auto"/>
          <w:sz w:val="24"/>
          <w:szCs w:val="24"/>
          <w:lang w:val="en-US" w:eastAsia="zh-CN"/>
        </w:rPr>
        <w:t xml:space="preserve"> </w:t>
      </w:r>
      <w:r>
        <w:rPr>
          <w:rFonts w:hint="default" w:ascii="Times New Roman" w:hAnsi="Times New Roman" w:eastAsia="宋体" w:cs="Times New Roman"/>
          <w:color w:val="auto"/>
          <w:sz w:val="24"/>
          <w:szCs w:val="24"/>
          <w:lang w:eastAsia="zh-CN"/>
        </w:rPr>
        <w:t>附加框架采用现浇钢筋混凝土时，其抗震构造应满足相同抗震等级的新建混凝土框架的要求，箍筋宜通高或全跨加密。</w:t>
      </w:r>
    </w:p>
    <w:p w14:paraId="722342DC">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5</w:t>
      </w:r>
      <w:r>
        <w:rPr>
          <w:rFonts w:hint="default" w:ascii="Times New Roman" w:hAnsi="Times New Roman" w:eastAsia="宋体" w:cs="Times New Roman"/>
          <w:color w:val="auto"/>
          <w:sz w:val="24"/>
          <w:szCs w:val="24"/>
          <w:lang w:eastAsia="zh-CN"/>
        </w:rPr>
        <w:t xml:space="preserve"> 附加框架采用钢结构时，钢框架与既有结构构件采用后锚固抗剪键连接，并应采取防锈措施。</w:t>
      </w:r>
    </w:p>
    <w:p w14:paraId="4C78F6B0">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6</w:t>
      </w:r>
      <w:r>
        <w:rPr>
          <w:rFonts w:hint="default" w:ascii="Times New Roman" w:hAnsi="Times New Roman" w:eastAsia="宋体" w:cs="Times New Roman"/>
          <w:color w:val="auto"/>
          <w:sz w:val="24"/>
          <w:szCs w:val="24"/>
          <w:lang w:eastAsia="zh-CN"/>
        </w:rPr>
        <w:t xml:space="preserve"> 附加框架宜上下连通设置，宜设置基础，或与既有建筑基础连为整体。</w:t>
      </w:r>
    </w:p>
    <w:p w14:paraId="4EFD436B">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 xml:space="preserve">7 </w:t>
      </w:r>
      <w:r>
        <w:rPr>
          <w:rFonts w:hint="default" w:ascii="Times New Roman" w:hAnsi="Times New Roman" w:eastAsia="宋体" w:cs="Times New Roman"/>
          <w:color w:val="auto"/>
          <w:sz w:val="24"/>
          <w:szCs w:val="24"/>
          <w:lang w:eastAsia="zh-CN"/>
        </w:rPr>
        <w:t>后锚固抗剪键的施工应计入附加框架自重变形的影响。</w:t>
      </w:r>
    </w:p>
    <w:p w14:paraId="51E64614">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8</w:t>
      </w:r>
      <w:r>
        <w:rPr>
          <w:rFonts w:hint="default" w:ascii="Times New Roman" w:hAnsi="Times New Roman" w:eastAsia="宋体" w:cs="Times New Roman"/>
          <w:color w:val="auto"/>
          <w:sz w:val="24"/>
          <w:szCs w:val="24"/>
          <w:lang w:eastAsia="zh-CN"/>
        </w:rPr>
        <w:t xml:space="preserve"> 附加框架施工宜在既有结构构件或节点加固完成后进行。</w:t>
      </w:r>
    </w:p>
    <w:p w14:paraId="39EF4DB9">
      <w:pPr>
        <w:spacing w:line="285"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drawing>
          <wp:inline distT="0" distB="0" distL="0" distR="0">
            <wp:extent cx="4210050" cy="2477135"/>
            <wp:effectExtent l="0" t="0" r="0" b="184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a:xfrm>
                      <a:off x="0" y="0"/>
                      <a:ext cx="4240532" cy="2495423"/>
                    </a:xfrm>
                    <a:prstGeom prst="rect">
                      <a:avLst/>
                    </a:prstGeom>
                    <a:noFill/>
                    <a:ln>
                      <a:noFill/>
                    </a:ln>
                  </pic:spPr>
                </pic:pic>
              </a:graphicData>
            </a:graphic>
          </wp:inline>
        </w:drawing>
      </w:r>
    </w:p>
    <w:p w14:paraId="7E214662">
      <w:pPr>
        <w:pStyle w:val="65"/>
        <w:spacing w:line="24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图</w:t>
      </w:r>
      <w:r>
        <w:rPr>
          <w:rFonts w:hint="default" w:ascii="Times New Roman" w:hAnsi="Times New Roman" w:eastAsia="宋体" w:cs="Times New Roman"/>
          <w:color w:val="auto"/>
          <w:spacing w:val="-8"/>
          <w:sz w:val="24"/>
          <w:szCs w:val="24"/>
          <w:lang w:val="en-US" w:eastAsia="zh-CN"/>
        </w:rPr>
        <w:t>7.3</w:t>
      </w:r>
      <w:r>
        <w:rPr>
          <w:rFonts w:hint="default" w:ascii="Times New Roman" w:hAnsi="Times New Roman" w:eastAsia="宋体" w:cs="Times New Roman"/>
          <w:color w:val="auto"/>
          <w:spacing w:val="-8"/>
          <w:sz w:val="24"/>
          <w:szCs w:val="24"/>
        </w:rPr>
        <w:t>.</w:t>
      </w:r>
      <w:r>
        <w:rPr>
          <w:rFonts w:hint="default" w:ascii="Times New Roman" w:hAnsi="Times New Roman" w:eastAsia="宋体" w:cs="Times New Roman"/>
          <w:color w:val="auto"/>
          <w:spacing w:val="-8"/>
          <w:sz w:val="24"/>
          <w:szCs w:val="24"/>
          <w:lang w:val="en-US" w:eastAsia="zh-CN"/>
        </w:rPr>
        <w:t>2</w:t>
      </w:r>
      <w:r>
        <w:rPr>
          <w:rFonts w:hint="eastAsia" w:ascii="Times New Roman" w:hAnsi="Times New Roman" w:eastAsia="宋体" w:cs="Times New Roman"/>
          <w:color w:val="auto"/>
          <w:spacing w:val="-8"/>
          <w:sz w:val="24"/>
          <w:szCs w:val="24"/>
          <w:lang w:val="en-US" w:eastAsia="zh-CN"/>
        </w:rPr>
        <w:t>9</w:t>
      </w: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pacing w:val="15"/>
          <w:w w:val="101"/>
          <w:sz w:val="24"/>
          <w:szCs w:val="24"/>
        </w:rPr>
        <w:t xml:space="preserve"> </w:t>
      </w:r>
      <w:r>
        <w:rPr>
          <w:rFonts w:hint="default" w:ascii="Times New Roman" w:hAnsi="Times New Roman" w:eastAsia="宋体" w:cs="Times New Roman"/>
          <w:color w:val="auto"/>
          <w:sz w:val="24"/>
          <w:szCs w:val="24"/>
        </w:rPr>
        <w:t>附加混凝土框架后锚固抗剪键连接示意</w:t>
      </w:r>
    </w:p>
    <w:p w14:paraId="0529B26A">
      <w:pPr>
        <w:pStyle w:val="65"/>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1—后锚固抗剪键；2—既有框架柱；3—既有框架梁；4—附加框架梁</w:t>
      </w:r>
    </w:p>
    <w:p w14:paraId="6AE2D8EF">
      <w:pPr>
        <w:spacing w:line="285"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drawing>
          <wp:inline distT="0" distB="0" distL="0" distR="0">
            <wp:extent cx="4021455" cy="2654935"/>
            <wp:effectExtent l="0" t="0" r="17145" b="1206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30">
                      <a:extLst>
                        <a:ext uri="{28A0092B-C50C-407E-A947-70E740481C1C}">
                          <a14:useLocalDpi xmlns:a14="http://schemas.microsoft.com/office/drawing/2010/main" val="0"/>
                        </a:ext>
                      </a:extLst>
                    </a:blip>
                    <a:srcRect l="4595" t="3763" b="2576"/>
                    <a:stretch>
                      <a:fillRect/>
                    </a:stretch>
                  </pic:blipFill>
                  <pic:spPr>
                    <a:xfrm>
                      <a:off x="0" y="0"/>
                      <a:ext cx="4021455" cy="2654935"/>
                    </a:xfrm>
                    <a:prstGeom prst="rect">
                      <a:avLst/>
                    </a:prstGeom>
                    <a:noFill/>
                    <a:ln>
                      <a:noFill/>
                    </a:ln>
                  </pic:spPr>
                </pic:pic>
              </a:graphicData>
            </a:graphic>
          </wp:inline>
        </w:drawing>
      </w:r>
    </w:p>
    <w:p w14:paraId="62FD5566">
      <w:pPr>
        <w:pStyle w:val="65"/>
        <w:spacing w:line="24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图</w:t>
      </w:r>
      <w:r>
        <w:rPr>
          <w:rFonts w:hint="default" w:ascii="Times New Roman" w:hAnsi="Times New Roman" w:eastAsia="宋体" w:cs="Times New Roman"/>
          <w:color w:val="auto"/>
          <w:sz w:val="24"/>
          <w:szCs w:val="24"/>
          <w:lang w:val="en-US" w:eastAsia="zh-CN"/>
        </w:rPr>
        <w:t>7.3.2</w:t>
      </w:r>
      <w:r>
        <w:rPr>
          <w:rFonts w:hint="eastAsia"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pacing w:val="15"/>
          <w:w w:val="101"/>
          <w:sz w:val="24"/>
          <w:szCs w:val="24"/>
        </w:rPr>
        <w:t xml:space="preserve"> </w:t>
      </w:r>
      <w:r>
        <w:rPr>
          <w:rFonts w:hint="default" w:ascii="Times New Roman" w:hAnsi="Times New Roman" w:eastAsia="宋体" w:cs="Times New Roman"/>
          <w:color w:val="auto"/>
          <w:sz w:val="24"/>
          <w:szCs w:val="24"/>
        </w:rPr>
        <w:t>附加钢框架后锚固抗剪键连接示意</w:t>
      </w:r>
    </w:p>
    <w:p w14:paraId="6E0412B3">
      <w:pPr>
        <w:pStyle w:val="65"/>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1—后锚固抗剪键；2—加劲肋；3—节点板；4—既有框架柱；</w:t>
      </w:r>
    </w:p>
    <w:p w14:paraId="2B9C9944">
      <w:pPr>
        <w:pStyle w:val="65"/>
        <w:spacing w:after="120" w:afterLines="50"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5—既有框架梁；6—附加框架柱；7—附加框架梁</w:t>
      </w:r>
    </w:p>
    <w:p w14:paraId="32A0D15E">
      <w:pPr>
        <w:keepNext w:val="0"/>
        <w:keepLines w:val="0"/>
        <w:widowControl/>
        <w:numPr>
          <w:ilvl w:val="0"/>
          <w:numId w:val="0"/>
        </w:numPr>
        <w:suppressLineNumbers w:val="0"/>
        <w:spacing w:before="48" w:beforeAutospacing="0" w:after="0" w:afterAutospacing="1"/>
        <w:ind w:left="-360" w:leftChars="0"/>
        <w:rPr>
          <w:rFonts w:hint="default" w:ascii="Times New Roman" w:hAnsi="Times New Roman" w:cs="Times New Roman" w:eastAsiaTheme="majorEastAsia"/>
          <w:color w:val="C00000"/>
          <w:sz w:val="24"/>
          <w:szCs w:val="24"/>
          <w:lang w:val="en-US" w:eastAsia="zh-CN"/>
        </w:rPr>
      </w:pPr>
      <w:r>
        <w:rPr>
          <w:rFonts w:hint="default" w:ascii="Times New Roman" w:hAnsi="Times New Roman" w:eastAsia="宋体" w:cs="Times New Roman"/>
          <w:color w:val="auto"/>
          <w:kern w:val="0"/>
          <w:sz w:val="24"/>
          <w:szCs w:val="24"/>
        </w:rPr>
        <w:br w:type="page"/>
      </w:r>
    </w:p>
    <w:p w14:paraId="44C3FC4C">
      <w:pPr>
        <w:widowControl/>
        <w:jc w:val="left"/>
        <w:rPr>
          <w:rFonts w:hint="default" w:ascii="Times New Roman" w:hAnsi="Times New Roman" w:eastAsia="宋体" w:cs="Times New Roman"/>
          <w:color w:val="auto"/>
          <w:kern w:val="0"/>
          <w:sz w:val="24"/>
          <w:szCs w:val="24"/>
        </w:rPr>
      </w:pPr>
    </w:p>
    <w:p w14:paraId="234B305E">
      <w:pPr>
        <w:pStyle w:val="2"/>
        <w:bidi w:val="0"/>
        <w:rPr>
          <w:rFonts w:hint="default"/>
        </w:rPr>
      </w:pPr>
      <w:bookmarkStart w:id="167" w:name="_Toc24271"/>
      <w:bookmarkStart w:id="168" w:name="_Toc18505"/>
      <w:r>
        <w:rPr>
          <w:rFonts w:hint="default"/>
          <w:lang w:val="en-US" w:eastAsia="zh-CN"/>
        </w:rPr>
        <w:t>8</w:t>
      </w:r>
      <w:r>
        <w:rPr>
          <w:rFonts w:hint="default"/>
        </w:rPr>
        <w:t xml:space="preserve"> </w:t>
      </w:r>
      <w:r>
        <w:rPr>
          <w:rFonts w:hint="default"/>
          <w:lang w:val="en-US" w:eastAsia="zh-CN"/>
        </w:rPr>
        <w:t xml:space="preserve"> </w:t>
      </w:r>
      <w:r>
        <w:rPr>
          <w:rFonts w:hint="default"/>
        </w:rPr>
        <w:t>钢结构</w:t>
      </w:r>
      <w:bookmarkEnd w:id="167"/>
    </w:p>
    <w:p w14:paraId="35060569">
      <w:pPr>
        <w:pStyle w:val="3"/>
        <w:bidi w:val="0"/>
        <w:rPr>
          <w:rFonts w:hint="default"/>
        </w:rPr>
      </w:pPr>
      <w:bookmarkStart w:id="169" w:name="_Toc9780"/>
      <w:r>
        <w:rPr>
          <w:rFonts w:hint="default"/>
          <w:lang w:eastAsia="zh-CN"/>
        </w:rPr>
        <w:t>8.</w:t>
      </w:r>
      <w:r>
        <w:rPr>
          <w:rFonts w:hint="default"/>
        </w:rPr>
        <w:t>1 一般规定</w:t>
      </w:r>
      <w:bookmarkEnd w:id="169"/>
    </w:p>
    <w:p w14:paraId="1598D854">
      <w:pPr>
        <w:keepNext w:val="0"/>
        <w:keepLines w:val="0"/>
        <w:pageBreakBefore w:val="0"/>
        <w:numPr>
          <w:ilvl w:val="0"/>
          <w:numId w:val="0"/>
        </w:numPr>
        <w:tabs>
          <w:tab w:val="left" w:pos="680"/>
          <w:tab w:val="left" w:pos="1134"/>
          <w:tab w:val="clear" w:pos="3261"/>
        </w:tabs>
        <w:wordWrap/>
        <w:overflowPunct/>
        <w:topLinePunct w:val="0"/>
        <w:bidi w:val="0"/>
        <w:adjustRightInd w:val="0"/>
        <w:spacing w:line="360" w:lineRule="exact"/>
        <w:ind w:left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Ⅰ</w:t>
      </w:r>
      <w:r>
        <w:rPr>
          <w:rFonts w:hint="default" w:ascii="Times New Roman" w:hAnsi="Times New Roman" w:eastAsia="宋体" w:cs="Times New Roman"/>
          <w:color w:val="auto"/>
          <w:sz w:val="24"/>
          <w:szCs w:val="24"/>
          <w:lang w:eastAsia="zh-CN"/>
        </w:rPr>
        <w:t xml:space="preserve"> </w:t>
      </w:r>
      <w:r>
        <w:rPr>
          <w:rFonts w:hint="default" w:ascii="Times New Roman" w:hAnsi="Times New Roman" w:eastAsia="宋体" w:cs="Times New Roman"/>
          <w:color w:val="auto"/>
          <w:sz w:val="24"/>
          <w:szCs w:val="24"/>
        </w:rPr>
        <w:t>抗震鉴定</w:t>
      </w:r>
    </w:p>
    <w:p w14:paraId="71AC8BB1">
      <w:pPr>
        <w:spacing w:line="360" w:lineRule="exact"/>
        <w:rPr>
          <w:rFonts w:hint="default" w:ascii="Times New Roman" w:hAnsi="Times New Roman" w:eastAsia="宋体" w:cs="Times New Roman"/>
          <w:color w:val="auto"/>
          <w:spacing w:val="-1"/>
          <w:sz w:val="24"/>
          <w:szCs w:val="24"/>
        </w:rPr>
      </w:pPr>
      <w:r>
        <w:rPr>
          <w:rFonts w:hint="default" w:ascii="Times New Roman" w:hAnsi="Times New Roman" w:eastAsia="宋体" w:cs="Times New Roman"/>
          <w:b/>
          <w:bCs/>
          <w:color w:val="auto"/>
          <w:sz w:val="24"/>
          <w:szCs w:val="24"/>
          <w:lang w:eastAsia="zh-CN"/>
        </w:rPr>
        <w:t>8.</w:t>
      </w:r>
      <w:r>
        <w:rPr>
          <w:rFonts w:hint="default" w:ascii="Times New Roman" w:hAnsi="Times New Roman" w:eastAsia="宋体" w:cs="Times New Roman"/>
          <w:b/>
          <w:bCs/>
          <w:color w:val="auto"/>
          <w:sz w:val="24"/>
          <w:szCs w:val="24"/>
        </w:rPr>
        <w:t>1.1</w:t>
      </w:r>
      <w:r>
        <w:rPr>
          <w:rFonts w:hint="default" w:ascii="Times New Roman" w:hAnsi="Times New Roman" w:eastAsia="宋体" w:cs="Times New Roman"/>
          <w:bCs/>
          <w:color w:val="auto"/>
          <w:sz w:val="24"/>
          <w:szCs w:val="24"/>
        </w:rPr>
        <w:t xml:space="preserve"> </w:t>
      </w:r>
      <w:r>
        <w:rPr>
          <w:rFonts w:hint="default" w:ascii="Times New Roman" w:hAnsi="Times New Roman" w:eastAsia="宋体" w:cs="Times New Roman"/>
          <w:color w:val="auto"/>
          <w:sz w:val="24"/>
          <w:szCs w:val="24"/>
        </w:rPr>
        <w:t>本章适用于多层和高层钢结构房屋的一般加固</w:t>
      </w:r>
      <w:r>
        <w:rPr>
          <w:rFonts w:hint="default" w:ascii="Times New Roman" w:hAnsi="Times New Roman" w:eastAsia="宋体" w:cs="Times New Roman"/>
          <w:color w:val="auto"/>
          <w:spacing w:val="-1"/>
          <w:sz w:val="24"/>
          <w:szCs w:val="24"/>
        </w:rPr>
        <w:t>及抗震加固。钢结构加</w:t>
      </w:r>
      <w:r>
        <w:rPr>
          <w:rFonts w:hint="default" w:ascii="Times New Roman" w:hAnsi="Times New Roman" w:eastAsia="宋体" w:cs="Times New Roman"/>
          <w:color w:val="auto"/>
          <w:sz w:val="24"/>
          <w:szCs w:val="24"/>
        </w:rPr>
        <w:t>固前，应按《既有建筑鉴定与加固通用规范》GB 55021</w:t>
      </w:r>
      <w:r>
        <w:rPr>
          <w:rFonts w:hint="default" w:ascii="Times New Roman" w:hAnsi="Times New Roman" w:eastAsia="宋体" w:cs="Times New Roman"/>
          <w:color w:val="auto"/>
          <w:spacing w:val="-6"/>
          <w:sz w:val="24"/>
          <w:szCs w:val="24"/>
        </w:rPr>
        <w:t>进行</w:t>
      </w:r>
      <w:r>
        <w:rPr>
          <w:rFonts w:hint="default" w:ascii="Times New Roman" w:hAnsi="Times New Roman" w:eastAsia="宋体" w:cs="Times New Roman"/>
          <w:color w:val="auto"/>
          <w:spacing w:val="-7"/>
          <w:sz w:val="24"/>
          <w:szCs w:val="24"/>
        </w:rPr>
        <w:t>鉴定，当与抗震加固结合进行时，尚应按</w:t>
      </w:r>
      <w:r>
        <w:rPr>
          <w:rFonts w:hint="default" w:ascii="Times New Roman" w:hAnsi="Times New Roman" w:eastAsia="宋体" w:cs="Times New Roman"/>
          <w:color w:val="auto"/>
          <w:sz w:val="24"/>
          <w:szCs w:val="24"/>
        </w:rPr>
        <w:t>《建筑抗震鉴定标准》GB 50023进行鉴定；</w:t>
      </w:r>
      <w:r>
        <w:rPr>
          <w:rFonts w:hint="default" w:ascii="Times New Roman" w:hAnsi="Times New Roman" w:eastAsia="宋体" w:cs="Times New Roman"/>
          <w:color w:val="auto"/>
          <w:spacing w:val="-7"/>
          <w:sz w:val="24"/>
          <w:szCs w:val="24"/>
        </w:rPr>
        <w:t>也可参照《工业建</w:t>
      </w:r>
      <w:r>
        <w:rPr>
          <w:rFonts w:hint="default" w:ascii="Times New Roman" w:hAnsi="Times New Roman" w:eastAsia="宋体" w:cs="Times New Roman"/>
          <w:color w:val="auto"/>
          <w:spacing w:val="-8"/>
          <w:sz w:val="24"/>
          <w:szCs w:val="24"/>
        </w:rPr>
        <w:t>筑可靠性鉴定标准》GB</w:t>
      </w:r>
      <w:r>
        <w:rPr>
          <w:rFonts w:hint="default" w:ascii="Times New Roman" w:hAnsi="Times New Roman" w:eastAsia="宋体" w:cs="Times New Roman"/>
          <w:color w:val="auto"/>
          <w:spacing w:val="31"/>
          <w:sz w:val="24"/>
          <w:szCs w:val="24"/>
        </w:rPr>
        <w:t xml:space="preserve"> </w:t>
      </w:r>
      <w:r>
        <w:rPr>
          <w:rFonts w:hint="default" w:ascii="Times New Roman" w:hAnsi="Times New Roman" w:eastAsia="宋体" w:cs="Times New Roman"/>
          <w:color w:val="auto"/>
          <w:spacing w:val="-8"/>
          <w:sz w:val="24"/>
          <w:szCs w:val="24"/>
        </w:rPr>
        <w:t>50144、《民用建筑可靠性鉴定标准》GB 50292、《构筑</w:t>
      </w:r>
      <w:r>
        <w:rPr>
          <w:rFonts w:hint="default" w:ascii="Times New Roman" w:hAnsi="Times New Roman" w:eastAsia="宋体" w:cs="Times New Roman"/>
          <w:color w:val="auto"/>
          <w:spacing w:val="-1"/>
          <w:sz w:val="24"/>
          <w:szCs w:val="24"/>
        </w:rPr>
        <w:t>物抗震鉴定标准》GB 50117等标准进行鉴定。</w:t>
      </w:r>
    </w:p>
    <w:p w14:paraId="2722FBEA">
      <w:pPr>
        <w:spacing w:line="360" w:lineRule="exact"/>
        <w:rPr>
          <w:rFonts w:hint="default" w:ascii="Times New Roman" w:hAnsi="Times New Roman" w:eastAsia="宋体" w:cs="Times New Roman"/>
          <w:snapToGrid w:val="0"/>
          <w:color w:val="auto"/>
          <w:kern w:val="0"/>
          <w:sz w:val="24"/>
          <w:szCs w:val="24"/>
        </w:rPr>
      </w:pPr>
      <w:r>
        <w:rPr>
          <w:rFonts w:hint="default" w:ascii="Times New Roman" w:hAnsi="Times New Roman" w:eastAsia="宋体" w:cs="Times New Roman"/>
          <w:b/>
          <w:bCs/>
          <w:snapToGrid w:val="0"/>
          <w:color w:val="auto"/>
          <w:kern w:val="0"/>
          <w:sz w:val="24"/>
          <w:szCs w:val="24"/>
          <w:lang w:eastAsia="zh-CN"/>
        </w:rPr>
        <w:t>8.</w:t>
      </w:r>
      <w:r>
        <w:rPr>
          <w:rFonts w:hint="default" w:ascii="Times New Roman" w:hAnsi="Times New Roman" w:eastAsia="宋体" w:cs="Times New Roman"/>
          <w:b/>
          <w:bCs/>
          <w:snapToGrid w:val="0"/>
          <w:color w:val="auto"/>
          <w:kern w:val="0"/>
          <w:sz w:val="24"/>
          <w:szCs w:val="24"/>
          <w:lang w:val="en-US" w:eastAsia="zh-CN"/>
        </w:rPr>
        <w:t>1.2</w:t>
      </w:r>
      <w:r>
        <w:rPr>
          <w:rFonts w:hint="default" w:ascii="Times New Roman" w:hAnsi="Times New Roman" w:eastAsia="宋体" w:cs="Times New Roman"/>
          <w:snapToGrid w:val="0"/>
          <w:color w:val="auto"/>
          <w:kern w:val="0"/>
          <w:sz w:val="24"/>
          <w:szCs w:val="24"/>
        </w:rPr>
        <w:t xml:space="preserve"> 钢结构的抗震鉴定，应根据结构体系的合理性，材料的实际强度、结构构件连接的可靠性、构件长细比、板件宽厚比和非结构构件与主体结构的拉结构造的可靠性、结构与构件截面的损伤、锈蚀、偏差、断面削弱及构件过度变形的影响对抗震承载力的综合分析而完成。</w:t>
      </w:r>
    </w:p>
    <w:p w14:paraId="682DC612">
      <w:pPr>
        <w:spacing w:line="360" w:lineRule="exact"/>
        <w:rPr>
          <w:rFonts w:hint="default" w:ascii="Times New Roman" w:hAnsi="Times New Roman" w:eastAsia="宋体" w:cs="Times New Roman"/>
          <w:snapToGrid w:val="0"/>
          <w:color w:val="auto"/>
          <w:kern w:val="0"/>
          <w:sz w:val="24"/>
          <w:szCs w:val="24"/>
        </w:rPr>
      </w:pPr>
      <w:r>
        <w:rPr>
          <w:rFonts w:hint="default" w:ascii="Times New Roman" w:hAnsi="Times New Roman" w:eastAsia="宋体" w:cs="Times New Roman"/>
          <w:b/>
          <w:bCs/>
          <w:snapToGrid w:val="0"/>
          <w:color w:val="auto"/>
          <w:kern w:val="0"/>
          <w:sz w:val="24"/>
          <w:szCs w:val="24"/>
          <w:lang w:eastAsia="zh-CN"/>
        </w:rPr>
        <w:t>8.</w:t>
      </w:r>
      <w:r>
        <w:rPr>
          <w:rFonts w:hint="default" w:ascii="Times New Roman" w:hAnsi="Times New Roman" w:eastAsia="宋体" w:cs="Times New Roman"/>
          <w:b/>
          <w:bCs/>
          <w:snapToGrid w:val="0"/>
          <w:color w:val="auto"/>
          <w:kern w:val="0"/>
          <w:sz w:val="24"/>
          <w:szCs w:val="24"/>
          <w:lang w:val="en-US" w:eastAsia="zh-CN"/>
        </w:rPr>
        <w:t>1.3</w:t>
      </w:r>
      <w:r>
        <w:rPr>
          <w:rFonts w:hint="default" w:ascii="Times New Roman" w:hAnsi="Times New Roman" w:eastAsia="宋体" w:cs="Times New Roman"/>
          <w:snapToGrid w:val="0"/>
          <w:color w:val="auto"/>
          <w:kern w:val="0"/>
          <w:sz w:val="24"/>
          <w:szCs w:val="24"/>
        </w:rPr>
        <w:t xml:space="preserve"> 钢结构抗震鉴定的内容可分为二级进行:</w:t>
      </w:r>
    </w:p>
    <w:p w14:paraId="6A111A5E">
      <w:pPr>
        <w:pStyle w:val="12"/>
        <w:ind w:firstLine="422"/>
        <w:rPr>
          <w:rFonts w:hint="default" w:ascii="Times New Roman" w:hAnsi="Times New Roman" w:eastAsia="宋体" w:cs="Times New Roman"/>
          <w:snapToGrid w:val="0"/>
          <w:color w:val="auto"/>
          <w:kern w:val="0"/>
          <w:sz w:val="24"/>
          <w:szCs w:val="24"/>
        </w:rPr>
      </w:pPr>
      <w:r>
        <w:rPr>
          <w:rFonts w:hint="default" w:ascii="Times New Roman" w:hAnsi="Times New Roman" w:eastAsia="宋体" w:cs="Times New Roman"/>
          <w:snapToGrid w:val="0"/>
          <w:color w:val="auto"/>
          <w:kern w:val="0"/>
          <w:sz w:val="24"/>
          <w:szCs w:val="24"/>
        </w:rPr>
        <w:t>1 第一级为抗震措施鉴定。</w:t>
      </w:r>
    </w:p>
    <w:p w14:paraId="5A5D3A3C">
      <w:pPr>
        <w:pStyle w:val="12"/>
        <w:ind w:firstLine="422"/>
        <w:rPr>
          <w:rFonts w:hint="default" w:ascii="Times New Roman" w:hAnsi="Times New Roman" w:eastAsia="宋体" w:cs="Times New Roman"/>
          <w:snapToGrid w:val="0"/>
          <w:color w:val="auto"/>
          <w:kern w:val="0"/>
          <w:sz w:val="24"/>
          <w:szCs w:val="24"/>
        </w:rPr>
      </w:pPr>
      <w:r>
        <w:rPr>
          <w:rFonts w:hint="default" w:ascii="Times New Roman" w:hAnsi="Times New Roman" w:eastAsia="宋体" w:cs="Times New Roman"/>
          <w:snapToGrid w:val="0"/>
          <w:color w:val="auto"/>
          <w:kern w:val="0"/>
          <w:sz w:val="24"/>
          <w:szCs w:val="24"/>
        </w:rPr>
        <w:t>2</w:t>
      </w:r>
      <w:r>
        <w:rPr>
          <w:rFonts w:hint="default" w:ascii="Times New Roman" w:hAnsi="Times New Roman" w:eastAsia="宋体" w:cs="Times New Roman"/>
          <w:snapToGrid w:val="0"/>
          <w:color w:val="auto"/>
          <w:kern w:val="0"/>
          <w:sz w:val="24"/>
          <w:szCs w:val="24"/>
          <w:lang w:val="en-US" w:eastAsia="zh-CN"/>
        </w:rPr>
        <w:t xml:space="preserve"> </w:t>
      </w:r>
      <w:r>
        <w:rPr>
          <w:rFonts w:hint="default" w:ascii="Times New Roman" w:hAnsi="Times New Roman" w:eastAsia="宋体" w:cs="Times New Roman"/>
          <w:snapToGrid w:val="0"/>
          <w:color w:val="auto"/>
          <w:kern w:val="0"/>
          <w:sz w:val="24"/>
          <w:szCs w:val="24"/>
        </w:rPr>
        <w:t>第二级为多遇地震作用下的承载力和结构变形验算鉴定，对有一定要求的钢结构，还包括罕遇地震作用下的抗倒塌或抗失效性能分析鉴定。</w:t>
      </w:r>
    </w:p>
    <w:p w14:paraId="675EE683">
      <w:pPr>
        <w:spacing w:line="360" w:lineRule="exact"/>
        <w:rPr>
          <w:rFonts w:hint="default" w:ascii="Times New Roman" w:hAnsi="Times New Roman" w:eastAsia="宋体" w:cs="Times New Roman"/>
          <w:color w:val="auto"/>
          <w:spacing w:val="-1"/>
          <w:sz w:val="24"/>
          <w:szCs w:val="24"/>
        </w:rPr>
      </w:pPr>
      <w:r>
        <w:rPr>
          <w:rFonts w:hint="default" w:ascii="Times New Roman" w:hAnsi="Times New Roman" w:eastAsia="宋体" w:cs="Times New Roman"/>
          <w:b/>
          <w:bCs/>
          <w:snapToGrid w:val="0"/>
          <w:color w:val="auto"/>
          <w:kern w:val="0"/>
          <w:sz w:val="24"/>
          <w:szCs w:val="24"/>
          <w:lang w:eastAsia="zh-CN"/>
        </w:rPr>
        <w:t>8.</w:t>
      </w:r>
      <w:r>
        <w:rPr>
          <w:rFonts w:hint="default" w:ascii="Times New Roman" w:hAnsi="Times New Roman" w:eastAsia="宋体" w:cs="Times New Roman"/>
          <w:b/>
          <w:bCs/>
          <w:snapToGrid w:val="0"/>
          <w:color w:val="auto"/>
          <w:kern w:val="0"/>
          <w:sz w:val="24"/>
          <w:szCs w:val="24"/>
          <w:lang w:val="en-US" w:eastAsia="zh-CN"/>
        </w:rPr>
        <w:t>1.4</w:t>
      </w:r>
      <w:r>
        <w:rPr>
          <w:rFonts w:hint="default" w:ascii="Times New Roman" w:hAnsi="Times New Roman" w:eastAsia="宋体" w:cs="Times New Roman"/>
          <w:snapToGrid w:val="0"/>
          <w:color w:val="auto"/>
          <w:kern w:val="0"/>
          <w:sz w:val="24"/>
          <w:szCs w:val="24"/>
        </w:rPr>
        <w:t xml:space="preserve"> 第二级鉴定应根据承载力和变形的验算结果进行鉴定，结构构件和节点在地震作用下的效应组合设计值按现行国家标准《建筑抗震设计标准》GB</w:t>
      </w:r>
      <w:r>
        <w:rPr>
          <w:rFonts w:hint="default" w:ascii="Times New Roman" w:hAnsi="Times New Roman" w:eastAsia="宋体" w:cs="Times New Roman"/>
          <w:snapToGrid w:val="0"/>
          <w:color w:val="auto"/>
          <w:kern w:val="0"/>
          <w:sz w:val="24"/>
          <w:szCs w:val="24"/>
          <w:lang w:val="en-US" w:eastAsia="zh-CN"/>
        </w:rPr>
        <w:t xml:space="preserve">/T </w:t>
      </w:r>
      <w:r>
        <w:rPr>
          <w:rFonts w:hint="default" w:ascii="Times New Roman" w:hAnsi="Times New Roman" w:eastAsia="宋体" w:cs="Times New Roman"/>
          <w:snapToGrid w:val="0"/>
          <w:color w:val="auto"/>
          <w:kern w:val="0"/>
          <w:sz w:val="24"/>
          <w:szCs w:val="24"/>
        </w:rPr>
        <w:t>50011规定，当承载力和变形的验算结果符合要求时，第二类项目可鉴定为满足。</w:t>
      </w:r>
    </w:p>
    <w:p w14:paraId="57A02591">
      <w:pPr>
        <w:keepNext w:val="0"/>
        <w:keepLines w:val="0"/>
        <w:pageBreakBefore w:val="0"/>
        <w:numPr>
          <w:ilvl w:val="0"/>
          <w:numId w:val="0"/>
        </w:numPr>
        <w:tabs>
          <w:tab w:val="left" w:pos="680"/>
          <w:tab w:val="left" w:pos="1134"/>
          <w:tab w:val="clear" w:pos="3261"/>
        </w:tabs>
        <w:wordWrap/>
        <w:overflowPunct/>
        <w:topLinePunct w:val="0"/>
        <w:bidi w:val="0"/>
        <w:adjustRightInd w:val="0"/>
        <w:spacing w:line="360" w:lineRule="exact"/>
        <w:ind w:leftChars="0"/>
        <w:jc w:val="center"/>
        <w:rPr>
          <w:rFonts w:hint="default" w:ascii="Times New Roman" w:hAnsi="Times New Roman" w:eastAsia="宋体" w:cs="Times New Roman"/>
          <w:color w:val="auto"/>
          <w:spacing w:val="-1"/>
          <w:sz w:val="24"/>
          <w:szCs w:val="24"/>
        </w:rPr>
      </w:pPr>
      <w:r>
        <w:rPr>
          <w:rFonts w:hint="default" w:ascii="Times New Roman" w:hAnsi="Times New Roman" w:eastAsia="宋体" w:cs="Times New Roman"/>
          <w:color w:val="auto"/>
          <w:sz w:val="24"/>
          <w:szCs w:val="24"/>
        </w:rPr>
        <w:t>II 抗震加固</w:t>
      </w:r>
    </w:p>
    <w:p w14:paraId="529D3507">
      <w:pPr>
        <w:spacing w:line="360" w:lineRule="exact"/>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pacing w:val="-2"/>
          <w:sz w:val="24"/>
          <w:szCs w:val="24"/>
          <w:lang w:eastAsia="zh-CN"/>
        </w:rPr>
        <w:t>8.</w:t>
      </w:r>
      <w:r>
        <w:rPr>
          <w:rFonts w:hint="default" w:ascii="Times New Roman" w:hAnsi="Times New Roman" w:eastAsia="宋体" w:cs="Times New Roman"/>
          <w:b/>
          <w:bCs/>
          <w:color w:val="auto"/>
          <w:spacing w:val="-2"/>
          <w:sz w:val="24"/>
          <w:szCs w:val="24"/>
        </w:rPr>
        <w:t>1.</w:t>
      </w:r>
      <w:r>
        <w:rPr>
          <w:rFonts w:hint="default" w:ascii="Times New Roman" w:hAnsi="Times New Roman" w:eastAsia="宋体" w:cs="Times New Roman"/>
          <w:b/>
          <w:bCs/>
          <w:color w:val="auto"/>
          <w:spacing w:val="-2"/>
          <w:sz w:val="24"/>
          <w:szCs w:val="24"/>
          <w:lang w:val="en-US" w:eastAsia="zh-CN"/>
        </w:rPr>
        <w:t>5</w:t>
      </w:r>
      <w:r>
        <w:rPr>
          <w:rFonts w:hint="default" w:ascii="Times New Roman" w:hAnsi="Times New Roman" w:eastAsia="宋体" w:cs="Times New Roman"/>
          <w:bCs/>
          <w:color w:val="auto"/>
          <w:spacing w:val="-2"/>
          <w:sz w:val="24"/>
          <w:szCs w:val="24"/>
        </w:rPr>
        <w:t xml:space="preserve"> </w:t>
      </w:r>
      <w:r>
        <w:rPr>
          <w:rFonts w:hint="default" w:ascii="Times New Roman" w:hAnsi="Times New Roman" w:eastAsia="宋体" w:cs="Times New Roman"/>
          <w:color w:val="auto"/>
          <w:spacing w:val="-2"/>
          <w:sz w:val="24"/>
          <w:szCs w:val="24"/>
        </w:rPr>
        <w:t>钢结构加固选用的钢材、连接材料应</w:t>
      </w:r>
      <w:r>
        <w:rPr>
          <w:rFonts w:hint="default" w:ascii="Times New Roman" w:hAnsi="Times New Roman" w:eastAsia="宋体" w:cs="Times New Roman"/>
          <w:color w:val="auto"/>
          <w:spacing w:val="-3"/>
          <w:sz w:val="24"/>
          <w:szCs w:val="24"/>
        </w:rPr>
        <w:t>满足《钢结构设计标准》GB 50017的</w:t>
      </w:r>
      <w:r>
        <w:rPr>
          <w:rFonts w:hint="default" w:ascii="Times New Roman" w:hAnsi="Times New Roman" w:eastAsia="宋体" w:cs="Times New Roman"/>
          <w:color w:val="auto"/>
          <w:spacing w:val="-1"/>
          <w:sz w:val="24"/>
          <w:szCs w:val="24"/>
        </w:rPr>
        <w:t>相关要求。承重结构所用的钢材应具有屈服强</w:t>
      </w:r>
      <w:r>
        <w:rPr>
          <w:rFonts w:hint="default" w:ascii="Times New Roman" w:hAnsi="Times New Roman" w:eastAsia="宋体" w:cs="Times New Roman"/>
          <w:color w:val="auto"/>
          <w:spacing w:val="-2"/>
          <w:sz w:val="24"/>
          <w:szCs w:val="24"/>
        </w:rPr>
        <w:t>度、抗拉强度、断后伸长率和硫、</w:t>
      </w:r>
      <w:r>
        <w:rPr>
          <w:rFonts w:hint="default" w:ascii="Times New Roman" w:hAnsi="Times New Roman" w:eastAsia="宋体" w:cs="Times New Roman"/>
          <w:color w:val="auto"/>
          <w:spacing w:val="-3"/>
          <w:sz w:val="24"/>
          <w:szCs w:val="24"/>
        </w:rPr>
        <w:t>磷含量的合格保证，对焊接结构尚应具有碳当量的合格保证。焊接承重结构以及重要的非焊接承重结构采用的钢材，应具有冷弯试验的合格保证；对直接承受动力</w:t>
      </w:r>
      <w:r>
        <w:rPr>
          <w:rFonts w:hint="default" w:ascii="Times New Roman" w:hAnsi="Times New Roman" w:eastAsia="宋体" w:cs="Times New Roman"/>
          <w:color w:val="auto"/>
          <w:sz w:val="24"/>
          <w:szCs w:val="24"/>
        </w:rPr>
        <w:t>荷载或需验算疲劳的构件所用钢材，尚应具有</w:t>
      </w:r>
      <w:r>
        <w:rPr>
          <w:rFonts w:hint="default" w:ascii="Times New Roman" w:hAnsi="Times New Roman" w:eastAsia="宋体" w:cs="Times New Roman"/>
          <w:color w:val="auto"/>
          <w:spacing w:val="-1"/>
          <w:sz w:val="24"/>
          <w:szCs w:val="24"/>
        </w:rPr>
        <w:t>冲击韧性的合格保证。</w:t>
      </w:r>
    </w:p>
    <w:p w14:paraId="63561A50">
      <w:pPr>
        <w:pStyle w:val="12"/>
        <w:ind w:firstLine="394"/>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pacing w:val="-7"/>
          <w:sz w:val="24"/>
          <w:szCs w:val="24"/>
          <w:lang w:eastAsia="zh-CN"/>
        </w:rPr>
        <w:t>1</w:t>
      </w:r>
      <w:r>
        <w:rPr>
          <w:rFonts w:hint="default" w:ascii="Times New Roman" w:hAnsi="Times New Roman" w:eastAsia="宋体" w:cs="Times New Roman"/>
          <w:bCs/>
          <w:color w:val="auto"/>
          <w:spacing w:val="-7"/>
          <w:sz w:val="24"/>
          <w:szCs w:val="24"/>
          <w:lang w:eastAsia="zh-CN"/>
        </w:rPr>
        <w:t xml:space="preserve"> </w:t>
      </w:r>
      <w:r>
        <w:rPr>
          <w:rFonts w:hint="default" w:ascii="Times New Roman" w:hAnsi="Times New Roman" w:eastAsia="宋体" w:cs="Times New Roman"/>
          <w:color w:val="auto"/>
          <w:spacing w:val="-7"/>
          <w:sz w:val="24"/>
          <w:szCs w:val="24"/>
          <w:lang w:eastAsia="zh-CN"/>
        </w:rPr>
        <w:t>加固件的钢号应与原构件的钢号相同或相当；其质量应符合《碳素结构钢》</w:t>
      </w:r>
      <w:r>
        <w:rPr>
          <w:rFonts w:hint="default" w:ascii="Times New Roman" w:hAnsi="Times New Roman" w:eastAsia="宋体" w:cs="Times New Roman"/>
          <w:color w:val="auto"/>
          <w:spacing w:val="-8"/>
          <w:sz w:val="24"/>
          <w:szCs w:val="24"/>
          <w:lang w:eastAsia="zh-CN"/>
        </w:rPr>
        <w:t>GB/T 700、《低合金高强度结构钢》GB/T</w:t>
      </w:r>
      <w:r>
        <w:rPr>
          <w:rFonts w:hint="default" w:ascii="Times New Roman" w:hAnsi="Times New Roman" w:eastAsia="宋体" w:cs="Times New Roman"/>
          <w:color w:val="auto"/>
          <w:spacing w:val="25"/>
          <w:w w:val="101"/>
          <w:sz w:val="24"/>
          <w:szCs w:val="24"/>
          <w:lang w:eastAsia="zh-CN"/>
        </w:rPr>
        <w:t xml:space="preserve"> </w:t>
      </w:r>
      <w:r>
        <w:rPr>
          <w:rFonts w:hint="default" w:ascii="Times New Roman" w:hAnsi="Times New Roman" w:eastAsia="宋体" w:cs="Times New Roman"/>
          <w:color w:val="auto"/>
          <w:spacing w:val="-8"/>
          <w:sz w:val="24"/>
          <w:szCs w:val="24"/>
          <w:lang w:eastAsia="zh-CN"/>
        </w:rPr>
        <w:t>1591、《建筑结构用钢板》GB/T</w:t>
      </w:r>
      <w:r>
        <w:rPr>
          <w:rFonts w:hint="default" w:ascii="Times New Roman" w:hAnsi="Times New Roman" w:eastAsia="宋体" w:cs="Times New Roman"/>
          <w:color w:val="auto"/>
          <w:spacing w:val="26"/>
          <w:sz w:val="24"/>
          <w:szCs w:val="24"/>
          <w:lang w:eastAsia="zh-CN"/>
        </w:rPr>
        <w:t xml:space="preserve"> </w:t>
      </w:r>
      <w:r>
        <w:rPr>
          <w:rFonts w:hint="default" w:ascii="Times New Roman" w:hAnsi="Times New Roman" w:eastAsia="宋体" w:cs="Times New Roman"/>
          <w:color w:val="auto"/>
          <w:spacing w:val="-8"/>
          <w:sz w:val="24"/>
          <w:szCs w:val="24"/>
          <w:lang w:eastAsia="zh-CN"/>
        </w:rPr>
        <w:t>19879</w:t>
      </w:r>
      <w:r>
        <w:rPr>
          <w:rFonts w:hint="default" w:ascii="Times New Roman" w:hAnsi="Times New Roman" w:eastAsia="宋体" w:cs="Times New Roman"/>
          <w:color w:val="auto"/>
          <w:sz w:val="24"/>
          <w:szCs w:val="24"/>
          <w:lang w:eastAsia="zh-CN"/>
        </w:rPr>
        <w:t>的有关规定；其韧性、塑性及焊接性能应能与原构件钢材相匹配；不得使用无出厂合格保证、无标志的钢材；表面原始锈蚀等级为D级的钢材不应用作结构钢。</w:t>
      </w:r>
    </w:p>
    <w:p w14:paraId="2CAEF985">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z w:val="24"/>
          <w:szCs w:val="24"/>
          <w:lang w:eastAsia="zh-CN"/>
        </w:rPr>
        <w:t>2</w:t>
      </w:r>
      <w:r>
        <w:rPr>
          <w:rFonts w:hint="default" w:ascii="Times New Roman" w:hAnsi="Times New Roman" w:eastAsia="宋体" w:cs="Times New Roman"/>
          <w:bCs/>
          <w:color w:val="auto"/>
          <w:sz w:val="24"/>
          <w:szCs w:val="24"/>
          <w:lang w:eastAsia="zh-CN"/>
        </w:rPr>
        <w:t xml:space="preserve"> </w:t>
      </w:r>
      <w:r>
        <w:rPr>
          <w:rFonts w:hint="default" w:ascii="Times New Roman" w:hAnsi="Times New Roman" w:eastAsia="宋体" w:cs="Times New Roman"/>
          <w:color w:val="auto"/>
          <w:sz w:val="24"/>
          <w:szCs w:val="24"/>
          <w:lang w:eastAsia="zh-CN"/>
        </w:rPr>
        <w:t>处于外露环境，且对耐腐蚀有特殊要求或处于侵蚀性介质环境中的承重结构，可采用Q235NH、Q355NH和Q415NH牌号的耐候结构钢，其质量应符合国</w:t>
      </w:r>
      <w:r>
        <w:rPr>
          <w:rFonts w:hint="default" w:ascii="Times New Roman" w:hAnsi="Times New Roman" w:eastAsia="宋体" w:cs="Times New Roman"/>
          <w:color w:val="auto"/>
          <w:spacing w:val="-2"/>
          <w:sz w:val="24"/>
          <w:szCs w:val="24"/>
          <w:lang w:eastAsia="zh-CN"/>
        </w:rPr>
        <w:t>家标准《耐候结构钢》GB/T 4171的规定。</w:t>
      </w:r>
    </w:p>
    <w:p w14:paraId="72BEC785">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z w:val="24"/>
          <w:szCs w:val="24"/>
          <w:lang w:eastAsia="zh-CN"/>
        </w:rPr>
        <w:t>3</w:t>
      </w:r>
      <w:r>
        <w:rPr>
          <w:rFonts w:hint="default" w:ascii="Times New Roman" w:hAnsi="Times New Roman" w:eastAsia="宋体" w:cs="Times New Roman"/>
          <w:bCs/>
          <w:color w:val="auto"/>
          <w:sz w:val="24"/>
          <w:szCs w:val="24"/>
          <w:lang w:eastAsia="zh-CN"/>
        </w:rPr>
        <w:t xml:space="preserve"> </w:t>
      </w:r>
      <w:r>
        <w:rPr>
          <w:rFonts w:hint="default" w:ascii="Times New Roman" w:hAnsi="Times New Roman" w:eastAsia="宋体" w:cs="Times New Roman"/>
          <w:color w:val="auto"/>
          <w:sz w:val="24"/>
          <w:szCs w:val="24"/>
          <w:lang w:eastAsia="zh-CN"/>
        </w:rPr>
        <w:t>手工焊接所用的焊条应符合国家标准《非合金钢及细晶</w:t>
      </w:r>
      <w:r>
        <w:rPr>
          <w:rFonts w:hint="default" w:ascii="Times New Roman" w:hAnsi="Times New Roman" w:eastAsia="宋体" w:cs="Times New Roman"/>
          <w:color w:val="auto"/>
          <w:spacing w:val="-1"/>
          <w:sz w:val="24"/>
          <w:szCs w:val="24"/>
          <w:lang w:eastAsia="zh-CN"/>
        </w:rPr>
        <w:t>粒钢焊条》</w:t>
      </w:r>
      <w:r>
        <w:rPr>
          <w:rFonts w:hint="default" w:ascii="Times New Roman" w:hAnsi="Times New Roman" w:eastAsia="宋体" w:cs="Times New Roman"/>
          <w:color w:val="auto"/>
          <w:spacing w:val="-2"/>
          <w:sz w:val="24"/>
          <w:szCs w:val="24"/>
          <w:lang w:eastAsia="zh-CN"/>
        </w:rPr>
        <w:t>GB/T 5117的规定，所选用的焊条型号</w:t>
      </w:r>
      <w:r>
        <w:rPr>
          <w:rFonts w:hint="default" w:ascii="Times New Roman" w:hAnsi="Times New Roman" w:eastAsia="宋体" w:cs="Times New Roman"/>
          <w:color w:val="auto"/>
          <w:sz w:val="24"/>
          <w:szCs w:val="24"/>
          <w:lang w:eastAsia="zh-CN"/>
        </w:rPr>
        <w:t>应与主体金属力学性能相适应；自动焊或</w:t>
      </w:r>
      <w:r>
        <w:rPr>
          <w:rFonts w:hint="default" w:ascii="Times New Roman" w:hAnsi="Times New Roman" w:eastAsia="宋体" w:cs="Times New Roman"/>
          <w:color w:val="auto"/>
          <w:spacing w:val="-4"/>
          <w:sz w:val="24"/>
          <w:szCs w:val="24"/>
          <w:lang w:eastAsia="zh-CN"/>
        </w:rPr>
        <w:t>半自动焊用焊丝应符合国家标准《熔化焊用钢丝》GB/T 14957、</w:t>
      </w:r>
      <w:r>
        <w:rPr>
          <w:rFonts w:hint="default" w:ascii="Times New Roman" w:hAnsi="Times New Roman" w:eastAsia="宋体" w:cs="Times New Roman"/>
          <w:color w:val="auto"/>
          <w:spacing w:val="-5"/>
          <w:sz w:val="24"/>
          <w:szCs w:val="24"/>
          <w:lang w:eastAsia="zh-CN"/>
        </w:rPr>
        <w:t>《气体保护电弧</w:t>
      </w:r>
      <w:r>
        <w:rPr>
          <w:rFonts w:hint="default" w:ascii="Times New Roman" w:hAnsi="Times New Roman" w:eastAsia="宋体" w:cs="Times New Roman"/>
          <w:color w:val="auto"/>
          <w:spacing w:val="-1"/>
          <w:sz w:val="24"/>
          <w:szCs w:val="24"/>
          <w:lang w:eastAsia="zh-CN"/>
        </w:rPr>
        <w:t>焊用碳钢、低合金钢焊丝》GB/T 8110及《非合金钢及细晶粒钢药芯焊丝》</w:t>
      </w:r>
      <w:r>
        <w:rPr>
          <w:rFonts w:hint="default" w:ascii="Times New Roman" w:hAnsi="Times New Roman" w:eastAsia="宋体" w:cs="Times New Roman"/>
          <w:color w:val="auto"/>
          <w:spacing w:val="-4"/>
          <w:sz w:val="24"/>
          <w:szCs w:val="24"/>
          <w:lang w:eastAsia="zh-CN"/>
        </w:rPr>
        <w:t>GB/T 10045、《热强钢药芯焊丝》GB/T</w:t>
      </w:r>
      <w:r>
        <w:rPr>
          <w:rFonts w:hint="default" w:ascii="Times New Roman" w:hAnsi="Times New Roman" w:eastAsia="宋体" w:cs="Times New Roman"/>
          <w:color w:val="auto"/>
          <w:spacing w:val="-4"/>
          <w:sz w:val="24"/>
          <w:szCs w:val="24"/>
          <w:lang w:val="en-US" w:eastAsia="zh-CN"/>
        </w:rPr>
        <w:t xml:space="preserve"> </w:t>
      </w:r>
      <w:r>
        <w:rPr>
          <w:rFonts w:hint="default" w:ascii="Times New Roman" w:hAnsi="Times New Roman" w:eastAsia="宋体" w:cs="Times New Roman"/>
          <w:color w:val="auto"/>
          <w:spacing w:val="-4"/>
          <w:sz w:val="24"/>
          <w:szCs w:val="24"/>
          <w:lang w:eastAsia="zh-CN"/>
        </w:rPr>
        <w:t>174</w:t>
      </w:r>
      <w:r>
        <w:rPr>
          <w:rFonts w:hint="default" w:ascii="Times New Roman" w:hAnsi="Times New Roman" w:eastAsia="宋体" w:cs="Times New Roman"/>
          <w:color w:val="auto"/>
          <w:spacing w:val="-5"/>
          <w:sz w:val="24"/>
          <w:szCs w:val="24"/>
          <w:lang w:eastAsia="zh-CN"/>
        </w:rPr>
        <w:t>93的规定；埋弧焊用焊丝和焊剂应符</w:t>
      </w:r>
      <w:r>
        <w:rPr>
          <w:rFonts w:hint="default" w:ascii="Times New Roman" w:hAnsi="Times New Roman" w:eastAsia="宋体" w:cs="Times New Roman"/>
          <w:color w:val="auto"/>
          <w:sz w:val="24"/>
          <w:szCs w:val="24"/>
          <w:lang w:eastAsia="zh-CN"/>
        </w:rPr>
        <w:t>合国家标准《埋弧焊用非合金钢及细晶粒钢实心焊</w:t>
      </w:r>
      <w:r>
        <w:rPr>
          <w:rFonts w:hint="default" w:ascii="Times New Roman" w:hAnsi="Times New Roman" w:eastAsia="宋体" w:cs="Times New Roman"/>
          <w:color w:val="auto"/>
          <w:spacing w:val="-1"/>
          <w:sz w:val="24"/>
          <w:szCs w:val="24"/>
          <w:lang w:eastAsia="zh-CN"/>
        </w:rPr>
        <w:t>丝、药芯焊丝和焊丝-焊剂组</w:t>
      </w:r>
      <w:r>
        <w:rPr>
          <w:rFonts w:hint="default" w:ascii="Times New Roman" w:hAnsi="Times New Roman" w:eastAsia="宋体" w:cs="Times New Roman"/>
          <w:color w:val="auto"/>
          <w:spacing w:val="-4"/>
          <w:sz w:val="24"/>
          <w:szCs w:val="24"/>
          <w:lang w:eastAsia="zh-CN"/>
        </w:rPr>
        <w:t>合分类要求》GB/T 5293、《埋弧焊用热强钢实心焊丝、药芯焊丝和焊丝-焊</w:t>
      </w:r>
      <w:r>
        <w:rPr>
          <w:rFonts w:hint="default" w:ascii="Times New Roman" w:hAnsi="Times New Roman" w:eastAsia="宋体" w:cs="Times New Roman"/>
          <w:color w:val="auto"/>
          <w:spacing w:val="-5"/>
          <w:sz w:val="24"/>
          <w:szCs w:val="24"/>
          <w:lang w:eastAsia="zh-CN"/>
        </w:rPr>
        <w:t>剂组</w:t>
      </w:r>
      <w:r>
        <w:rPr>
          <w:rFonts w:hint="default" w:ascii="Times New Roman" w:hAnsi="Times New Roman" w:eastAsia="宋体" w:cs="Times New Roman"/>
          <w:color w:val="auto"/>
          <w:sz w:val="24"/>
          <w:szCs w:val="24"/>
          <w:lang w:eastAsia="zh-CN"/>
        </w:rPr>
        <w:t>合分类要求》GB/T 12470的规定。</w:t>
      </w:r>
    </w:p>
    <w:p w14:paraId="281CF8B7">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z w:val="24"/>
          <w:szCs w:val="24"/>
          <w:lang w:eastAsia="zh-CN"/>
        </w:rPr>
        <w:t>4</w:t>
      </w:r>
      <w:r>
        <w:rPr>
          <w:rFonts w:hint="default" w:ascii="Times New Roman" w:hAnsi="Times New Roman" w:eastAsia="宋体" w:cs="Times New Roman"/>
          <w:bCs/>
          <w:color w:val="auto"/>
          <w:sz w:val="24"/>
          <w:szCs w:val="24"/>
          <w:lang w:eastAsia="zh-CN"/>
        </w:rPr>
        <w:t xml:space="preserve"> </w:t>
      </w:r>
      <w:r>
        <w:rPr>
          <w:rFonts w:hint="default" w:ascii="Times New Roman" w:hAnsi="Times New Roman" w:eastAsia="宋体" w:cs="Times New Roman"/>
          <w:color w:val="auto"/>
          <w:sz w:val="24"/>
          <w:szCs w:val="24"/>
          <w:lang w:eastAsia="zh-CN"/>
        </w:rPr>
        <w:t>钢结构连接用4.6级及4.8级普通螺栓应为C级螺栓；5.</w:t>
      </w:r>
      <w:r>
        <w:rPr>
          <w:rFonts w:hint="default" w:ascii="Times New Roman" w:hAnsi="Times New Roman" w:eastAsia="宋体" w:cs="Times New Roman"/>
          <w:color w:val="auto"/>
          <w:spacing w:val="-4"/>
          <w:sz w:val="24"/>
          <w:szCs w:val="24"/>
          <w:lang w:eastAsia="zh-CN"/>
        </w:rPr>
        <w:t>6级及8.8级普通</w:t>
      </w:r>
      <w:r>
        <w:rPr>
          <w:rFonts w:hint="default" w:ascii="Times New Roman" w:hAnsi="Times New Roman" w:eastAsia="宋体" w:cs="Times New Roman"/>
          <w:color w:val="auto"/>
          <w:sz w:val="24"/>
          <w:szCs w:val="24"/>
          <w:lang w:eastAsia="zh-CN"/>
        </w:rPr>
        <w:t>螺栓应为A级或B级螺栓；其性能和质量应符合国家标准《紧固件机械性能螺</w:t>
      </w:r>
      <w:r>
        <w:rPr>
          <w:rFonts w:hint="default" w:ascii="Times New Roman" w:hAnsi="Times New Roman" w:eastAsia="宋体" w:cs="Times New Roman"/>
          <w:color w:val="auto"/>
          <w:spacing w:val="-1"/>
          <w:sz w:val="24"/>
          <w:szCs w:val="24"/>
          <w:lang w:eastAsia="zh-CN"/>
        </w:rPr>
        <w:t>栓、螺钉和螺柱》GB/T 3098.1的</w:t>
      </w:r>
      <w:r>
        <w:rPr>
          <w:rFonts w:hint="default" w:ascii="Times New Roman" w:hAnsi="Times New Roman" w:eastAsia="宋体" w:cs="Times New Roman"/>
          <w:color w:val="auto"/>
          <w:spacing w:val="-2"/>
          <w:sz w:val="24"/>
          <w:szCs w:val="24"/>
          <w:lang w:eastAsia="zh-CN"/>
        </w:rPr>
        <w:t>规定。C级螺栓与A级、B级螺栓的规格及尺</w:t>
      </w:r>
      <w:r>
        <w:rPr>
          <w:rFonts w:hint="default" w:ascii="Times New Roman" w:hAnsi="Times New Roman" w:eastAsia="宋体" w:cs="Times New Roman"/>
          <w:color w:val="auto"/>
          <w:spacing w:val="-11"/>
          <w:sz w:val="24"/>
          <w:szCs w:val="24"/>
          <w:lang w:eastAsia="zh-CN"/>
        </w:rPr>
        <w:t>寸应分别符合国家标准《六角头螺栓C级》GB/T</w:t>
      </w:r>
      <w:r>
        <w:rPr>
          <w:rFonts w:hint="default" w:ascii="Times New Roman" w:hAnsi="Times New Roman" w:eastAsia="宋体" w:cs="Times New Roman"/>
          <w:color w:val="auto"/>
          <w:spacing w:val="11"/>
          <w:sz w:val="24"/>
          <w:szCs w:val="24"/>
          <w:lang w:eastAsia="zh-CN"/>
        </w:rPr>
        <w:t xml:space="preserve"> </w:t>
      </w:r>
      <w:r>
        <w:rPr>
          <w:rFonts w:hint="default" w:ascii="Times New Roman" w:hAnsi="Times New Roman" w:eastAsia="宋体" w:cs="Times New Roman"/>
          <w:color w:val="auto"/>
          <w:spacing w:val="-11"/>
          <w:sz w:val="24"/>
          <w:szCs w:val="24"/>
          <w:lang w:eastAsia="zh-CN"/>
        </w:rPr>
        <w:t>5780与</w:t>
      </w:r>
      <w:r>
        <w:rPr>
          <w:rFonts w:hint="default" w:ascii="Times New Roman" w:hAnsi="Times New Roman" w:eastAsia="宋体" w:cs="Times New Roman"/>
          <w:color w:val="auto"/>
          <w:spacing w:val="-12"/>
          <w:sz w:val="24"/>
          <w:szCs w:val="24"/>
          <w:lang w:eastAsia="zh-CN"/>
        </w:rPr>
        <w:t>《六角头螺栓》GB/T 5782</w:t>
      </w:r>
      <w:r>
        <w:rPr>
          <w:rFonts w:hint="default" w:ascii="Times New Roman" w:hAnsi="Times New Roman" w:eastAsia="宋体" w:cs="Times New Roman"/>
          <w:color w:val="auto"/>
          <w:sz w:val="24"/>
          <w:szCs w:val="24"/>
          <w:lang w:eastAsia="zh-CN"/>
        </w:rPr>
        <w:t>的规定。钢结构用大六角高强度螺栓应符合国家标准《钢结构用高强度大六角头</w:t>
      </w:r>
      <w:r>
        <w:rPr>
          <w:rFonts w:hint="default" w:ascii="Times New Roman" w:hAnsi="Times New Roman" w:eastAsia="宋体" w:cs="Times New Roman"/>
          <w:color w:val="auto"/>
          <w:spacing w:val="-7"/>
          <w:sz w:val="24"/>
          <w:szCs w:val="24"/>
          <w:lang w:eastAsia="zh-CN"/>
        </w:rPr>
        <w:t>螺栓》GB/T</w:t>
      </w:r>
      <w:r>
        <w:rPr>
          <w:rFonts w:hint="default" w:ascii="Times New Roman" w:hAnsi="Times New Roman" w:eastAsia="宋体" w:cs="Times New Roman"/>
          <w:color w:val="auto"/>
          <w:spacing w:val="35"/>
          <w:sz w:val="24"/>
          <w:szCs w:val="24"/>
          <w:lang w:eastAsia="zh-CN"/>
        </w:rPr>
        <w:t xml:space="preserve"> </w:t>
      </w:r>
      <w:r>
        <w:rPr>
          <w:rFonts w:hint="default" w:ascii="Times New Roman" w:hAnsi="Times New Roman" w:eastAsia="宋体" w:cs="Times New Roman"/>
          <w:color w:val="auto"/>
          <w:spacing w:val="-7"/>
          <w:sz w:val="24"/>
          <w:szCs w:val="24"/>
          <w:lang w:eastAsia="zh-CN"/>
        </w:rPr>
        <w:t>1228、《钢结构用高强度大六角螺母》GB/T</w:t>
      </w:r>
      <w:r>
        <w:rPr>
          <w:rFonts w:hint="default" w:ascii="Times New Roman" w:hAnsi="Times New Roman" w:eastAsia="宋体" w:cs="Times New Roman"/>
          <w:color w:val="auto"/>
          <w:spacing w:val="26"/>
          <w:sz w:val="24"/>
          <w:szCs w:val="24"/>
          <w:lang w:eastAsia="zh-CN"/>
        </w:rPr>
        <w:t xml:space="preserve"> </w:t>
      </w:r>
      <w:r>
        <w:rPr>
          <w:rFonts w:hint="default" w:ascii="Times New Roman" w:hAnsi="Times New Roman" w:eastAsia="宋体" w:cs="Times New Roman"/>
          <w:color w:val="auto"/>
          <w:spacing w:val="-7"/>
          <w:sz w:val="24"/>
          <w:szCs w:val="24"/>
          <w:lang w:eastAsia="zh-CN"/>
        </w:rPr>
        <w:t>1229的规定。钢结构用</w:t>
      </w:r>
      <w:r>
        <w:rPr>
          <w:rFonts w:hint="default" w:ascii="Times New Roman" w:hAnsi="Times New Roman" w:eastAsia="宋体" w:cs="Times New Roman"/>
          <w:color w:val="auto"/>
          <w:sz w:val="24"/>
          <w:szCs w:val="24"/>
          <w:lang w:eastAsia="zh-CN"/>
        </w:rPr>
        <w:t>扭剪型高强度螺栓应符合国家标准《钢结构用扭剪型</w:t>
      </w:r>
      <w:r>
        <w:rPr>
          <w:rFonts w:hint="default" w:ascii="Times New Roman" w:hAnsi="Times New Roman" w:eastAsia="宋体" w:cs="Times New Roman"/>
          <w:color w:val="auto"/>
          <w:spacing w:val="-1"/>
          <w:sz w:val="24"/>
          <w:szCs w:val="24"/>
          <w:lang w:eastAsia="zh-CN"/>
        </w:rPr>
        <w:t>高强度螺栓连接副》GB/T</w:t>
      </w:r>
      <w:r>
        <w:rPr>
          <w:rFonts w:hint="default" w:ascii="Times New Roman" w:hAnsi="Times New Roman" w:eastAsia="宋体" w:cs="Times New Roman"/>
          <w:color w:val="auto"/>
          <w:sz w:val="24"/>
          <w:szCs w:val="24"/>
          <w:lang w:eastAsia="zh-CN"/>
        </w:rPr>
        <w:t xml:space="preserve"> </w:t>
      </w:r>
      <w:r>
        <w:rPr>
          <w:rFonts w:hint="default" w:ascii="Times New Roman" w:hAnsi="Times New Roman" w:eastAsia="宋体" w:cs="Times New Roman"/>
          <w:color w:val="auto"/>
          <w:spacing w:val="-1"/>
          <w:sz w:val="24"/>
          <w:szCs w:val="24"/>
          <w:lang w:eastAsia="zh-CN"/>
        </w:rPr>
        <w:t>3632的规定。螺栓球网架用高强度螺栓应符合国家标准《钢网架螺栓</w:t>
      </w:r>
      <w:r>
        <w:rPr>
          <w:rFonts w:hint="default" w:ascii="Times New Roman" w:hAnsi="Times New Roman" w:eastAsia="宋体" w:cs="Times New Roman"/>
          <w:color w:val="auto"/>
          <w:spacing w:val="-2"/>
          <w:sz w:val="24"/>
          <w:szCs w:val="24"/>
          <w:lang w:eastAsia="zh-CN"/>
        </w:rPr>
        <w:t>球节点用</w:t>
      </w:r>
      <w:r>
        <w:rPr>
          <w:rFonts w:hint="default" w:ascii="Times New Roman" w:hAnsi="Times New Roman" w:eastAsia="宋体" w:cs="Times New Roman"/>
          <w:color w:val="auto"/>
          <w:spacing w:val="-4"/>
          <w:sz w:val="24"/>
          <w:szCs w:val="24"/>
          <w:lang w:eastAsia="zh-CN"/>
        </w:rPr>
        <w:t>高强度螺栓》GB/T</w:t>
      </w:r>
      <w:r>
        <w:rPr>
          <w:rFonts w:hint="default" w:ascii="Times New Roman" w:hAnsi="Times New Roman" w:eastAsia="宋体" w:cs="Times New Roman"/>
          <w:color w:val="auto"/>
          <w:spacing w:val="31"/>
          <w:w w:val="101"/>
          <w:sz w:val="24"/>
          <w:szCs w:val="24"/>
          <w:lang w:eastAsia="zh-CN"/>
        </w:rPr>
        <w:t xml:space="preserve"> </w:t>
      </w:r>
      <w:r>
        <w:rPr>
          <w:rFonts w:hint="default" w:ascii="Times New Roman" w:hAnsi="Times New Roman" w:eastAsia="宋体" w:cs="Times New Roman"/>
          <w:color w:val="auto"/>
          <w:spacing w:val="-4"/>
          <w:sz w:val="24"/>
          <w:szCs w:val="24"/>
          <w:lang w:eastAsia="zh-CN"/>
        </w:rPr>
        <w:t>16939的规定。</w:t>
      </w:r>
    </w:p>
    <w:p w14:paraId="37AD1208">
      <w:pPr>
        <w:pStyle w:val="12"/>
        <w:ind w:firstLine="422"/>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b/>
          <w:bCs/>
          <w:color w:val="auto"/>
          <w:sz w:val="24"/>
          <w:szCs w:val="24"/>
          <w:lang w:eastAsia="zh-CN"/>
        </w:rPr>
        <w:t>5</w:t>
      </w:r>
      <w:r>
        <w:rPr>
          <w:rFonts w:hint="default" w:ascii="Times New Roman" w:hAnsi="Times New Roman" w:eastAsia="宋体" w:cs="Times New Roman"/>
          <w:bCs/>
          <w:color w:val="auto"/>
          <w:sz w:val="24"/>
          <w:szCs w:val="24"/>
          <w:lang w:eastAsia="zh-CN"/>
        </w:rPr>
        <w:t xml:space="preserve"> </w:t>
      </w:r>
      <w:r>
        <w:rPr>
          <w:rFonts w:hint="default" w:ascii="Times New Roman" w:hAnsi="Times New Roman" w:eastAsia="宋体" w:cs="Times New Roman"/>
          <w:color w:val="auto"/>
          <w:sz w:val="24"/>
          <w:szCs w:val="24"/>
          <w:lang w:eastAsia="zh-CN"/>
        </w:rPr>
        <w:t>加固钢结构用圆柱头焊钉、栓钉应以M</w:t>
      </w:r>
      <w:r>
        <w:rPr>
          <w:rFonts w:hint="default" w:ascii="Times New Roman" w:hAnsi="Times New Roman" w:eastAsia="宋体" w:cs="Times New Roman"/>
          <w:color w:val="auto"/>
          <w:spacing w:val="-1"/>
          <w:sz w:val="24"/>
          <w:szCs w:val="24"/>
          <w:lang w:eastAsia="zh-CN"/>
        </w:rPr>
        <w:t>L15钢或ML15AL钢制作，焊钉</w:t>
      </w:r>
      <w:r>
        <w:rPr>
          <w:rFonts w:hint="default" w:ascii="Times New Roman" w:hAnsi="Times New Roman" w:eastAsia="宋体" w:cs="Times New Roman"/>
          <w:color w:val="auto"/>
          <w:spacing w:val="-2"/>
          <w:sz w:val="24"/>
          <w:szCs w:val="24"/>
          <w:lang w:eastAsia="zh-CN"/>
        </w:rPr>
        <w:t>或栓钉的屈服强度不应小于360N/mm</w:t>
      </w:r>
      <w:r>
        <w:rPr>
          <w:rFonts w:hint="eastAsia" w:ascii="Times New Roman" w:hAnsi="Times New Roman" w:eastAsia="宋体" w:cs="Times New Roman"/>
          <w:color w:val="auto"/>
          <w:spacing w:val="-2"/>
          <w:sz w:val="24"/>
          <w:szCs w:val="24"/>
          <w:vertAlign w:val="superscript"/>
          <w:lang w:val="en-US" w:eastAsia="zh-CN"/>
        </w:rPr>
        <w:t>2</w:t>
      </w:r>
      <w:r>
        <w:rPr>
          <w:rFonts w:hint="default" w:ascii="Times New Roman" w:hAnsi="Times New Roman" w:eastAsia="宋体" w:cs="Times New Roman"/>
          <w:color w:val="auto"/>
          <w:spacing w:val="-2"/>
          <w:sz w:val="24"/>
          <w:szCs w:val="24"/>
          <w:lang w:eastAsia="zh-CN"/>
        </w:rPr>
        <w:t>，抗拉强度不应小于400N/mm</w:t>
      </w:r>
      <w:r>
        <w:rPr>
          <w:rFonts w:hint="eastAsia" w:ascii="Times New Roman" w:hAnsi="Times New Roman" w:eastAsia="宋体" w:cs="Times New Roman"/>
          <w:color w:val="auto"/>
          <w:spacing w:val="-2"/>
          <w:sz w:val="24"/>
          <w:szCs w:val="24"/>
          <w:vertAlign w:val="superscript"/>
          <w:lang w:val="en-US" w:eastAsia="zh-CN"/>
        </w:rPr>
        <w:t>2</w:t>
      </w:r>
      <w:r>
        <w:rPr>
          <w:rFonts w:hint="default" w:ascii="Times New Roman" w:hAnsi="Times New Roman" w:eastAsia="宋体" w:cs="Times New Roman"/>
          <w:color w:val="auto"/>
          <w:sz w:val="24"/>
          <w:szCs w:val="24"/>
          <w:lang w:eastAsia="zh-CN"/>
        </w:rPr>
        <w:t>。焊钉或栓钉连接件的材料及焊接用瓷环应符合国家标准《</w:t>
      </w:r>
      <w:r>
        <w:rPr>
          <w:rFonts w:hint="default" w:ascii="Times New Roman" w:hAnsi="Times New Roman" w:eastAsia="宋体" w:cs="Times New Roman"/>
          <w:color w:val="auto"/>
          <w:spacing w:val="-1"/>
          <w:sz w:val="24"/>
          <w:szCs w:val="24"/>
          <w:lang w:eastAsia="zh-CN"/>
        </w:rPr>
        <w:t>电弧螺柱焊用圆柱头焊钉》</w:t>
      </w:r>
      <w:r>
        <w:rPr>
          <w:rFonts w:hint="default" w:ascii="Times New Roman" w:hAnsi="Times New Roman" w:eastAsia="宋体" w:cs="Times New Roman"/>
          <w:color w:val="auto"/>
          <w:spacing w:val="-2"/>
          <w:sz w:val="24"/>
          <w:szCs w:val="24"/>
          <w:lang w:eastAsia="zh-CN"/>
        </w:rPr>
        <w:t>GB/T</w:t>
      </w:r>
      <w:r>
        <w:rPr>
          <w:rFonts w:hint="default" w:ascii="Times New Roman" w:hAnsi="Times New Roman" w:eastAsia="宋体" w:cs="Times New Roman"/>
          <w:color w:val="auto"/>
          <w:spacing w:val="33"/>
          <w:sz w:val="24"/>
          <w:szCs w:val="24"/>
          <w:lang w:eastAsia="zh-CN"/>
        </w:rPr>
        <w:t xml:space="preserve"> </w:t>
      </w:r>
      <w:r>
        <w:rPr>
          <w:rFonts w:hint="default" w:ascii="Times New Roman" w:hAnsi="Times New Roman" w:eastAsia="宋体" w:cs="Times New Roman"/>
          <w:color w:val="auto"/>
          <w:spacing w:val="-2"/>
          <w:sz w:val="24"/>
          <w:szCs w:val="24"/>
          <w:lang w:eastAsia="zh-CN"/>
        </w:rPr>
        <w:t>10433的规定。加固钢结构用锚栓应采用优质碳素结构钢制成，其质量和</w:t>
      </w:r>
      <w:r>
        <w:rPr>
          <w:rFonts w:hint="default" w:ascii="Times New Roman" w:hAnsi="Times New Roman" w:eastAsia="宋体" w:cs="Times New Roman"/>
          <w:color w:val="auto"/>
          <w:spacing w:val="-1"/>
          <w:sz w:val="24"/>
          <w:szCs w:val="24"/>
          <w:lang w:eastAsia="zh-CN"/>
        </w:rPr>
        <w:t>性能等级应符合国家标准《优质碳素结构钢》GB/T 699</w:t>
      </w:r>
      <w:r>
        <w:rPr>
          <w:rFonts w:hint="default" w:ascii="Times New Roman" w:hAnsi="Times New Roman" w:eastAsia="宋体" w:cs="Times New Roman"/>
          <w:color w:val="auto"/>
          <w:spacing w:val="-2"/>
          <w:sz w:val="24"/>
          <w:szCs w:val="24"/>
          <w:lang w:eastAsia="zh-CN"/>
        </w:rPr>
        <w:t>和《紧固件机械性能螺栓、螺钉和螺柱》GB/T 3098.1的规定。</w:t>
      </w:r>
    </w:p>
    <w:p w14:paraId="7BC39C3B">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条文说明：本条为选择结构加固用钢材的最基本要求，执行时，应以严格遵守现行国家标准《钢结构设计标准》GB 50017的规定，并保证实现设计意图为前提，采取各种有效措施，使新老截面、构件、结构能良好地共同工作，并应注意新老材料之间的强度、韧性及焊接性能的匹配，以充分利用材料潜能的发挥。为此，应拒收来路不明和无出厂合格证的钢材，并拒用原始锈蚀等级为D级的钢材，以确保结构加固的安全性。</w:t>
      </w:r>
    </w:p>
    <w:p w14:paraId="2E318048">
      <w:pPr>
        <w:spacing w:line="360" w:lineRule="exact"/>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lang w:eastAsia="zh-CN"/>
        </w:rPr>
        <w:t>8.</w:t>
      </w:r>
      <w:r>
        <w:rPr>
          <w:rFonts w:hint="default" w:ascii="Times New Roman" w:hAnsi="Times New Roman" w:eastAsia="宋体" w:cs="Times New Roman"/>
          <w:b/>
          <w:color w:val="auto"/>
          <w:sz w:val="24"/>
          <w:szCs w:val="24"/>
        </w:rPr>
        <w:t>1.</w:t>
      </w:r>
      <w:r>
        <w:rPr>
          <w:rFonts w:hint="default" w:ascii="Times New Roman" w:hAnsi="Times New Roman" w:eastAsia="宋体" w:cs="Times New Roman"/>
          <w:b/>
          <w:color w:val="auto"/>
          <w:sz w:val="24"/>
          <w:szCs w:val="24"/>
          <w:lang w:val="en-US" w:eastAsia="zh-CN"/>
        </w:rPr>
        <w:t>6</w:t>
      </w:r>
      <w:r>
        <w:rPr>
          <w:rFonts w:hint="default" w:ascii="Times New Roman" w:hAnsi="Times New Roman" w:eastAsia="宋体" w:cs="Times New Roman"/>
          <w:b/>
          <w:color w:val="auto"/>
          <w:sz w:val="24"/>
          <w:szCs w:val="24"/>
        </w:rPr>
        <w:t xml:space="preserve"> </w:t>
      </w:r>
      <w:r>
        <w:rPr>
          <w:rFonts w:hint="default" w:ascii="Times New Roman" w:hAnsi="Times New Roman" w:eastAsia="宋体" w:cs="Times New Roman"/>
          <w:color w:val="auto"/>
          <w:sz w:val="24"/>
          <w:szCs w:val="24"/>
        </w:rPr>
        <w:t>钢结构加固后的结构或结构构件，应满足《建筑设计防火规范》GB 50016、《建筑钢结构防火技术规范》GB 51249的要求。</w:t>
      </w:r>
    </w:p>
    <w:p w14:paraId="07D1D9B3">
      <w:pPr>
        <w:spacing w:line="360" w:lineRule="exact"/>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lang w:eastAsia="zh-CN"/>
        </w:rPr>
        <w:t>8.</w:t>
      </w:r>
      <w:r>
        <w:rPr>
          <w:rFonts w:hint="default" w:ascii="Times New Roman" w:hAnsi="Times New Roman" w:eastAsia="宋体" w:cs="Times New Roman"/>
          <w:b/>
          <w:color w:val="auto"/>
          <w:sz w:val="24"/>
          <w:szCs w:val="24"/>
        </w:rPr>
        <w:t>1.</w:t>
      </w:r>
      <w:r>
        <w:rPr>
          <w:rFonts w:hint="default" w:ascii="Times New Roman" w:hAnsi="Times New Roman" w:eastAsia="宋体" w:cs="Times New Roman"/>
          <w:b/>
          <w:color w:val="auto"/>
          <w:sz w:val="24"/>
          <w:szCs w:val="24"/>
          <w:lang w:val="en-US" w:eastAsia="zh-CN"/>
        </w:rPr>
        <w:t>7</w:t>
      </w:r>
      <w:r>
        <w:rPr>
          <w:rFonts w:hint="default" w:ascii="Times New Roman" w:hAnsi="Times New Roman" w:eastAsia="宋体" w:cs="Times New Roman"/>
          <w:b/>
          <w:color w:val="auto"/>
          <w:sz w:val="24"/>
          <w:szCs w:val="24"/>
        </w:rPr>
        <w:t xml:space="preserve"> </w:t>
      </w:r>
      <w:r>
        <w:rPr>
          <w:rFonts w:hint="default" w:ascii="Times New Roman" w:hAnsi="Times New Roman" w:eastAsia="宋体" w:cs="Times New Roman"/>
          <w:color w:val="auto"/>
          <w:sz w:val="24"/>
          <w:szCs w:val="24"/>
        </w:rPr>
        <w:t>钢结构局部缺陷和损伤的修缮，应满足《钢结构加固设计标准》GB 51367的要求。</w:t>
      </w:r>
    </w:p>
    <w:p w14:paraId="4BF66F75">
      <w:pPr>
        <w:spacing w:line="360" w:lineRule="exact"/>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lang w:eastAsia="zh-CN"/>
        </w:rPr>
        <w:t>8.</w:t>
      </w:r>
      <w:r>
        <w:rPr>
          <w:rFonts w:hint="default" w:ascii="Times New Roman" w:hAnsi="Times New Roman" w:eastAsia="宋体" w:cs="Times New Roman"/>
          <w:b/>
          <w:color w:val="auto"/>
          <w:sz w:val="24"/>
          <w:szCs w:val="24"/>
        </w:rPr>
        <w:t>1.</w:t>
      </w:r>
      <w:r>
        <w:rPr>
          <w:rFonts w:hint="default" w:ascii="Times New Roman" w:hAnsi="Times New Roman" w:eastAsia="宋体" w:cs="Times New Roman"/>
          <w:b/>
          <w:color w:val="auto"/>
          <w:sz w:val="24"/>
          <w:szCs w:val="24"/>
          <w:lang w:val="en-US" w:eastAsia="zh-CN"/>
        </w:rPr>
        <w:t>8</w:t>
      </w:r>
      <w:r>
        <w:rPr>
          <w:rFonts w:hint="default" w:ascii="Times New Roman" w:hAnsi="Times New Roman" w:eastAsia="宋体" w:cs="Times New Roman"/>
          <w:b/>
          <w:color w:val="auto"/>
          <w:sz w:val="24"/>
          <w:szCs w:val="24"/>
        </w:rPr>
        <w:t xml:space="preserve"> </w:t>
      </w:r>
      <w:r>
        <w:rPr>
          <w:rFonts w:hint="default" w:ascii="Times New Roman" w:hAnsi="Times New Roman" w:eastAsia="宋体" w:cs="Times New Roman"/>
          <w:color w:val="auto"/>
          <w:sz w:val="24"/>
          <w:szCs w:val="24"/>
        </w:rPr>
        <w:t>钢结构加固所用的材料，除应符合第</w:t>
      </w:r>
      <w:r>
        <w:rPr>
          <w:rFonts w:hint="default" w:ascii="Times New Roman" w:hAnsi="Times New Roman" w:eastAsia="宋体" w:cs="Times New Roman"/>
          <w:color w:val="auto"/>
          <w:sz w:val="24"/>
          <w:szCs w:val="24"/>
          <w:lang w:eastAsia="zh-CN"/>
        </w:rPr>
        <w:t>8.</w:t>
      </w:r>
      <w:r>
        <w:rPr>
          <w:rFonts w:hint="default" w:ascii="Times New Roman" w:hAnsi="Times New Roman" w:eastAsia="宋体" w:cs="Times New Roman"/>
          <w:color w:val="auto"/>
          <w:sz w:val="24"/>
          <w:szCs w:val="24"/>
        </w:rPr>
        <w:t>1.2条要求外，尚应符合以下要求：</w:t>
      </w:r>
    </w:p>
    <w:p w14:paraId="076F9A0F">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snapToGrid/>
          <w:color w:val="auto"/>
          <w:kern w:val="2"/>
          <w:sz w:val="24"/>
          <w:szCs w:val="24"/>
          <w:lang w:eastAsia="zh-CN"/>
        </w:rPr>
        <w:t>1</w:t>
      </w:r>
      <w:r>
        <w:rPr>
          <w:rFonts w:hint="default" w:ascii="Times New Roman" w:hAnsi="Times New Roman" w:eastAsia="宋体" w:cs="Times New Roman"/>
          <w:bCs/>
          <w:color w:val="auto"/>
          <w:spacing w:val="-3"/>
          <w:sz w:val="24"/>
          <w:szCs w:val="24"/>
          <w:lang w:eastAsia="zh-CN"/>
        </w:rPr>
        <w:t xml:space="preserve"> </w:t>
      </w:r>
      <w:r>
        <w:rPr>
          <w:rFonts w:hint="default" w:ascii="Times New Roman" w:hAnsi="Times New Roman" w:eastAsia="宋体" w:cs="Times New Roman"/>
          <w:color w:val="auto"/>
          <w:spacing w:val="-3"/>
          <w:sz w:val="24"/>
          <w:szCs w:val="24"/>
          <w:lang w:eastAsia="zh-CN"/>
        </w:rPr>
        <w:t>当结构的加固材料中使用结构胶粘剂或其他聚合物成分时，</w:t>
      </w:r>
      <w:r>
        <w:rPr>
          <w:rFonts w:hint="default" w:ascii="Times New Roman" w:hAnsi="Times New Roman" w:eastAsia="宋体" w:cs="Times New Roman"/>
          <w:color w:val="auto"/>
          <w:sz w:val="24"/>
          <w:szCs w:val="24"/>
          <w:lang w:eastAsia="zh-CN"/>
        </w:rPr>
        <w:t>其后续工作年限宜按30年考虑；当后续工作年限为50年时，其所使用的胶和聚合物的粘结性</w:t>
      </w:r>
      <w:r>
        <w:rPr>
          <w:rFonts w:hint="default" w:ascii="Times New Roman" w:hAnsi="Times New Roman" w:eastAsia="宋体" w:cs="Times New Roman"/>
          <w:color w:val="auto"/>
          <w:spacing w:val="-2"/>
          <w:sz w:val="24"/>
          <w:szCs w:val="24"/>
          <w:lang w:eastAsia="zh-CN"/>
        </w:rPr>
        <w:t>能，应通过耐长期应力作用能力的检验。</w:t>
      </w:r>
    </w:p>
    <w:p w14:paraId="2D063158">
      <w:pPr>
        <w:pStyle w:val="12"/>
        <w:ind w:firstLine="422"/>
        <w:rPr>
          <w:rFonts w:hint="default" w:ascii="Times New Roman" w:hAnsi="Times New Roman" w:eastAsia="宋体" w:cs="Times New Roman"/>
          <w:color w:val="auto"/>
          <w:spacing w:val="-5"/>
          <w:sz w:val="24"/>
          <w:szCs w:val="24"/>
          <w:lang w:eastAsia="zh-CN"/>
        </w:rPr>
      </w:pPr>
      <w:r>
        <w:rPr>
          <w:rFonts w:hint="default" w:ascii="Times New Roman" w:hAnsi="Times New Roman" w:eastAsia="宋体" w:cs="Times New Roman"/>
          <w:b/>
          <w:snapToGrid/>
          <w:color w:val="auto"/>
          <w:kern w:val="2"/>
          <w:sz w:val="24"/>
          <w:szCs w:val="24"/>
          <w:lang w:eastAsia="zh-CN"/>
        </w:rPr>
        <w:t>2</w:t>
      </w:r>
      <w:r>
        <w:rPr>
          <w:rFonts w:hint="default" w:ascii="Times New Roman" w:hAnsi="Times New Roman" w:eastAsia="宋体" w:cs="Times New Roman"/>
          <w:bCs/>
          <w:color w:val="auto"/>
          <w:spacing w:val="-3"/>
          <w:sz w:val="24"/>
          <w:szCs w:val="24"/>
          <w:lang w:eastAsia="zh-CN"/>
        </w:rPr>
        <w:t xml:space="preserve"> </w:t>
      </w:r>
      <w:r>
        <w:rPr>
          <w:rFonts w:hint="default" w:ascii="Times New Roman" w:hAnsi="Times New Roman" w:eastAsia="宋体" w:cs="Times New Roman"/>
          <w:color w:val="auto"/>
          <w:spacing w:val="-3"/>
          <w:sz w:val="24"/>
          <w:szCs w:val="24"/>
          <w:lang w:eastAsia="zh-CN"/>
        </w:rPr>
        <w:t>对使用胶粘方法或掺有聚合物材料加固的结构、构件，尚应定期检查其工</w:t>
      </w:r>
      <w:r>
        <w:rPr>
          <w:rFonts w:hint="default" w:ascii="Times New Roman" w:hAnsi="Times New Roman" w:eastAsia="宋体" w:cs="Times New Roman"/>
          <w:color w:val="auto"/>
          <w:spacing w:val="-5"/>
          <w:sz w:val="24"/>
          <w:szCs w:val="24"/>
          <w:lang w:eastAsia="zh-CN"/>
        </w:rPr>
        <w:t>作状态；检查的时间间隔可由设计单位确定，但第一次检查时间不应迟于10年。</w:t>
      </w:r>
    </w:p>
    <w:p w14:paraId="46848872">
      <w:pPr>
        <w:pStyle w:val="12"/>
        <w:ind w:firstLine="422"/>
        <w:rPr>
          <w:rFonts w:hint="default" w:ascii="Times New Roman" w:hAnsi="Times New Roman" w:eastAsia="宋体" w:cs="Times New Roman"/>
          <w:color w:val="auto"/>
          <w:spacing w:val="-5"/>
          <w:sz w:val="24"/>
          <w:szCs w:val="24"/>
          <w:lang w:eastAsia="zh-CN"/>
        </w:rPr>
      </w:pPr>
    </w:p>
    <w:p w14:paraId="7F8F5961">
      <w:pPr>
        <w:pStyle w:val="3"/>
        <w:bidi w:val="0"/>
        <w:rPr>
          <w:rFonts w:hint="default"/>
        </w:rPr>
      </w:pPr>
      <w:bookmarkStart w:id="170" w:name="_Toc10279"/>
      <w:r>
        <w:rPr>
          <w:rFonts w:hint="default"/>
          <w:lang w:eastAsia="zh-CN"/>
        </w:rPr>
        <w:t>8.2</w:t>
      </w:r>
      <w:r>
        <w:rPr>
          <w:rFonts w:hint="default"/>
        </w:rPr>
        <w:t xml:space="preserve"> </w:t>
      </w:r>
      <w:r>
        <w:rPr>
          <w:rFonts w:hint="default"/>
          <w:lang w:val="en-US" w:eastAsia="zh-CN"/>
        </w:rPr>
        <w:t>抗震</w:t>
      </w:r>
      <w:r>
        <w:rPr>
          <w:rFonts w:hint="default"/>
        </w:rPr>
        <w:t>加固方法</w:t>
      </w:r>
      <w:bookmarkEnd w:id="170"/>
    </w:p>
    <w:p w14:paraId="70F0DB71">
      <w:pPr>
        <w:spacing w:line="360" w:lineRule="exact"/>
        <w:rPr>
          <w:rFonts w:hint="default" w:ascii="Times New Roman" w:hAnsi="Times New Roman" w:eastAsia="宋体" w:cs="Times New Roman"/>
          <w:color w:val="auto"/>
          <w:spacing w:val="-1"/>
          <w:sz w:val="24"/>
          <w:szCs w:val="24"/>
        </w:rPr>
      </w:pPr>
      <w:r>
        <w:rPr>
          <w:rFonts w:hint="default" w:ascii="Times New Roman" w:hAnsi="Times New Roman" w:eastAsia="宋体" w:cs="Times New Roman"/>
          <w:b/>
          <w:color w:val="auto"/>
          <w:sz w:val="24"/>
          <w:szCs w:val="24"/>
          <w:lang w:eastAsia="zh-CN"/>
        </w:rPr>
        <w:t>8.2</w:t>
      </w:r>
      <w:r>
        <w:rPr>
          <w:rFonts w:hint="default" w:ascii="Times New Roman" w:hAnsi="Times New Roman" w:eastAsia="宋体" w:cs="Times New Roman"/>
          <w:b/>
          <w:color w:val="auto"/>
          <w:sz w:val="24"/>
          <w:szCs w:val="24"/>
        </w:rPr>
        <w:t>.1</w:t>
      </w:r>
      <w:r>
        <w:rPr>
          <w:rFonts w:hint="default" w:ascii="Times New Roman" w:hAnsi="Times New Roman" w:eastAsia="宋体" w:cs="Times New Roman"/>
          <w:bCs/>
          <w:color w:val="auto"/>
          <w:sz w:val="24"/>
          <w:szCs w:val="24"/>
        </w:rPr>
        <w:t xml:space="preserve"> </w:t>
      </w:r>
      <w:r>
        <w:rPr>
          <w:rFonts w:hint="default" w:ascii="Times New Roman" w:hAnsi="Times New Roman" w:eastAsia="宋体" w:cs="Times New Roman"/>
          <w:color w:val="auto"/>
          <w:sz w:val="24"/>
          <w:szCs w:val="24"/>
        </w:rPr>
        <w:t>钢结构加固设计可采用线弹性分析方法</w:t>
      </w:r>
      <w:r>
        <w:rPr>
          <w:rFonts w:hint="default" w:ascii="Times New Roman" w:hAnsi="Times New Roman" w:eastAsia="宋体" w:cs="Times New Roman"/>
          <w:color w:val="auto"/>
          <w:spacing w:val="-1"/>
          <w:sz w:val="24"/>
          <w:szCs w:val="24"/>
        </w:rPr>
        <w:t>计算结构的作用效应。</w:t>
      </w:r>
    </w:p>
    <w:p w14:paraId="31E27566">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由于弹性分析方法是最成熟的结构加固分析方法，迄今为国外结构加固设计标准和指南所广泛采用。因此，本规程作出了“在一般情况下，应采用弹性分析方法计算被加固结构的作用效应"的规定，但允许构件截面有一定塑性变形发展。当被加固结构为超静定结构，且符合现行国家标准《钢结构设计标准》GB 50017规定的条件时，可采用塑性分析。</w:t>
      </w:r>
    </w:p>
    <w:p w14:paraId="1CF09EB5">
      <w:pPr>
        <w:spacing w:line="360" w:lineRule="exact"/>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lang w:eastAsia="zh-CN"/>
        </w:rPr>
        <w:t>8.2</w:t>
      </w:r>
      <w:r>
        <w:rPr>
          <w:rFonts w:hint="default" w:ascii="Times New Roman" w:hAnsi="Times New Roman" w:eastAsia="宋体" w:cs="Times New Roman"/>
          <w:b/>
          <w:color w:val="auto"/>
          <w:sz w:val="24"/>
          <w:szCs w:val="24"/>
        </w:rPr>
        <w:t xml:space="preserve">.2 </w:t>
      </w:r>
      <w:r>
        <w:rPr>
          <w:rFonts w:hint="default" w:ascii="Times New Roman" w:hAnsi="Times New Roman" w:eastAsia="宋体" w:cs="Times New Roman"/>
          <w:color w:val="auto"/>
          <w:sz w:val="24"/>
          <w:szCs w:val="24"/>
        </w:rPr>
        <w:t>加固钢结构时，应按下列规定进行承载能力极限状</w:t>
      </w:r>
      <w:r>
        <w:rPr>
          <w:rFonts w:hint="default" w:ascii="Times New Roman" w:hAnsi="Times New Roman" w:eastAsia="宋体" w:cs="Times New Roman"/>
          <w:color w:val="auto"/>
          <w:spacing w:val="-1"/>
          <w:sz w:val="24"/>
          <w:szCs w:val="24"/>
        </w:rPr>
        <w:t>态和正常使用极限状态</w:t>
      </w:r>
      <w:r>
        <w:rPr>
          <w:rFonts w:hint="default" w:ascii="Times New Roman" w:hAnsi="Times New Roman" w:eastAsia="宋体" w:cs="Times New Roman"/>
          <w:color w:val="auto"/>
          <w:spacing w:val="-5"/>
          <w:sz w:val="24"/>
          <w:szCs w:val="24"/>
        </w:rPr>
        <w:t>的设计、验算。</w:t>
      </w:r>
    </w:p>
    <w:p w14:paraId="3A314383">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snapToGrid/>
          <w:color w:val="auto"/>
          <w:kern w:val="2"/>
          <w:sz w:val="24"/>
          <w:szCs w:val="24"/>
          <w:lang w:eastAsia="zh-CN"/>
        </w:rPr>
        <w:t>1</w:t>
      </w:r>
      <w:r>
        <w:rPr>
          <w:rFonts w:hint="default" w:ascii="Times New Roman" w:hAnsi="Times New Roman" w:eastAsia="宋体" w:cs="Times New Roman"/>
          <w:bCs/>
          <w:color w:val="auto"/>
          <w:sz w:val="24"/>
          <w:szCs w:val="24"/>
          <w:lang w:eastAsia="zh-CN"/>
        </w:rPr>
        <w:t xml:space="preserve"> </w:t>
      </w:r>
      <w:r>
        <w:rPr>
          <w:rFonts w:hint="default" w:ascii="Times New Roman" w:hAnsi="Times New Roman" w:eastAsia="宋体" w:cs="Times New Roman"/>
          <w:color w:val="auto"/>
          <w:sz w:val="24"/>
          <w:szCs w:val="24"/>
          <w:lang w:eastAsia="zh-CN"/>
        </w:rPr>
        <w:t>结构上的作用，应经调查或检测核实，并应按《钢结构加固设计标准》</w:t>
      </w:r>
      <w:r>
        <w:rPr>
          <w:rFonts w:hint="default" w:ascii="Times New Roman" w:hAnsi="Times New Roman" w:eastAsia="宋体" w:cs="Times New Roman"/>
          <w:color w:val="auto"/>
          <w:spacing w:val="-6"/>
          <w:sz w:val="24"/>
          <w:szCs w:val="24"/>
          <w:lang w:eastAsia="zh-CN"/>
        </w:rPr>
        <w:t>GB 51367附录A的规定确定其标准值或代表值，当</w:t>
      </w:r>
      <w:r>
        <w:rPr>
          <w:rFonts w:hint="default" w:ascii="Times New Roman" w:hAnsi="Times New Roman" w:eastAsia="宋体" w:cs="Times New Roman"/>
          <w:color w:val="auto"/>
          <w:spacing w:val="-7"/>
          <w:sz w:val="24"/>
          <w:szCs w:val="24"/>
          <w:lang w:eastAsia="zh-CN"/>
        </w:rPr>
        <w:t>此项工作已在鉴定中完成时，</w:t>
      </w:r>
      <w:r>
        <w:rPr>
          <w:rFonts w:hint="default" w:ascii="Times New Roman" w:hAnsi="Times New Roman" w:eastAsia="宋体" w:cs="Times New Roman"/>
          <w:color w:val="auto"/>
          <w:spacing w:val="-2"/>
          <w:sz w:val="24"/>
          <w:szCs w:val="24"/>
          <w:lang w:eastAsia="zh-CN"/>
        </w:rPr>
        <w:t>应加以引用。</w:t>
      </w:r>
    </w:p>
    <w:p w14:paraId="0CB91890">
      <w:pPr>
        <w:pStyle w:val="12"/>
        <w:ind w:firstLine="422"/>
        <w:rPr>
          <w:rFonts w:hint="default" w:ascii="Times New Roman" w:hAnsi="Times New Roman" w:eastAsia="宋体" w:cs="Times New Roman"/>
          <w:color w:val="auto"/>
          <w:spacing w:val="-6"/>
          <w:sz w:val="24"/>
          <w:szCs w:val="24"/>
          <w:lang w:eastAsia="zh-CN"/>
        </w:rPr>
      </w:pPr>
      <w:r>
        <w:rPr>
          <w:rFonts w:hint="default" w:ascii="Times New Roman" w:hAnsi="Times New Roman" w:eastAsia="宋体" w:cs="Times New Roman"/>
          <w:b/>
          <w:bCs/>
          <w:color w:val="auto"/>
          <w:sz w:val="24"/>
          <w:szCs w:val="24"/>
          <w:lang w:eastAsia="zh-CN"/>
        </w:rPr>
        <w:t>2</w:t>
      </w:r>
      <w:r>
        <w:rPr>
          <w:rFonts w:hint="default" w:ascii="Times New Roman" w:hAnsi="Times New Roman" w:eastAsia="宋体" w:cs="Times New Roman"/>
          <w:bCs/>
          <w:color w:val="auto"/>
          <w:sz w:val="24"/>
          <w:szCs w:val="24"/>
          <w:lang w:eastAsia="zh-CN"/>
        </w:rPr>
        <w:t xml:space="preserve"> </w:t>
      </w:r>
      <w:r>
        <w:rPr>
          <w:rFonts w:hint="default" w:ascii="Times New Roman" w:hAnsi="Times New Roman" w:eastAsia="宋体" w:cs="Times New Roman"/>
          <w:color w:val="auto"/>
          <w:sz w:val="24"/>
          <w:szCs w:val="24"/>
          <w:lang w:eastAsia="zh-CN"/>
        </w:rPr>
        <w:t xml:space="preserve">被加固结构、构件的作用效应，应按国家标准《建筑结构荷载规范》GB </w:t>
      </w:r>
      <w:r>
        <w:rPr>
          <w:rFonts w:hint="default" w:ascii="Times New Roman" w:hAnsi="Times New Roman" w:eastAsia="宋体" w:cs="Times New Roman"/>
          <w:color w:val="auto"/>
          <w:spacing w:val="-5"/>
          <w:sz w:val="24"/>
          <w:szCs w:val="24"/>
          <w:lang w:eastAsia="zh-CN"/>
        </w:rPr>
        <w:t>50009确定，并应考虑由于实际荷载偏心、结构变形、温</w:t>
      </w:r>
      <w:r>
        <w:rPr>
          <w:rFonts w:hint="default" w:ascii="Times New Roman" w:hAnsi="Times New Roman" w:eastAsia="宋体" w:cs="Times New Roman"/>
          <w:color w:val="auto"/>
          <w:spacing w:val="-6"/>
          <w:sz w:val="24"/>
          <w:szCs w:val="24"/>
          <w:lang w:eastAsia="zh-CN"/>
        </w:rPr>
        <w:t>度作用造成的附加内力。</w:t>
      </w:r>
    </w:p>
    <w:p w14:paraId="5B2CC22A">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本条对钢结构的加固验算作了详细而明确的规定。这里仅指出一点，即其中大部分计算参数已在该结构加固前可靠性鉴定中通过实测或验算予以确定。因此，在进行结构加固设计时，宜尽可能加以引用，这样不仅节约时间和费用，而且在被加固结构日后万一出现问题时，也便于分清责任。</w:t>
      </w:r>
    </w:p>
    <w:p w14:paraId="2C0614D8">
      <w:pPr>
        <w:spacing w:line="360" w:lineRule="exact"/>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eastAsia="zh-CN"/>
        </w:rPr>
        <w:t>8.2</w:t>
      </w:r>
      <w:r>
        <w:rPr>
          <w:rFonts w:hint="default" w:ascii="Times New Roman" w:hAnsi="Times New Roman" w:eastAsia="宋体" w:cs="Times New Roman"/>
          <w:b/>
          <w:bCs/>
          <w:color w:val="auto"/>
          <w:sz w:val="24"/>
          <w:szCs w:val="24"/>
        </w:rPr>
        <w:t>.3</w:t>
      </w:r>
      <w:r>
        <w:rPr>
          <w:rFonts w:hint="default" w:ascii="Times New Roman" w:hAnsi="Times New Roman" w:eastAsia="宋体" w:cs="Times New Roman"/>
          <w:bCs/>
          <w:color w:val="auto"/>
          <w:sz w:val="24"/>
          <w:szCs w:val="24"/>
        </w:rPr>
        <w:t xml:space="preserve"> </w:t>
      </w:r>
      <w:r>
        <w:rPr>
          <w:rFonts w:hint="default" w:ascii="Times New Roman" w:hAnsi="Times New Roman" w:eastAsia="宋体" w:cs="Times New Roman"/>
          <w:color w:val="auto"/>
          <w:sz w:val="24"/>
          <w:szCs w:val="24"/>
        </w:rPr>
        <w:t>为防止结构加固部分意外失效而导致的坍塌，在使</w:t>
      </w:r>
      <w:r>
        <w:rPr>
          <w:rFonts w:hint="default" w:ascii="Times New Roman" w:hAnsi="Times New Roman" w:eastAsia="宋体" w:cs="Times New Roman"/>
          <w:color w:val="auto"/>
          <w:spacing w:val="-1"/>
          <w:sz w:val="24"/>
          <w:szCs w:val="24"/>
        </w:rPr>
        <w:t>用胶粘剂或掺有聚合物的加固方法时，其加固设计除应按《钢结构加固设计标准》GB 51367</w:t>
      </w:r>
      <w:r>
        <w:rPr>
          <w:rFonts w:hint="default" w:ascii="Times New Roman" w:hAnsi="Times New Roman" w:eastAsia="宋体" w:cs="Times New Roman"/>
          <w:color w:val="auto"/>
          <w:spacing w:val="-2"/>
          <w:sz w:val="24"/>
          <w:szCs w:val="24"/>
        </w:rPr>
        <w:t>的规定进</w:t>
      </w:r>
      <w:r>
        <w:rPr>
          <w:rFonts w:hint="default" w:ascii="Times New Roman" w:hAnsi="Times New Roman" w:eastAsia="宋体" w:cs="Times New Roman"/>
          <w:color w:val="auto"/>
          <w:sz w:val="24"/>
          <w:szCs w:val="24"/>
        </w:rPr>
        <w:t>行外，尚应对原结构进行验算。验算时，应要求原结构、构件能承担</w:t>
      </w:r>
      <w:r>
        <w:rPr>
          <w:rFonts w:hint="default" w:ascii="Times New Roman" w:hAnsi="Times New Roman" w:eastAsia="宋体" w:cs="Times New Roman"/>
          <w:i/>
          <w:iCs/>
          <w:color w:val="auto"/>
          <w:sz w:val="24"/>
          <w:szCs w:val="24"/>
        </w:rPr>
        <w:t>n</w:t>
      </w:r>
      <w:r>
        <w:rPr>
          <w:rFonts w:hint="default" w:ascii="Times New Roman" w:hAnsi="Times New Roman" w:eastAsia="宋体" w:cs="Times New Roman"/>
          <w:color w:val="auto"/>
          <w:sz w:val="24"/>
          <w:szCs w:val="24"/>
        </w:rPr>
        <w:t>倍永久荷载标</w:t>
      </w:r>
      <w:r>
        <w:rPr>
          <w:rFonts w:hint="default" w:ascii="Times New Roman" w:hAnsi="Times New Roman" w:eastAsia="宋体" w:cs="Times New Roman"/>
          <w:color w:val="auto"/>
          <w:spacing w:val="-10"/>
          <w:sz w:val="24"/>
          <w:szCs w:val="24"/>
        </w:rPr>
        <w:t>准值的作用。当可变荷载标准值与永久荷载标准值之比值不大于1</w:t>
      </w:r>
      <w:r>
        <w:rPr>
          <w:rFonts w:hint="default" w:ascii="Times New Roman" w:hAnsi="Times New Roman" w:eastAsia="宋体" w:cs="Times New Roman"/>
          <w:color w:val="auto"/>
          <w:spacing w:val="-11"/>
          <w:sz w:val="24"/>
          <w:szCs w:val="24"/>
        </w:rPr>
        <w:t>时，</w:t>
      </w:r>
      <w:r>
        <w:rPr>
          <w:rFonts w:hint="default" w:ascii="Times New Roman" w:hAnsi="Times New Roman" w:eastAsia="宋体" w:cs="Times New Roman"/>
          <w:i/>
          <w:iCs/>
          <w:color w:val="auto"/>
          <w:spacing w:val="-11"/>
          <w:sz w:val="24"/>
          <w:szCs w:val="24"/>
        </w:rPr>
        <w:t>n</w:t>
      </w:r>
      <w:r>
        <w:rPr>
          <w:rFonts w:hint="default" w:ascii="Times New Roman" w:hAnsi="Times New Roman" w:eastAsia="宋体" w:cs="Times New Roman"/>
          <w:color w:val="auto"/>
          <w:spacing w:val="-11"/>
          <w:sz w:val="24"/>
          <w:szCs w:val="24"/>
        </w:rPr>
        <w:t>应取1.2；</w:t>
      </w:r>
      <w:r>
        <w:rPr>
          <w:rFonts w:hint="default" w:ascii="Times New Roman" w:hAnsi="Times New Roman" w:eastAsia="宋体" w:cs="Times New Roman"/>
          <w:color w:val="auto"/>
          <w:sz w:val="24"/>
          <w:szCs w:val="24"/>
        </w:rPr>
        <w:t>当该比值等于或大于2时，</w:t>
      </w:r>
      <w:r>
        <w:rPr>
          <w:rFonts w:hint="default" w:ascii="Times New Roman" w:hAnsi="Times New Roman" w:eastAsia="宋体" w:cs="Times New Roman"/>
          <w:i/>
          <w:iCs/>
          <w:color w:val="auto"/>
          <w:sz w:val="24"/>
          <w:szCs w:val="24"/>
        </w:rPr>
        <w:t>n</w:t>
      </w:r>
      <w:r>
        <w:rPr>
          <w:rFonts w:hint="default" w:ascii="Times New Roman" w:hAnsi="Times New Roman" w:eastAsia="宋体" w:cs="Times New Roman"/>
          <w:color w:val="auto"/>
          <w:sz w:val="24"/>
          <w:szCs w:val="24"/>
        </w:rPr>
        <w:t>应取1.5；其间应按线性内插法确定。</w:t>
      </w:r>
    </w:p>
    <w:p w14:paraId="53429FCF">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为防止使用胶粘剂或其他聚合物，如改性混凝土、聚合物改性砂浆等的结构加固部分意外失效(如火灾或人为破坏等)而导致的建筑物坍塌，国外有关的设计规程和指南，如英国混凝土协会设计指南便要求设计者对原结构、构件提供附加的安全保护。一般是要求原结构、构件必须具有一定的承载力，以便在结构加固部分意外失效时尚能承受永久荷载和少量可变荷载的作用。为此，标准编制组提出了按可变荷载标准值与永久荷载标准值之比值的大小，分别给出验算用的荷载值，以供设计校核原结构、构件在应急状态下的承载力使用。至于n值取1.2和1.5,系参照上述国外资料和国内设计经验确定的，但应指出，本条所指的可变荷载不包括地震作用。</w:t>
      </w:r>
    </w:p>
    <w:p w14:paraId="1AA73249">
      <w:pPr>
        <w:spacing w:line="360" w:lineRule="exact"/>
        <w:rPr>
          <w:rFonts w:hint="default" w:ascii="Times New Roman" w:hAnsi="Times New Roman" w:eastAsia="宋体" w:cs="Times New Roman"/>
          <w:color w:val="auto"/>
          <w:spacing w:val="-1"/>
          <w:sz w:val="24"/>
          <w:szCs w:val="24"/>
        </w:rPr>
      </w:pPr>
      <w:r>
        <w:rPr>
          <w:rFonts w:hint="default" w:ascii="Times New Roman" w:hAnsi="Times New Roman" w:eastAsia="宋体" w:cs="Times New Roman"/>
          <w:b/>
          <w:bCs/>
          <w:color w:val="auto"/>
          <w:sz w:val="24"/>
          <w:szCs w:val="24"/>
          <w:lang w:eastAsia="zh-CN"/>
        </w:rPr>
        <w:t>8.2</w:t>
      </w:r>
      <w:r>
        <w:rPr>
          <w:rFonts w:hint="default" w:ascii="Times New Roman" w:hAnsi="Times New Roman" w:eastAsia="宋体" w:cs="Times New Roman"/>
          <w:b/>
          <w:bCs/>
          <w:color w:val="auto"/>
          <w:sz w:val="24"/>
          <w:szCs w:val="24"/>
        </w:rPr>
        <w:t>.4</w:t>
      </w:r>
      <w:r>
        <w:rPr>
          <w:rFonts w:hint="default" w:ascii="Times New Roman" w:hAnsi="Times New Roman" w:eastAsia="宋体" w:cs="Times New Roman"/>
          <w:bCs/>
          <w:color w:val="auto"/>
          <w:sz w:val="24"/>
          <w:szCs w:val="24"/>
        </w:rPr>
        <w:t xml:space="preserve"> </w:t>
      </w:r>
      <w:r>
        <w:rPr>
          <w:rFonts w:hint="default" w:ascii="Times New Roman" w:hAnsi="Times New Roman" w:eastAsia="宋体" w:cs="Times New Roman"/>
          <w:color w:val="auto"/>
          <w:sz w:val="24"/>
          <w:szCs w:val="24"/>
        </w:rPr>
        <w:t>钢结构加固设计时，应根据实际条件和使用要求选</w:t>
      </w:r>
      <w:r>
        <w:rPr>
          <w:rFonts w:hint="default" w:ascii="Times New Roman" w:hAnsi="Times New Roman" w:eastAsia="宋体" w:cs="Times New Roman"/>
          <w:color w:val="auto"/>
          <w:spacing w:val="-1"/>
          <w:sz w:val="24"/>
          <w:szCs w:val="24"/>
        </w:rPr>
        <w:t>择适宜的加固方法及配</w:t>
      </w:r>
      <w:r>
        <w:rPr>
          <w:rFonts w:hint="default" w:ascii="Times New Roman" w:hAnsi="Times New Roman" w:eastAsia="宋体" w:cs="Times New Roman"/>
          <w:color w:val="auto"/>
          <w:sz w:val="24"/>
          <w:szCs w:val="24"/>
        </w:rPr>
        <w:t>合使用的技术。可选用增大截面加固法、粘贴钢板加固法和组合加固法等直接加固法，或选用改变结构体系加固法、预应力加固法等间接加固法；也可采用直接</w:t>
      </w:r>
      <w:r>
        <w:rPr>
          <w:rFonts w:hint="default" w:ascii="Times New Roman" w:hAnsi="Times New Roman" w:eastAsia="宋体" w:cs="Times New Roman"/>
          <w:color w:val="auto"/>
          <w:spacing w:val="-1"/>
          <w:sz w:val="24"/>
          <w:szCs w:val="24"/>
        </w:rPr>
        <w:t>加固和间接加固等相结合的综合加固法。</w:t>
      </w:r>
    </w:p>
    <w:p w14:paraId="34F900C5">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本规程共纳入5种直接加固方法，基本上满足了当前加固工程的需要。这里应指出的是，每种方法和技术，均有其适用范围和应用条件：选用时，若无充分的科学试验和论证依据，切勿随意扩大其使用范围，或忽视其应用条件，以免考虑不周而酿成安全质量事故。</w:t>
      </w:r>
    </w:p>
    <w:p w14:paraId="65C20BC3">
      <w:pPr>
        <w:spacing w:line="360" w:lineRule="exact"/>
        <w:rPr>
          <w:rFonts w:hint="default" w:ascii="Times New Roman" w:hAnsi="Times New Roman" w:eastAsia="宋体" w:cs="Times New Roman"/>
          <w:color w:val="auto"/>
          <w:spacing w:val="-1"/>
          <w:sz w:val="24"/>
          <w:szCs w:val="24"/>
        </w:rPr>
      </w:pPr>
      <w:r>
        <w:rPr>
          <w:rFonts w:hint="default" w:ascii="Times New Roman" w:hAnsi="Times New Roman" w:eastAsia="宋体" w:cs="Times New Roman"/>
          <w:b/>
          <w:bCs/>
          <w:color w:val="auto"/>
          <w:sz w:val="24"/>
          <w:szCs w:val="24"/>
          <w:lang w:eastAsia="zh-CN"/>
        </w:rPr>
        <w:t>8.2</w:t>
      </w:r>
      <w:r>
        <w:rPr>
          <w:rFonts w:hint="default" w:ascii="Times New Roman" w:hAnsi="Times New Roman" w:eastAsia="宋体" w:cs="Times New Roman"/>
          <w:b/>
          <w:bCs/>
          <w:color w:val="auto"/>
          <w:sz w:val="24"/>
          <w:szCs w:val="24"/>
        </w:rPr>
        <w:t>.5</w:t>
      </w:r>
      <w:r>
        <w:rPr>
          <w:rFonts w:hint="default" w:ascii="Times New Roman" w:hAnsi="Times New Roman" w:eastAsia="宋体" w:cs="Times New Roman"/>
          <w:bCs/>
          <w:color w:val="auto"/>
          <w:sz w:val="24"/>
          <w:szCs w:val="24"/>
        </w:rPr>
        <w:t xml:space="preserve"> </w:t>
      </w:r>
      <w:r>
        <w:rPr>
          <w:rFonts w:hint="default" w:ascii="Times New Roman" w:hAnsi="Times New Roman" w:eastAsia="宋体" w:cs="Times New Roman"/>
          <w:color w:val="auto"/>
          <w:sz w:val="24"/>
          <w:szCs w:val="24"/>
        </w:rPr>
        <w:t>钢结构加固的连接方法宜采用焊缝连接、摩擦型高</w:t>
      </w:r>
      <w:r>
        <w:rPr>
          <w:rFonts w:hint="default" w:ascii="Times New Roman" w:hAnsi="Times New Roman" w:eastAsia="宋体" w:cs="Times New Roman"/>
          <w:color w:val="auto"/>
          <w:spacing w:val="-1"/>
          <w:sz w:val="24"/>
          <w:szCs w:val="24"/>
        </w:rPr>
        <w:t>强螺栓连接；亦可采用焊缝与摩擦型高强螺栓的混合连接等。</w:t>
      </w:r>
    </w:p>
    <w:p w14:paraId="5025214A">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钢结构的连接对钢结构加固至关重要。在钢结构常用连接方法中，钢结构加固宜采用焊接连接和摩擦型高强度螺栓连接。摩擦型高强度螺栓与焊接混合连接，国内外已进行了不少试验研究，且已进入工程实用阶段；但为稳妥计，在本规程第8.4节中作出了限制性规定。</w:t>
      </w:r>
    </w:p>
    <w:p w14:paraId="56AE0B77">
      <w:pPr>
        <w:spacing w:line="360" w:lineRule="exact"/>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pacing w:val="-1"/>
          <w:sz w:val="24"/>
          <w:szCs w:val="24"/>
          <w:lang w:eastAsia="zh-CN"/>
        </w:rPr>
        <w:t>8.2</w:t>
      </w:r>
      <w:r>
        <w:rPr>
          <w:rFonts w:hint="default" w:ascii="Times New Roman" w:hAnsi="Times New Roman" w:eastAsia="宋体" w:cs="Times New Roman"/>
          <w:b/>
          <w:bCs/>
          <w:color w:val="auto"/>
          <w:spacing w:val="-1"/>
          <w:sz w:val="24"/>
          <w:szCs w:val="24"/>
        </w:rPr>
        <w:t>.6</w:t>
      </w:r>
      <w:r>
        <w:rPr>
          <w:rFonts w:hint="default" w:ascii="Times New Roman" w:hAnsi="Times New Roman" w:eastAsia="宋体" w:cs="Times New Roman"/>
          <w:bCs/>
          <w:color w:val="auto"/>
          <w:spacing w:val="-1"/>
          <w:sz w:val="24"/>
          <w:szCs w:val="24"/>
        </w:rPr>
        <w:t xml:space="preserve"> </w:t>
      </w:r>
      <w:r>
        <w:rPr>
          <w:rFonts w:hint="default" w:ascii="Times New Roman" w:hAnsi="Times New Roman" w:eastAsia="宋体" w:cs="Times New Roman"/>
          <w:color w:val="auto"/>
          <w:spacing w:val="-1"/>
          <w:sz w:val="24"/>
          <w:szCs w:val="24"/>
        </w:rPr>
        <w:t>采用改变结构体系加固法时，应符合下列要求：</w:t>
      </w:r>
    </w:p>
    <w:p w14:paraId="1CEF5559">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z w:val="24"/>
          <w:szCs w:val="24"/>
          <w:lang w:eastAsia="zh-CN"/>
        </w:rPr>
        <w:t>1</w:t>
      </w:r>
      <w:r>
        <w:rPr>
          <w:rFonts w:hint="default" w:ascii="Times New Roman" w:hAnsi="Times New Roman" w:eastAsia="宋体" w:cs="Times New Roman"/>
          <w:bCs/>
          <w:color w:val="auto"/>
          <w:sz w:val="24"/>
          <w:szCs w:val="24"/>
          <w:lang w:eastAsia="zh-CN"/>
        </w:rPr>
        <w:t xml:space="preserve"> 采用</w:t>
      </w:r>
      <w:r>
        <w:rPr>
          <w:rFonts w:hint="default" w:ascii="Times New Roman" w:hAnsi="Times New Roman" w:eastAsia="宋体" w:cs="Times New Roman"/>
          <w:color w:val="auto"/>
          <w:sz w:val="24"/>
          <w:szCs w:val="24"/>
          <w:lang w:eastAsia="zh-CN"/>
        </w:rPr>
        <w:t>改变结构体系的加固设计方法时，应考虑结构、构件、节点、支</w:t>
      </w:r>
      <w:r>
        <w:rPr>
          <w:rFonts w:hint="default" w:ascii="Times New Roman" w:hAnsi="Times New Roman" w:eastAsia="宋体" w:cs="Times New Roman"/>
          <w:color w:val="auto"/>
          <w:spacing w:val="-4"/>
          <w:sz w:val="24"/>
          <w:szCs w:val="24"/>
          <w:lang w:eastAsia="zh-CN"/>
        </w:rPr>
        <w:t>座中的内力重</w:t>
      </w:r>
      <w:r>
        <w:rPr>
          <w:rFonts w:hint="default" w:ascii="Times New Roman" w:hAnsi="Times New Roman" w:eastAsia="宋体" w:cs="Times New Roman"/>
          <w:color w:val="auto"/>
          <w:spacing w:val="-2"/>
          <w:sz w:val="24"/>
          <w:szCs w:val="24"/>
          <w:lang w:eastAsia="zh-CN"/>
        </w:rPr>
        <w:t>分布与二次受力。</w:t>
      </w:r>
    </w:p>
    <w:p w14:paraId="66513109">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z w:val="24"/>
          <w:szCs w:val="24"/>
          <w:lang w:eastAsia="zh-CN"/>
        </w:rPr>
        <w:t>2</w:t>
      </w:r>
      <w:r>
        <w:rPr>
          <w:rFonts w:hint="default" w:ascii="Times New Roman" w:hAnsi="Times New Roman" w:eastAsia="宋体" w:cs="Times New Roman"/>
          <w:bCs/>
          <w:color w:val="auto"/>
          <w:sz w:val="24"/>
          <w:szCs w:val="24"/>
          <w:lang w:eastAsia="zh-CN"/>
        </w:rPr>
        <w:t xml:space="preserve"> </w:t>
      </w:r>
      <w:r>
        <w:rPr>
          <w:rFonts w:hint="default" w:ascii="Times New Roman" w:hAnsi="Times New Roman" w:eastAsia="宋体" w:cs="Times New Roman"/>
          <w:color w:val="auto"/>
          <w:sz w:val="24"/>
          <w:szCs w:val="24"/>
          <w:lang w:eastAsia="zh-CN"/>
        </w:rPr>
        <w:t>采用调整内力的方法加固结构时，应在加固设计图纸中规定调整应力或位移</w:t>
      </w:r>
      <w:r>
        <w:rPr>
          <w:rFonts w:hint="default" w:ascii="Times New Roman" w:hAnsi="Times New Roman" w:eastAsia="宋体" w:cs="Times New Roman"/>
          <w:color w:val="auto"/>
          <w:spacing w:val="-2"/>
          <w:sz w:val="24"/>
          <w:szCs w:val="24"/>
          <w:lang w:eastAsia="zh-CN"/>
        </w:rPr>
        <w:t>的限值及允许偏差，并应规定其监测部位及检验方法。</w:t>
      </w:r>
    </w:p>
    <w:p w14:paraId="4F13BE5F">
      <w:pPr>
        <w:pStyle w:val="12"/>
        <w:ind w:firstLine="422"/>
        <w:rPr>
          <w:rFonts w:hint="default" w:ascii="Times New Roman" w:hAnsi="Times New Roman" w:eastAsia="宋体" w:cs="Times New Roman"/>
          <w:color w:val="auto"/>
          <w:spacing w:val="-1"/>
          <w:sz w:val="24"/>
          <w:szCs w:val="24"/>
          <w:lang w:eastAsia="zh-CN"/>
        </w:rPr>
      </w:pPr>
      <w:r>
        <w:rPr>
          <w:rFonts w:hint="default" w:ascii="Times New Roman" w:hAnsi="Times New Roman" w:eastAsia="宋体" w:cs="Times New Roman"/>
          <w:b/>
          <w:bCs/>
          <w:color w:val="auto"/>
          <w:sz w:val="24"/>
          <w:szCs w:val="24"/>
          <w:lang w:eastAsia="zh-CN"/>
        </w:rPr>
        <w:t>3</w:t>
      </w:r>
      <w:r>
        <w:rPr>
          <w:rFonts w:hint="default" w:ascii="Times New Roman" w:hAnsi="Times New Roman" w:eastAsia="宋体" w:cs="Times New Roman"/>
          <w:bCs/>
          <w:color w:val="auto"/>
          <w:sz w:val="24"/>
          <w:szCs w:val="24"/>
          <w:lang w:eastAsia="zh-CN"/>
        </w:rPr>
        <w:t xml:space="preserve"> </w:t>
      </w:r>
      <w:r>
        <w:rPr>
          <w:rFonts w:hint="default" w:ascii="Times New Roman" w:hAnsi="Times New Roman" w:eastAsia="宋体" w:cs="Times New Roman"/>
          <w:color w:val="auto"/>
          <w:sz w:val="24"/>
          <w:szCs w:val="24"/>
          <w:lang w:eastAsia="zh-CN"/>
        </w:rPr>
        <w:t>采用增设支点的方法改变结构体系时，应根据被加固结构的构造特点和工</w:t>
      </w:r>
      <w:r>
        <w:rPr>
          <w:rFonts w:hint="default" w:ascii="Times New Roman" w:hAnsi="Times New Roman" w:eastAsia="宋体" w:cs="Times New Roman"/>
          <w:color w:val="auto"/>
          <w:spacing w:val="-1"/>
          <w:sz w:val="24"/>
          <w:szCs w:val="24"/>
          <w:lang w:eastAsia="zh-CN"/>
        </w:rPr>
        <w:t>作条件，选用刚性支点加固法或弹性支点加固法。</w:t>
      </w:r>
    </w:p>
    <w:p w14:paraId="1FE3C654">
      <w:pPr>
        <w:spacing w:line="360" w:lineRule="exact"/>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eastAsia="zh-CN"/>
        </w:rPr>
        <w:t>8.2</w:t>
      </w:r>
      <w:r>
        <w:rPr>
          <w:rFonts w:hint="default" w:ascii="Times New Roman" w:hAnsi="Times New Roman" w:eastAsia="宋体" w:cs="Times New Roman"/>
          <w:b/>
          <w:bCs/>
          <w:color w:val="auto"/>
          <w:sz w:val="24"/>
          <w:szCs w:val="24"/>
        </w:rPr>
        <w:t>.7</w:t>
      </w:r>
      <w:r>
        <w:rPr>
          <w:rFonts w:hint="default" w:ascii="Times New Roman" w:hAnsi="Times New Roman" w:eastAsia="宋体" w:cs="Times New Roman"/>
          <w:color w:val="auto"/>
          <w:sz w:val="24"/>
          <w:szCs w:val="24"/>
        </w:rPr>
        <w:t xml:space="preserve"> 钢结构预应力加固设计，宜根据被加固结构、构件的实际受力状况、构造和使用环境确定预应力构件的布置、锚固节点构造以及张拉方式。施加预应力的技术方案及预应力大小的确定，应遵守结构或构件的卸载效应大于结构或构件的增载效应的原则。</w:t>
      </w:r>
    </w:p>
    <w:p w14:paraId="007433CB">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设计钢结构预应力加固锚固节点，宜设法避开被加固构件应力较大的区域。同时，锚固节点构造应便于除尘、防腐与防火维护。预应力的施加应保证提高结构或构件抗力，尽量减小荷载增加的不利效应。</w:t>
      </w:r>
    </w:p>
    <w:p w14:paraId="013D9173">
      <w:pPr>
        <w:pStyle w:val="3"/>
        <w:bidi w:val="0"/>
        <w:rPr>
          <w:rFonts w:hint="default"/>
        </w:rPr>
      </w:pPr>
      <w:bookmarkStart w:id="171" w:name="_Toc30101"/>
      <w:r>
        <w:rPr>
          <w:rFonts w:hint="default"/>
          <w:lang w:eastAsia="zh-CN"/>
        </w:rPr>
        <w:t>8.3</w:t>
      </w:r>
      <w:r>
        <w:rPr>
          <w:rFonts w:hint="default"/>
        </w:rPr>
        <w:t xml:space="preserve"> </w:t>
      </w:r>
      <w:r>
        <w:rPr>
          <w:rFonts w:hint="default"/>
          <w:lang w:val="en-US" w:eastAsia="zh-CN"/>
        </w:rPr>
        <w:t>抗震</w:t>
      </w:r>
      <w:r>
        <w:rPr>
          <w:rFonts w:hint="default"/>
        </w:rPr>
        <w:t>加固设计及施工</w:t>
      </w:r>
      <w:bookmarkEnd w:id="171"/>
    </w:p>
    <w:p w14:paraId="1CEC11E1">
      <w:pPr>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eastAsia="zh-CN"/>
        </w:rPr>
        <w:t>8.3</w:t>
      </w:r>
      <w:r>
        <w:rPr>
          <w:rFonts w:hint="default" w:ascii="Times New Roman" w:hAnsi="Times New Roman" w:eastAsia="宋体" w:cs="Times New Roman"/>
          <w:b/>
          <w:bCs/>
          <w:color w:val="auto"/>
          <w:sz w:val="24"/>
          <w:szCs w:val="24"/>
        </w:rPr>
        <w:t>.1</w:t>
      </w:r>
      <w:r>
        <w:rPr>
          <w:rFonts w:hint="default" w:ascii="Times New Roman" w:hAnsi="Times New Roman" w:eastAsia="宋体" w:cs="Times New Roman"/>
          <w:bCs/>
          <w:color w:val="auto"/>
          <w:sz w:val="24"/>
          <w:szCs w:val="24"/>
        </w:rPr>
        <w:t xml:space="preserve"> </w:t>
      </w:r>
      <w:r>
        <w:rPr>
          <w:rFonts w:hint="default" w:ascii="Times New Roman" w:hAnsi="Times New Roman" w:eastAsia="宋体" w:cs="Times New Roman"/>
          <w:color w:val="auto"/>
          <w:sz w:val="24"/>
          <w:szCs w:val="24"/>
        </w:rPr>
        <w:t>采用增大截面加固钢构件时，应符合以下要求：</w:t>
      </w:r>
    </w:p>
    <w:p w14:paraId="00A48CB4">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1</w:t>
      </w:r>
      <w:r>
        <w:rPr>
          <w:rFonts w:hint="default" w:ascii="Times New Roman" w:hAnsi="Times New Roman" w:eastAsia="宋体" w:cs="Times New Roman"/>
          <w:color w:val="auto"/>
          <w:sz w:val="24"/>
          <w:szCs w:val="24"/>
          <w:lang w:eastAsia="zh-CN"/>
        </w:rPr>
        <w:t xml:space="preserve"> 当采用焊接连接、高强度螺栓连接或铆钉连接的增大截面法加固钢结构构件时，应考虑原构件受力情况及存在的缺陷和损伤；在施工可行、传力可靠的前提下进行。</w:t>
      </w:r>
    </w:p>
    <w:p w14:paraId="6DD00D42">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2</w:t>
      </w:r>
      <w:r>
        <w:rPr>
          <w:rFonts w:hint="default" w:ascii="Times New Roman" w:hAnsi="Times New Roman" w:eastAsia="宋体" w:cs="Times New Roman"/>
          <w:color w:val="auto"/>
          <w:sz w:val="24"/>
          <w:szCs w:val="24"/>
          <w:lang w:eastAsia="zh-CN"/>
        </w:rPr>
        <w:t xml:space="preserve"> 受拉构件的截面加固可采用图8.3.1-1所示加固形式。</w:t>
      </w:r>
    </w:p>
    <w:p w14:paraId="39D9DB97">
      <w:pPr>
        <w:spacing w:before="124" w:line="219" w:lineRule="auto"/>
        <w:ind w:left="509"/>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position w:val="-94"/>
          <w:sz w:val="24"/>
          <w:szCs w:val="24"/>
        </w:rPr>
        <w:drawing>
          <wp:inline distT="0" distB="0" distL="0" distR="0">
            <wp:extent cx="3275965" cy="2905125"/>
            <wp:effectExtent l="0" t="0" r="635" b="9525"/>
            <wp:docPr id="34" name="IM 40"/>
            <wp:cNvGraphicFramePr/>
            <a:graphic xmlns:a="http://schemas.openxmlformats.org/drawingml/2006/main">
              <a:graphicData uri="http://schemas.openxmlformats.org/drawingml/2006/picture">
                <pic:pic xmlns:pic="http://schemas.openxmlformats.org/drawingml/2006/picture">
                  <pic:nvPicPr>
                    <pic:cNvPr id="34" name="IM 40"/>
                    <pic:cNvPicPr/>
                  </pic:nvPicPr>
                  <pic:blipFill>
                    <a:blip r:embed="rId331"/>
                    <a:stretch>
                      <a:fillRect/>
                    </a:stretch>
                  </pic:blipFill>
                  <pic:spPr>
                    <a:xfrm>
                      <a:off x="0" y="0"/>
                      <a:ext cx="3282325" cy="2910942"/>
                    </a:xfrm>
                    <a:prstGeom prst="rect">
                      <a:avLst/>
                    </a:prstGeom>
                  </pic:spPr>
                </pic:pic>
              </a:graphicData>
            </a:graphic>
          </wp:inline>
        </w:drawing>
      </w:r>
    </w:p>
    <w:p w14:paraId="68C85A17">
      <w:pPr>
        <w:pStyle w:val="65"/>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图</w:t>
      </w:r>
      <w:r>
        <w:rPr>
          <w:rFonts w:hint="default" w:ascii="Times New Roman" w:hAnsi="Times New Roman" w:eastAsia="宋体" w:cs="Times New Roman"/>
          <w:color w:val="auto"/>
          <w:sz w:val="24"/>
          <w:szCs w:val="24"/>
          <w:lang w:eastAsia="zh-CN"/>
        </w:rPr>
        <w:t>8.3</w:t>
      </w:r>
      <w:r>
        <w:rPr>
          <w:rFonts w:hint="default" w:ascii="Times New Roman" w:hAnsi="Times New Roman" w:eastAsia="宋体" w:cs="Times New Roman"/>
          <w:color w:val="auto"/>
          <w:sz w:val="24"/>
          <w:szCs w:val="24"/>
        </w:rPr>
        <w:t>.1-1</w:t>
      </w:r>
      <w:r>
        <w:rPr>
          <w:rFonts w:hint="default" w:ascii="Times New Roman" w:hAnsi="Times New Roman" w:eastAsia="宋体" w:cs="Times New Roman"/>
          <w:color w:val="auto"/>
          <w:spacing w:val="13"/>
          <w:w w:val="101"/>
          <w:sz w:val="24"/>
          <w:szCs w:val="24"/>
        </w:rPr>
        <w:t xml:space="preserve"> </w:t>
      </w:r>
      <w:r>
        <w:rPr>
          <w:rFonts w:hint="default" w:ascii="Times New Roman" w:hAnsi="Times New Roman" w:eastAsia="宋体" w:cs="Times New Roman"/>
          <w:color w:val="auto"/>
          <w:sz w:val="24"/>
          <w:szCs w:val="24"/>
        </w:rPr>
        <w:t>受拉构件的截面加固形式</w:t>
      </w:r>
    </w:p>
    <w:p w14:paraId="2D0D4AA4">
      <w:pPr>
        <w:pStyle w:val="6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1-原截面；2-增加截面</w:t>
      </w:r>
    </w:p>
    <w:p w14:paraId="5FE5503E">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z w:val="24"/>
          <w:szCs w:val="24"/>
          <w:lang w:eastAsia="zh-CN"/>
        </w:rPr>
        <w:t>3</w:t>
      </w:r>
      <w:r>
        <w:rPr>
          <w:rFonts w:hint="default" w:ascii="Times New Roman" w:hAnsi="Times New Roman" w:eastAsia="宋体" w:cs="Times New Roman"/>
          <w:bCs/>
          <w:color w:val="auto"/>
          <w:sz w:val="24"/>
          <w:szCs w:val="24"/>
          <w:lang w:eastAsia="zh-CN"/>
        </w:rPr>
        <w:t xml:space="preserve"> </w:t>
      </w:r>
      <w:r>
        <w:rPr>
          <w:rFonts w:hint="default" w:ascii="Times New Roman" w:hAnsi="Times New Roman" w:eastAsia="宋体" w:cs="Times New Roman"/>
          <w:color w:val="auto"/>
          <w:sz w:val="24"/>
          <w:szCs w:val="24"/>
          <w:lang w:eastAsia="zh-CN"/>
        </w:rPr>
        <w:t>受压构件的截面加固可采用图</w:t>
      </w:r>
      <w:r>
        <w:rPr>
          <w:rFonts w:hint="default" w:ascii="Times New Roman" w:hAnsi="Times New Roman" w:eastAsia="宋体" w:cs="Times New Roman"/>
          <w:color w:val="auto"/>
          <w:sz w:val="24"/>
          <w:szCs w:val="24"/>
          <w:lang w:val="en-US" w:eastAsia="zh-CN"/>
        </w:rPr>
        <w:t>8.3</w:t>
      </w:r>
      <w:r>
        <w:rPr>
          <w:rFonts w:hint="default" w:ascii="Times New Roman" w:hAnsi="Times New Roman" w:eastAsia="宋体" w:cs="Times New Roman"/>
          <w:color w:val="auto"/>
          <w:sz w:val="24"/>
          <w:szCs w:val="24"/>
          <w:lang w:eastAsia="zh-CN"/>
        </w:rPr>
        <w:t>.1-2所示加固形式。</w:t>
      </w:r>
    </w:p>
    <w:p w14:paraId="1909A5B0">
      <w:pPr>
        <w:spacing w:before="33" w:line="304" w:lineRule="auto"/>
        <w:ind w:right="105"/>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position w:val="-88"/>
          <w:sz w:val="24"/>
          <w:szCs w:val="24"/>
        </w:rPr>
        <w:drawing>
          <wp:inline distT="0" distB="0" distL="0" distR="0">
            <wp:extent cx="2816860" cy="2576830"/>
            <wp:effectExtent l="0" t="0" r="2540" b="13970"/>
            <wp:docPr id="35" name="IM 42" descr="图示, 工程绘图&#10;&#10;描述已自动生成"/>
            <wp:cNvGraphicFramePr/>
            <a:graphic xmlns:a="http://schemas.openxmlformats.org/drawingml/2006/main">
              <a:graphicData uri="http://schemas.openxmlformats.org/drawingml/2006/picture">
                <pic:pic xmlns:pic="http://schemas.openxmlformats.org/drawingml/2006/picture">
                  <pic:nvPicPr>
                    <pic:cNvPr id="35" name="IM 42" descr="图示, 工程绘图&#10;&#10;描述已自动生成"/>
                    <pic:cNvPicPr/>
                  </pic:nvPicPr>
                  <pic:blipFill>
                    <a:blip r:embed="rId332"/>
                    <a:stretch>
                      <a:fillRect/>
                    </a:stretch>
                  </pic:blipFill>
                  <pic:spPr>
                    <a:xfrm>
                      <a:off x="0" y="0"/>
                      <a:ext cx="2828094" cy="2587103"/>
                    </a:xfrm>
                    <a:prstGeom prst="rect">
                      <a:avLst/>
                    </a:prstGeom>
                  </pic:spPr>
                </pic:pic>
              </a:graphicData>
            </a:graphic>
          </wp:inline>
        </w:drawing>
      </w:r>
    </w:p>
    <w:p w14:paraId="5E341CE8">
      <w:pPr>
        <w:pStyle w:val="65"/>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图</w:t>
      </w:r>
      <w:r>
        <w:rPr>
          <w:rFonts w:hint="default" w:ascii="Times New Roman" w:hAnsi="Times New Roman" w:eastAsia="宋体" w:cs="Times New Roman"/>
          <w:color w:val="auto"/>
          <w:sz w:val="24"/>
          <w:szCs w:val="24"/>
          <w:lang w:eastAsia="zh-CN"/>
        </w:rPr>
        <w:t>8.3</w:t>
      </w:r>
      <w:r>
        <w:rPr>
          <w:rFonts w:hint="default" w:ascii="Times New Roman" w:hAnsi="Times New Roman" w:eastAsia="宋体" w:cs="Times New Roman"/>
          <w:color w:val="auto"/>
          <w:sz w:val="24"/>
          <w:szCs w:val="24"/>
        </w:rPr>
        <w:t>.1-2</w:t>
      </w:r>
      <w:r>
        <w:rPr>
          <w:rFonts w:hint="default" w:ascii="Times New Roman" w:hAnsi="Times New Roman" w:eastAsia="宋体" w:cs="Times New Roman"/>
          <w:color w:val="auto"/>
          <w:spacing w:val="13"/>
          <w:w w:val="101"/>
          <w:sz w:val="24"/>
          <w:szCs w:val="24"/>
        </w:rPr>
        <w:t xml:space="preserve"> </w:t>
      </w:r>
      <w:r>
        <w:rPr>
          <w:rFonts w:hint="default" w:ascii="Times New Roman" w:hAnsi="Times New Roman" w:eastAsia="宋体" w:cs="Times New Roman"/>
          <w:color w:val="auto"/>
          <w:sz w:val="24"/>
          <w:szCs w:val="24"/>
        </w:rPr>
        <w:t>受压构件的截面加固形式</w:t>
      </w:r>
    </w:p>
    <w:p w14:paraId="593F532F">
      <w:pPr>
        <w:pStyle w:val="65"/>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spacing w:val="6"/>
          <w:sz w:val="21"/>
          <w:szCs w:val="21"/>
        </w:rPr>
        <w:t>1-原截面；2-增加截面；3-辅助板件</w:t>
      </w:r>
    </w:p>
    <w:p w14:paraId="3031D53F">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z w:val="24"/>
          <w:szCs w:val="24"/>
          <w:lang w:eastAsia="zh-CN"/>
        </w:rPr>
        <w:t>4</w:t>
      </w:r>
      <w:r>
        <w:rPr>
          <w:rFonts w:hint="default" w:ascii="Times New Roman" w:hAnsi="Times New Roman" w:eastAsia="宋体" w:cs="Times New Roman"/>
          <w:bCs/>
          <w:color w:val="auto"/>
          <w:sz w:val="24"/>
          <w:szCs w:val="24"/>
          <w:lang w:eastAsia="zh-CN"/>
        </w:rPr>
        <w:t xml:space="preserve"> </w:t>
      </w:r>
      <w:r>
        <w:rPr>
          <w:rFonts w:hint="default" w:ascii="Times New Roman" w:hAnsi="Times New Roman" w:eastAsia="宋体" w:cs="Times New Roman"/>
          <w:color w:val="auto"/>
          <w:sz w:val="24"/>
          <w:szCs w:val="24"/>
          <w:lang w:eastAsia="zh-CN"/>
        </w:rPr>
        <w:t>受弯构件的截面加固可采用图8.3.1-3所示加固形式。</w:t>
      </w:r>
    </w:p>
    <w:p w14:paraId="7B864A56">
      <w:pPr>
        <w:spacing w:before="13" w:line="2083" w:lineRule="exact"/>
        <w:ind w:firstLine="1638"/>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position w:val="-41"/>
          <w:sz w:val="24"/>
          <w:szCs w:val="24"/>
        </w:rPr>
        <w:drawing>
          <wp:inline distT="0" distB="0" distL="0" distR="0">
            <wp:extent cx="3517265" cy="1322705"/>
            <wp:effectExtent l="0" t="0" r="6985" b="10795"/>
            <wp:docPr id="36" name="IM 44"/>
            <wp:cNvGraphicFramePr/>
            <a:graphic xmlns:a="http://schemas.openxmlformats.org/drawingml/2006/main">
              <a:graphicData uri="http://schemas.openxmlformats.org/drawingml/2006/picture">
                <pic:pic xmlns:pic="http://schemas.openxmlformats.org/drawingml/2006/picture">
                  <pic:nvPicPr>
                    <pic:cNvPr id="36" name="IM 44"/>
                    <pic:cNvPicPr/>
                  </pic:nvPicPr>
                  <pic:blipFill>
                    <a:blip r:embed="rId333"/>
                    <a:stretch>
                      <a:fillRect/>
                    </a:stretch>
                  </pic:blipFill>
                  <pic:spPr>
                    <a:xfrm>
                      <a:off x="0" y="0"/>
                      <a:ext cx="3517391" cy="1322832"/>
                    </a:xfrm>
                    <a:prstGeom prst="rect">
                      <a:avLst/>
                    </a:prstGeom>
                  </pic:spPr>
                </pic:pic>
              </a:graphicData>
            </a:graphic>
          </wp:inline>
        </w:drawing>
      </w:r>
    </w:p>
    <w:p w14:paraId="4243CADE">
      <w:pPr>
        <w:spacing w:before="98" w:line="2280" w:lineRule="exact"/>
        <w:ind w:firstLine="1754"/>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position w:val="-45"/>
          <w:sz w:val="24"/>
          <w:szCs w:val="24"/>
        </w:rPr>
        <w:drawing>
          <wp:inline distT="0" distB="0" distL="0" distR="0">
            <wp:extent cx="3368040" cy="1447800"/>
            <wp:effectExtent l="0" t="0" r="3810" b="0"/>
            <wp:docPr id="37" name="IM 46"/>
            <wp:cNvGraphicFramePr/>
            <a:graphic xmlns:a="http://schemas.openxmlformats.org/drawingml/2006/main">
              <a:graphicData uri="http://schemas.openxmlformats.org/drawingml/2006/picture">
                <pic:pic xmlns:pic="http://schemas.openxmlformats.org/drawingml/2006/picture">
                  <pic:nvPicPr>
                    <pic:cNvPr id="37" name="IM 46"/>
                    <pic:cNvPicPr/>
                  </pic:nvPicPr>
                  <pic:blipFill>
                    <a:blip r:embed="rId334"/>
                    <a:stretch>
                      <a:fillRect/>
                    </a:stretch>
                  </pic:blipFill>
                  <pic:spPr>
                    <a:xfrm>
                      <a:off x="0" y="0"/>
                      <a:ext cx="3368040" cy="1447800"/>
                    </a:xfrm>
                    <a:prstGeom prst="rect">
                      <a:avLst/>
                    </a:prstGeom>
                  </pic:spPr>
                </pic:pic>
              </a:graphicData>
            </a:graphic>
          </wp:inline>
        </w:drawing>
      </w:r>
    </w:p>
    <w:p w14:paraId="345B2082">
      <w:pPr>
        <w:pStyle w:val="65"/>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图</w:t>
      </w:r>
      <w:r>
        <w:rPr>
          <w:rFonts w:hint="default" w:ascii="Times New Roman" w:hAnsi="Times New Roman" w:eastAsia="宋体" w:cs="Times New Roman"/>
          <w:color w:val="auto"/>
          <w:sz w:val="24"/>
          <w:szCs w:val="24"/>
          <w:lang w:eastAsia="zh-CN"/>
        </w:rPr>
        <w:t>8.3</w:t>
      </w:r>
      <w:r>
        <w:rPr>
          <w:rFonts w:hint="default" w:ascii="Times New Roman" w:hAnsi="Times New Roman" w:eastAsia="宋体" w:cs="Times New Roman"/>
          <w:color w:val="auto"/>
          <w:sz w:val="24"/>
          <w:szCs w:val="24"/>
        </w:rPr>
        <w:t>.1-3</w:t>
      </w:r>
      <w:r>
        <w:rPr>
          <w:rFonts w:hint="default" w:ascii="Times New Roman" w:hAnsi="Times New Roman" w:eastAsia="宋体" w:cs="Times New Roman"/>
          <w:color w:val="auto"/>
          <w:spacing w:val="13"/>
          <w:w w:val="101"/>
          <w:sz w:val="24"/>
          <w:szCs w:val="24"/>
        </w:rPr>
        <w:t xml:space="preserve"> </w:t>
      </w:r>
      <w:r>
        <w:rPr>
          <w:rFonts w:hint="default" w:ascii="Times New Roman" w:hAnsi="Times New Roman" w:eastAsia="宋体" w:cs="Times New Roman"/>
          <w:color w:val="auto"/>
          <w:sz w:val="24"/>
          <w:szCs w:val="24"/>
        </w:rPr>
        <w:t>受弯构件的截面加固形式</w:t>
      </w:r>
    </w:p>
    <w:p w14:paraId="19F3E36B">
      <w:pPr>
        <w:pStyle w:val="6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1-原截面；2-增加截面</w:t>
      </w:r>
    </w:p>
    <w:p w14:paraId="27D8C421">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z w:val="24"/>
          <w:szCs w:val="24"/>
          <w:lang w:eastAsia="zh-CN"/>
        </w:rPr>
        <w:t>5</w:t>
      </w:r>
      <w:r>
        <w:rPr>
          <w:rFonts w:hint="default" w:ascii="Times New Roman" w:hAnsi="Times New Roman" w:eastAsia="宋体" w:cs="Times New Roman"/>
          <w:bCs/>
          <w:color w:val="auto"/>
          <w:sz w:val="24"/>
          <w:szCs w:val="24"/>
          <w:lang w:eastAsia="zh-CN"/>
        </w:rPr>
        <w:t xml:space="preserve"> </w:t>
      </w:r>
      <w:r>
        <w:rPr>
          <w:rFonts w:hint="default" w:ascii="Times New Roman" w:hAnsi="Times New Roman" w:eastAsia="宋体" w:cs="Times New Roman"/>
          <w:color w:val="auto"/>
          <w:sz w:val="24"/>
          <w:szCs w:val="24"/>
          <w:lang w:eastAsia="zh-CN"/>
        </w:rPr>
        <w:t>弯矩不变号偏心受力构件的截面加固可参照图8.3.1-4(a)~图8.3.1-4(e)</w:t>
      </w:r>
      <w:r>
        <w:rPr>
          <w:rFonts w:hint="default" w:ascii="Times New Roman" w:hAnsi="Times New Roman" w:eastAsia="宋体" w:cs="Times New Roman"/>
          <w:color w:val="auto"/>
          <w:spacing w:val="-2"/>
          <w:sz w:val="24"/>
          <w:szCs w:val="24"/>
          <w:lang w:eastAsia="zh-CN"/>
        </w:rPr>
        <w:t>所示不</w:t>
      </w:r>
      <w:r>
        <w:rPr>
          <w:rFonts w:hint="default" w:ascii="Times New Roman" w:hAnsi="Times New Roman" w:eastAsia="宋体" w:cs="Times New Roman"/>
          <w:color w:val="auto"/>
          <w:sz w:val="24"/>
          <w:szCs w:val="24"/>
          <w:lang w:eastAsia="zh-CN"/>
        </w:rPr>
        <w:t>对称加固形式。若弯矩可能变号，应采用图8.3.1-4(f)所示对称加固形式。</w:t>
      </w:r>
    </w:p>
    <w:p w14:paraId="04362CB1">
      <w:pPr>
        <w:spacing w:line="276" w:lineRule="auto"/>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position w:val="-68"/>
          <w:sz w:val="24"/>
          <w:szCs w:val="24"/>
        </w:rPr>
        <w:drawing>
          <wp:inline distT="0" distB="0" distL="0" distR="0">
            <wp:extent cx="3605530" cy="2159000"/>
            <wp:effectExtent l="0" t="0" r="13970" b="12700"/>
            <wp:docPr id="38" name="IM 48"/>
            <wp:cNvGraphicFramePr/>
            <a:graphic xmlns:a="http://schemas.openxmlformats.org/drawingml/2006/main">
              <a:graphicData uri="http://schemas.openxmlformats.org/drawingml/2006/picture">
                <pic:pic xmlns:pic="http://schemas.openxmlformats.org/drawingml/2006/picture">
                  <pic:nvPicPr>
                    <pic:cNvPr id="38" name="IM 48"/>
                    <pic:cNvPicPr/>
                  </pic:nvPicPr>
                  <pic:blipFill>
                    <a:blip r:embed="rId335"/>
                    <a:stretch>
                      <a:fillRect/>
                    </a:stretch>
                  </pic:blipFill>
                  <pic:spPr>
                    <a:xfrm>
                      <a:off x="0" y="0"/>
                      <a:ext cx="3605783" cy="2159507"/>
                    </a:xfrm>
                    <a:prstGeom prst="rect">
                      <a:avLst/>
                    </a:prstGeom>
                  </pic:spPr>
                </pic:pic>
              </a:graphicData>
            </a:graphic>
          </wp:inline>
        </w:drawing>
      </w:r>
    </w:p>
    <w:p w14:paraId="7417A88E">
      <w:pPr>
        <w:pStyle w:val="65"/>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图</w:t>
      </w:r>
      <w:r>
        <w:rPr>
          <w:rFonts w:hint="default" w:ascii="Times New Roman" w:hAnsi="Times New Roman" w:eastAsia="宋体" w:cs="Times New Roman"/>
          <w:color w:val="auto"/>
          <w:sz w:val="24"/>
          <w:szCs w:val="24"/>
          <w:lang w:eastAsia="zh-CN"/>
        </w:rPr>
        <w:t>8.3</w:t>
      </w:r>
      <w:r>
        <w:rPr>
          <w:rFonts w:hint="default" w:ascii="Times New Roman" w:hAnsi="Times New Roman" w:eastAsia="宋体" w:cs="Times New Roman"/>
          <w:color w:val="auto"/>
          <w:sz w:val="24"/>
          <w:szCs w:val="24"/>
        </w:rPr>
        <w:t>.1-4 弯矩不变号偏心受力构件</w:t>
      </w:r>
      <w:r>
        <w:rPr>
          <w:rFonts w:hint="default" w:ascii="Times New Roman" w:hAnsi="Times New Roman" w:eastAsia="宋体" w:cs="Times New Roman"/>
          <w:color w:val="auto"/>
          <w:spacing w:val="6"/>
          <w:sz w:val="24"/>
          <w:szCs w:val="24"/>
        </w:rPr>
        <w:t>的截面加固形式</w:t>
      </w:r>
    </w:p>
    <w:p w14:paraId="55B67D39">
      <w:pPr>
        <w:pStyle w:val="6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1-原截面；2-增加截面</w:t>
      </w:r>
    </w:p>
    <w:p w14:paraId="7A3680C3">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z w:val="24"/>
          <w:szCs w:val="24"/>
          <w:lang w:eastAsia="zh-CN"/>
        </w:rPr>
        <w:t>6</w:t>
      </w:r>
      <w:r>
        <w:rPr>
          <w:rFonts w:hint="default" w:ascii="Times New Roman" w:hAnsi="Times New Roman" w:eastAsia="宋体" w:cs="Times New Roman"/>
          <w:bCs/>
          <w:color w:val="auto"/>
          <w:sz w:val="24"/>
          <w:szCs w:val="24"/>
          <w:lang w:eastAsia="zh-CN"/>
        </w:rPr>
        <w:t xml:space="preserve"> </w:t>
      </w:r>
      <w:r>
        <w:rPr>
          <w:rFonts w:hint="default" w:ascii="Times New Roman" w:hAnsi="Times New Roman" w:eastAsia="宋体" w:cs="Times New Roman"/>
          <w:color w:val="auto"/>
          <w:sz w:val="24"/>
          <w:szCs w:val="24"/>
          <w:lang w:eastAsia="zh-CN"/>
        </w:rPr>
        <w:t>采用增大截面法加固钢结构构件时，其构造</w:t>
      </w:r>
      <w:r>
        <w:rPr>
          <w:rFonts w:hint="default" w:ascii="Times New Roman" w:hAnsi="Times New Roman" w:eastAsia="宋体" w:cs="Times New Roman"/>
          <w:color w:val="auto"/>
          <w:spacing w:val="-1"/>
          <w:sz w:val="24"/>
          <w:szCs w:val="24"/>
          <w:lang w:eastAsia="zh-CN"/>
        </w:rPr>
        <w:t>设计应符合下列规定：</w:t>
      </w:r>
    </w:p>
    <w:p w14:paraId="561A1F24">
      <w:pPr>
        <w:pStyle w:val="12"/>
        <w:ind w:firstLine="717" w:firstLineChars="3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pacing w:val="-1"/>
          <w:sz w:val="24"/>
          <w:szCs w:val="24"/>
          <w:lang w:eastAsia="zh-CN"/>
        </w:rPr>
        <w:t>1）</w:t>
      </w:r>
      <w:r>
        <w:rPr>
          <w:rFonts w:hint="default" w:ascii="Times New Roman" w:hAnsi="Times New Roman" w:eastAsia="宋体" w:cs="Times New Roman"/>
          <w:color w:val="auto"/>
          <w:spacing w:val="-1"/>
          <w:sz w:val="24"/>
          <w:szCs w:val="24"/>
          <w:lang w:eastAsia="zh-CN"/>
        </w:rPr>
        <w:t>对轴心受力、偏心受力构件和非简支受弯构件，其加固件应与原构件支座或节点有可靠的连接和锚固；</w:t>
      </w:r>
    </w:p>
    <w:p w14:paraId="7E39AF99">
      <w:pPr>
        <w:pStyle w:val="12"/>
        <w:ind w:firstLine="717" w:firstLineChars="3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pacing w:val="-1"/>
          <w:sz w:val="24"/>
          <w:szCs w:val="24"/>
          <w:lang w:eastAsia="zh-CN"/>
        </w:rPr>
        <w:t>2）</w:t>
      </w:r>
      <w:r>
        <w:rPr>
          <w:rFonts w:hint="default" w:ascii="Times New Roman" w:hAnsi="Times New Roman" w:eastAsia="宋体" w:cs="Times New Roman"/>
          <w:color w:val="auto"/>
          <w:sz w:val="24"/>
          <w:szCs w:val="24"/>
          <w:lang w:eastAsia="zh-CN"/>
        </w:rPr>
        <w:t>加固件的布置不宜采用导致截面形心偏</w:t>
      </w:r>
      <w:r>
        <w:rPr>
          <w:rFonts w:hint="default" w:ascii="Times New Roman" w:hAnsi="Times New Roman" w:eastAsia="宋体" w:cs="Times New Roman"/>
          <w:color w:val="auto"/>
          <w:spacing w:val="-1"/>
          <w:sz w:val="24"/>
          <w:szCs w:val="24"/>
          <w:lang w:eastAsia="zh-CN"/>
        </w:rPr>
        <w:t>移的构造方式；</w:t>
      </w:r>
    </w:p>
    <w:p w14:paraId="14BB209E">
      <w:pPr>
        <w:pStyle w:val="12"/>
        <w:ind w:firstLine="717" w:firstLineChars="3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pacing w:val="-1"/>
          <w:sz w:val="24"/>
          <w:szCs w:val="24"/>
          <w:lang w:eastAsia="zh-CN"/>
        </w:rPr>
        <w:t>3）</w:t>
      </w:r>
      <w:r>
        <w:rPr>
          <w:rFonts w:hint="default" w:ascii="Times New Roman" w:hAnsi="Times New Roman" w:eastAsia="宋体" w:cs="Times New Roman"/>
          <w:color w:val="auto"/>
          <w:sz w:val="24"/>
          <w:szCs w:val="24"/>
          <w:lang w:eastAsia="zh-CN"/>
        </w:rPr>
        <w:t>加固件的切断位置，应以最大限度减小应</w:t>
      </w:r>
      <w:r>
        <w:rPr>
          <w:rFonts w:hint="default" w:ascii="Times New Roman" w:hAnsi="Times New Roman" w:eastAsia="宋体" w:cs="Times New Roman"/>
          <w:color w:val="auto"/>
          <w:spacing w:val="-1"/>
          <w:sz w:val="24"/>
          <w:szCs w:val="24"/>
          <w:lang w:eastAsia="zh-CN"/>
        </w:rPr>
        <w:t>力集中为原则，并应保证未被加固处的截面在设计荷载作用下仍处于弹性工作阶段。</w:t>
      </w:r>
    </w:p>
    <w:p w14:paraId="7C166E82">
      <w:pPr>
        <w:pStyle w:val="12"/>
        <w:ind w:firstLine="41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pacing w:val="-3"/>
          <w:sz w:val="24"/>
          <w:szCs w:val="24"/>
          <w:lang w:eastAsia="zh-CN"/>
        </w:rPr>
        <w:t>7</w:t>
      </w:r>
      <w:r>
        <w:rPr>
          <w:rFonts w:hint="default" w:ascii="Times New Roman" w:hAnsi="Times New Roman" w:eastAsia="宋体" w:cs="Times New Roman"/>
          <w:bCs/>
          <w:color w:val="auto"/>
          <w:spacing w:val="-3"/>
          <w:sz w:val="24"/>
          <w:szCs w:val="24"/>
          <w:lang w:eastAsia="zh-CN"/>
        </w:rPr>
        <w:t xml:space="preserve"> </w:t>
      </w:r>
      <w:r>
        <w:rPr>
          <w:rFonts w:hint="default" w:ascii="Times New Roman" w:hAnsi="Times New Roman" w:eastAsia="宋体" w:cs="Times New Roman"/>
          <w:color w:val="auto"/>
          <w:spacing w:val="-3"/>
          <w:sz w:val="24"/>
          <w:szCs w:val="24"/>
          <w:lang w:eastAsia="zh-CN"/>
        </w:rPr>
        <w:t>完全卸荷状态下，采用增大截面法加固钢构件的设计、计算可按《钢结构</w:t>
      </w:r>
      <w:r>
        <w:rPr>
          <w:rFonts w:hint="default" w:ascii="Times New Roman" w:hAnsi="Times New Roman" w:eastAsia="宋体" w:cs="Times New Roman"/>
          <w:color w:val="auto"/>
          <w:spacing w:val="-2"/>
          <w:sz w:val="24"/>
          <w:szCs w:val="24"/>
          <w:lang w:eastAsia="zh-CN"/>
        </w:rPr>
        <w:t>设计标准》GB 50017的规定进行，并应符合下列条件：</w:t>
      </w:r>
    </w:p>
    <w:p w14:paraId="3CC0B114">
      <w:pPr>
        <w:pStyle w:val="12"/>
        <w:ind w:firstLine="717" w:firstLineChars="3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pacing w:val="-1"/>
          <w:sz w:val="24"/>
          <w:szCs w:val="24"/>
          <w:lang w:eastAsia="zh-CN"/>
        </w:rPr>
        <w:t>1）</w:t>
      </w:r>
      <w:r>
        <w:rPr>
          <w:rFonts w:hint="default" w:ascii="Times New Roman" w:hAnsi="Times New Roman" w:eastAsia="宋体" w:cs="Times New Roman"/>
          <w:color w:val="auto"/>
          <w:spacing w:val="-2"/>
          <w:sz w:val="24"/>
          <w:szCs w:val="24"/>
          <w:lang w:eastAsia="zh-CN"/>
        </w:rPr>
        <w:t>原构件的缺陷和损伤应已得到有效补强；</w:t>
      </w:r>
    </w:p>
    <w:p w14:paraId="474717A1">
      <w:pPr>
        <w:pStyle w:val="12"/>
        <w:ind w:firstLine="717" w:firstLineChars="3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pacing w:val="-1"/>
          <w:sz w:val="24"/>
          <w:szCs w:val="24"/>
          <w:lang w:eastAsia="zh-CN"/>
        </w:rPr>
        <w:t>2）</w:t>
      </w:r>
      <w:r>
        <w:rPr>
          <w:rFonts w:hint="default" w:ascii="Times New Roman" w:hAnsi="Times New Roman" w:eastAsia="宋体" w:cs="Times New Roman"/>
          <w:color w:val="auto"/>
          <w:sz w:val="24"/>
          <w:szCs w:val="24"/>
          <w:lang w:eastAsia="zh-CN"/>
        </w:rPr>
        <w:t>原构件钢材强度设计值应已根据可靠性</w:t>
      </w:r>
      <w:r>
        <w:rPr>
          <w:rFonts w:hint="default" w:ascii="Times New Roman" w:hAnsi="Times New Roman" w:eastAsia="宋体" w:cs="Times New Roman"/>
          <w:color w:val="auto"/>
          <w:spacing w:val="-1"/>
          <w:sz w:val="24"/>
          <w:szCs w:val="24"/>
          <w:lang w:eastAsia="zh-CN"/>
        </w:rPr>
        <w:t>鉴定报告确定；</w:t>
      </w:r>
    </w:p>
    <w:p w14:paraId="3E9104DB">
      <w:pPr>
        <w:pStyle w:val="12"/>
        <w:ind w:firstLine="717" w:firstLineChars="3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pacing w:val="-1"/>
          <w:sz w:val="24"/>
          <w:szCs w:val="24"/>
          <w:lang w:eastAsia="zh-CN"/>
        </w:rPr>
        <w:t>3）</w:t>
      </w:r>
      <w:r>
        <w:rPr>
          <w:rFonts w:hint="default" w:ascii="Times New Roman" w:hAnsi="Times New Roman" w:eastAsia="宋体" w:cs="Times New Roman"/>
          <w:color w:val="auto"/>
          <w:sz w:val="24"/>
          <w:szCs w:val="24"/>
          <w:lang w:eastAsia="zh-CN"/>
        </w:rPr>
        <w:t>当采用焊接方法加固时，其新老构件之</w:t>
      </w:r>
      <w:r>
        <w:rPr>
          <w:rFonts w:hint="default" w:ascii="Times New Roman" w:hAnsi="Times New Roman" w:eastAsia="宋体" w:cs="Times New Roman"/>
          <w:color w:val="auto"/>
          <w:spacing w:val="-1"/>
          <w:sz w:val="24"/>
          <w:szCs w:val="24"/>
          <w:lang w:eastAsia="zh-CN"/>
        </w:rPr>
        <w:t>间的可焊性应已得到确认。</w:t>
      </w:r>
    </w:p>
    <w:p w14:paraId="065223EB">
      <w:pPr>
        <w:pStyle w:val="12"/>
        <w:ind w:firstLine="41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pacing w:val="-3"/>
          <w:sz w:val="24"/>
          <w:szCs w:val="24"/>
          <w:lang w:eastAsia="zh-CN"/>
        </w:rPr>
        <w:t>8</w:t>
      </w:r>
      <w:r>
        <w:rPr>
          <w:rFonts w:hint="default" w:ascii="Times New Roman" w:hAnsi="Times New Roman" w:eastAsia="宋体" w:cs="Times New Roman"/>
          <w:bCs/>
          <w:color w:val="auto"/>
          <w:spacing w:val="-3"/>
          <w:sz w:val="24"/>
          <w:szCs w:val="24"/>
          <w:lang w:eastAsia="zh-CN"/>
        </w:rPr>
        <w:t xml:space="preserve"> </w:t>
      </w:r>
      <w:r>
        <w:rPr>
          <w:rFonts w:hint="default" w:ascii="Times New Roman" w:hAnsi="Times New Roman" w:eastAsia="宋体" w:cs="Times New Roman"/>
          <w:color w:val="auto"/>
          <w:spacing w:val="-3"/>
          <w:sz w:val="24"/>
          <w:szCs w:val="24"/>
          <w:lang w:eastAsia="zh-CN"/>
        </w:rPr>
        <w:t>负荷状态下，采用增大截面法加固钢构件的设计、计算应按《钢结构加固</w:t>
      </w:r>
      <w:r>
        <w:rPr>
          <w:rFonts w:hint="default" w:ascii="Times New Roman" w:hAnsi="Times New Roman" w:eastAsia="宋体" w:cs="Times New Roman"/>
          <w:color w:val="auto"/>
          <w:sz w:val="24"/>
          <w:szCs w:val="24"/>
          <w:lang w:eastAsia="zh-CN"/>
        </w:rPr>
        <w:t>设计标准》GB 51367的相关规定进行。钢构件</w:t>
      </w:r>
      <w:r>
        <w:rPr>
          <w:rFonts w:hint="default" w:ascii="Times New Roman" w:hAnsi="Times New Roman" w:eastAsia="宋体" w:cs="Times New Roman"/>
          <w:color w:val="auto"/>
          <w:spacing w:val="-1"/>
          <w:sz w:val="24"/>
          <w:szCs w:val="24"/>
          <w:lang w:eastAsia="zh-CN"/>
        </w:rPr>
        <w:t>增大截面加固应符合下列条件：</w:t>
      </w:r>
    </w:p>
    <w:p w14:paraId="3A07E4E8">
      <w:pPr>
        <w:pStyle w:val="12"/>
        <w:spacing w:line="240" w:lineRule="auto"/>
        <w:ind w:firstLine="717" w:firstLineChars="3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pacing w:val="-1"/>
          <w:sz w:val="24"/>
          <w:szCs w:val="24"/>
          <w:lang w:eastAsia="zh-CN"/>
        </w:rPr>
        <w:t>1）</w:t>
      </w:r>
      <w:r>
        <w:rPr>
          <w:rFonts w:hint="default" w:ascii="Times New Roman" w:hAnsi="Times New Roman" w:eastAsia="宋体" w:cs="Times New Roman"/>
          <w:color w:val="auto"/>
          <w:spacing w:val="-1"/>
          <w:sz w:val="24"/>
          <w:szCs w:val="24"/>
          <w:lang w:eastAsia="zh-CN"/>
        </w:rPr>
        <w:t>当采用焊接加固时，原构件最大名义应力</w:t>
      </w:r>
      <w:r>
        <w:rPr>
          <w:rFonts w:hint="default" w:ascii="Times New Roman" w:hAnsi="Times New Roman" w:eastAsia="宋体" w:cs="Times New Roman"/>
          <w:color w:val="auto"/>
          <w:position w:val="-12"/>
          <w:sz w:val="24"/>
          <w:szCs w:val="24"/>
        </w:rPr>
        <w:object>
          <v:shape id="_x0000_i1183" o:spt="75" type="#_x0000_t75" style="height:18.45pt;width:27.65pt;" o:ole="t" filled="f" o:preferrelative="t" stroked="f" coordsize="21600,21600">
            <v:path/>
            <v:fill on="f" focussize="0,0"/>
            <v:stroke on="f" joinstyle="miter"/>
            <v:imagedata r:id="rId337" o:title=""/>
            <o:lock v:ext="edit" aspectratio="t"/>
            <w10:wrap type="none"/>
            <w10:anchorlock/>
          </v:shape>
          <o:OLEObject Type="Embed" ProgID="Equation.DSMT4" ShapeID="_x0000_i1183" DrawAspect="Content" ObjectID="_1468075883" r:id="rId336">
            <o:LockedField>false</o:LockedField>
          </o:OLEObject>
        </w:object>
      </w:r>
      <w:r>
        <w:rPr>
          <w:rFonts w:hint="default" w:ascii="Times New Roman" w:hAnsi="Times New Roman" w:eastAsia="宋体" w:cs="Times New Roman"/>
          <w:color w:val="auto"/>
          <w:sz w:val="24"/>
          <w:szCs w:val="24"/>
          <w:lang w:eastAsia="zh-CN"/>
        </w:rPr>
        <w:t>应</w:t>
      </w:r>
      <w:r>
        <w:rPr>
          <w:rFonts w:hint="default" w:ascii="Times New Roman" w:hAnsi="Times New Roman" w:eastAsia="宋体" w:cs="Times New Roman"/>
          <w:color w:val="auto"/>
          <w:spacing w:val="-1"/>
          <w:sz w:val="24"/>
          <w:szCs w:val="24"/>
          <w:lang w:eastAsia="zh-CN"/>
        </w:rPr>
        <w:t>满足规范对各类结构规</w:t>
      </w:r>
      <w:r>
        <w:rPr>
          <w:rFonts w:hint="default" w:ascii="Times New Roman" w:hAnsi="Times New Roman" w:eastAsia="宋体" w:cs="Times New Roman"/>
          <w:color w:val="auto"/>
          <w:spacing w:val="-3"/>
          <w:sz w:val="24"/>
          <w:szCs w:val="24"/>
          <w:lang w:eastAsia="zh-CN"/>
        </w:rPr>
        <w:t>定的</w:t>
      </w:r>
      <w:r>
        <w:rPr>
          <w:rFonts w:hint="default" w:ascii="Times New Roman" w:hAnsi="Times New Roman" w:eastAsia="宋体" w:cs="Times New Roman"/>
          <w:color w:val="auto"/>
          <w:position w:val="-14"/>
          <w:sz w:val="24"/>
          <w:szCs w:val="24"/>
        </w:rPr>
        <w:object>
          <v:shape id="_x0000_i1184" o:spt="75" type="#_x0000_t75" style="height:19.6pt;width:46.65pt;" o:ole="t" filled="f" o:preferrelative="t" stroked="f" coordsize="21600,21600">
            <v:path/>
            <v:fill on="f" focussize="0,0"/>
            <v:stroke on="f" joinstyle="miter"/>
            <v:imagedata r:id="rId339" o:title=""/>
            <o:lock v:ext="edit" aspectratio="t"/>
            <w10:wrap type="none"/>
            <w10:anchorlock/>
          </v:shape>
          <o:OLEObject Type="Embed" ProgID="Equation.DSMT4" ShapeID="_x0000_i1184" DrawAspect="Content" ObjectID="_1468075884" r:id="rId338">
            <o:LockedField>false</o:LockedField>
          </o:OLEObject>
        </w:object>
      </w:r>
      <w:r>
        <w:rPr>
          <w:rFonts w:hint="default" w:ascii="Times New Roman" w:hAnsi="Times New Roman" w:eastAsia="宋体" w:cs="Times New Roman"/>
          <w:color w:val="auto"/>
          <w:spacing w:val="-3"/>
          <w:sz w:val="24"/>
          <w:szCs w:val="24"/>
          <w:lang w:eastAsia="zh-CN"/>
        </w:rPr>
        <w:t>的限值；</w:t>
      </w:r>
    </w:p>
    <w:p w14:paraId="43E58A95">
      <w:pPr>
        <w:pStyle w:val="12"/>
        <w:spacing w:line="240" w:lineRule="auto"/>
        <w:ind w:firstLine="717" w:firstLineChars="300"/>
        <w:rPr>
          <w:rFonts w:hint="default" w:ascii="Times New Roman" w:hAnsi="Times New Roman" w:eastAsia="宋体" w:cs="Times New Roman"/>
          <w:color w:val="auto"/>
          <w:spacing w:val="-2"/>
          <w:position w:val="2"/>
          <w:sz w:val="24"/>
          <w:szCs w:val="24"/>
          <w:lang w:eastAsia="zh-CN"/>
        </w:rPr>
      </w:pPr>
      <w:r>
        <w:rPr>
          <w:rFonts w:hint="default" w:ascii="Times New Roman" w:hAnsi="Times New Roman" w:eastAsia="宋体" w:cs="Times New Roman"/>
          <w:b/>
          <w:color w:val="auto"/>
          <w:spacing w:val="-1"/>
          <w:sz w:val="24"/>
          <w:szCs w:val="24"/>
          <w:lang w:eastAsia="zh-CN"/>
        </w:rPr>
        <w:t>2）</w:t>
      </w:r>
      <w:r>
        <w:rPr>
          <w:rFonts w:hint="default" w:ascii="Times New Roman" w:hAnsi="Times New Roman" w:eastAsia="宋体" w:cs="Times New Roman"/>
          <w:color w:val="auto"/>
          <w:spacing w:val="-1"/>
          <w:position w:val="2"/>
          <w:sz w:val="24"/>
          <w:szCs w:val="24"/>
          <w:lang w:eastAsia="zh-CN"/>
        </w:rPr>
        <w:t>当采用螺栓连接加固时，原构件最大名义拉应力</w:t>
      </w:r>
      <w:r>
        <w:rPr>
          <w:rFonts w:hint="default" w:ascii="Times New Roman" w:hAnsi="Times New Roman" w:eastAsia="宋体" w:cs="Times New Roman"/>
          <w:color w:val="auto"/>
          <w:position w:val="-12"/>
          <w:sz w:val="24"/>
          <w:szCs w:val="24"/>
        </w:rPr>
        <w:object>
          <v:shape id="_x0000_i1185" o:spt="75" type="#_x0000_t75" style="height:18.45pt;width:27.65pt;" o:ole="t" filled="f" o:preferrelative="t" stroked="f" coordsize="21600,21600">
            <v:path/>
            <v:fill on="f" focussize="0,0"/>
            <v:stroke on="f" joinstyle="miter"/>
            <v:imagedata r:id="rId341" o:title=""/>
            <o:lock v:ext="edit" aspectratio="t"/>
            <w10:wrap type="none"/>
            <w10:anchorlock/>
          </v:shape>
          <o:OLEObject Type="Embed" ProgID="Equation.DSMT4" ShapeID="_x0000_i1185" DrawAspect="Content" ObjectID="_1468075885" r:id="rId340">
            <o:LockedField>false</o:LockedField>
          </o:OLEObject>
        </w:object>
      </w:r>
      <w:r>
        <w:rPr>
          <w:rFonts w:hint="default" w:ascii="Times New Roman" w:hAnsi="Times New Roman" w:eastAsia="宋体" w:cs="Times New Roman"/>
          <w:color w:val="auto"/>
          <w:spacing w:val="-2"/>
          <w:position w:val="2"/>
          <w:sz w:val="24"/>
          <w:szCs w:val="24"/>
          <w:lang w:eastAsia="zh-CN"/>
        </w:rPr>
        <w:t>不应大于0.85</w:t>
      </w:r>
      <w:r>
        <w:rPr>
          <w:rFonts w:hint="default" w:ascii="Times New Roman" w:hAnsi="Times New Roman" w:eastAsia="宋体" w:cs="Times New Roman"/>
          <w:color w:val="auto"/>
          <w:position w:val="-14"/>
          <w:sz w:val="24"/>
          <w:szCs w:val="24"/>
        </w:rPr>
        <w:object>
          <v:shape id="_x0000_i1186" o:spt="75" type="#_x0000_t75" style="height:19.6pt;width:14.4pt;" o:ole="t" filled="f" o:preferrelative="t" stroked="f" coordsize="21600,21600">
            <v:path/>
            <v:fill on="f" focussize="0,0"/>
            <v:stroke on="f" joinstyle="miter"/>
            <v:imagedata r:id="rId343" o:title=""/>
            <o:lock v:ext="edit" aspectratio="t"/>
            <w10:wrap type="none"/>
            <w10:anchorlock/>
          </v:shape>
          <o:OLEObject Type="Embed" ProgID="Equation.DSMT4" ShapeID="_x0000_i1186" DrawAspect="Content" ObjectID="_1468075886" r:id="rId342">
            <o:LockedField>false</o:LockedField>
          </o:OLEObject>
        </w:object>
      </w:r>
      <w:r>
        <w:rPr>
          <w:rFonts w:hint="default" w:ascii="Times New Roman" w:hAnsi="Times New Roman" w:eastAsia="宋体" w:cs="Times New Roman"/>
          <w:color w:val="auto"/>
          <w:spacing w:val="-2"/>
          <w:position w:val="2"/>
          <w:sz w:val="24"/>
          <w:szCs w:val="24"/>
          <w:lang w:eastAsia="zh-CN"/>
        </w:rPr>
        <w:t>。</w:t>
      </w:r>
    </w:p>
    <w:p w14:paraId="1F8068BD">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采用增大构件截面加固钢结构时，会较大影响基本单元——构件甚至结构的受力工作性能，因而指出应根据构件缺陷、损伤状况、加固要求，考虑施工可能，经过设计比较选择最有利的截面形式，本规程附录B给出了各受力构件的一些截面加固形式，可供参考。</w:t>
      </w:r>
    </w:p>
    <w:p w14:paraId="3F11CA58">
      <w:pP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eastAsia="zh-CN"/>
        </w:rPr>
        <w:t>8.3</w:t>
      </w:r>
      <w:r>
        <w:rPr>
          <w:rFonts w:hint="default" w:ascii="Times New Roman" w:hAnsi="Times New Roman" w:eastAsia="宋体" w:cs="Times New Roman"/>
          <w:b/>
          <w:bCs/>
          <w:color w:val="auto"/>
          <w:sz w:val="24"/>
          <w:szCs w:val="24"/>
        </w:rPr>
        <w:t>.2</w:t>
      </w:r>
      <w:r>
        <w:rPr>
          <w:rFonts w:hint="default" w:ascii="Times New Roman" w:hAnsi="Times New Roman" w:eastAsia="宋体" w:cs="Times New Roman"/>
          <w:bCs/>
          <w:color w:val="auto"/>
          <w:sz w:val="24"/>
          <w:szCs w:val="24"/>
        </w:rPr>
        <w:t xml:space="preserve"> </w:t>
      </w:r>
      <w:r>
        <w:rPr>
          <w:rFonts w:hint="default" w:ascii="Times New Roman" w:hAnsi="Times New Roman" w:eastAsia="宋体" w:cs="Times New Roman"/>
          <w:color w:val="auto"/>
          <w:sz w:val="24"/>
          <w:szCs w:val="24"/>
        </w:rPr>
        <w:t>采用粘贴钢板法加固钢构件时，应符合以下要求：</w:t>
      </w:r>
    </w:p>
    <w:p w14:paraId="6017F45F">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z w:val="24"/>
          <w:szCs w:val="24"/>
          <w:lang w:eastAsia="zh-CN"/>
        </w:rPr>
        <w:t>1</w:t>
      </w:r>
      <w:r>
        <w:rPr>
          <w:rFonts w:hint="default" w:ascii="Times New Roman" w:hAnsi="Times New Roman" w:eastAsia="宋体" w:cs="Times New Roman"/>
          <w:bCs/>
          <w:color w:val="auto"/>
          <w:sz w:val="24"/>
          <w:szCs w:val="24"/>
          <w:lang w:eastAsia="zh-CN"/>
        </w:rPr>
        <w:t xml:space="preserve"> </w:t>
      </w:r>
      <w:r>
        <w:rPr>
          <w:rFonts w:hint="default" w:ascii="Times New Roman" w:hAnsi="Times New Roman" w:eastAsia="宋体" w:cs="Times New Roman"/>
          <w:color w:val="auto"/>
          <w:sz w:val="24"/>
          <w:szCs w:val="24"/>
          <w:lang w:eastAsia="zh-CN"/>
        </w:rPr>
        <w:t>采用粘贴钢板对钢结构受弯、受拉、受压或受剪的实腹式构件进行加固时，应符合以下规定：</w:t>
      </w:r>
    </w:p>
    <w:p w14:paraId="58B78223">
      <w:pPr>
        <w:pStyle w:val="12"/>
        <w:ind w:firstLine="711" w:firstLineChars="300"/>
        <w:rPr>
          <w:rFonts w:hint="default" w:ascii="Times New Roman" w:hAnsi="Times New Roman" w:eastAsia="宋体" w:cs="Times New Roman"/>
          <w:color w:val="auto"/>
          <w:spacing w:val="-2"/>
          <w:sz w:val="24"/>
          <w:szCs w:val="24"/>
          <w:lang w:eastAsia="zh-CN"/>
        </w:rPr>
      </w:pPr>
      <w:r>
        <w:rPr>
          <w:rFonts w:hint="default" w:ascii="Times New Roman" w:hAnsi="Times New Roman" w:eastAsia="宋体" w:cs="Times New Roman"/>
          <w:b/>
          <w:bCs/>
          <w:color w:val="auto"/>
          <w:spacing w:val="-2"/>
          <w:sz w:val="24"/>
          <w:szCs w:val="24"/>
          <w:lang w:eastAsia="zh-CN"/>
        </w:rPr>
        <w:t>1）</w:t>
      </w:r>
      <w:r>
        <w:rPr>
          <w:rFonts w:hint="default" w:ascii="Times New Roman" w:hAnsi="Times New Roman" w:eastAsia="宋体" w:cs="Times New Roman"/>
          <w:color w:val="auto"/>
          <w:spacing w:val="-2"/>
          <w:sz w:val="24"/>
          <w:szCs w:val="24"/>
          <w:lang w:eastAsia="zh-CN"/>
        </w:rPr>
        <w:t>粘贴钢板加固的钢构件，表面应采取喷砂方法进行处理；</w:t>
      </w:r>
    </w:p>
    <w:p w14:paraId="0650B022">
      <w:pPr>
        <w:pStyle w:val="12"/>
        <w:ind w:firstLine="705" w:firstLineChars="300"/>
        <w:rPr>
          <w:rFonts w:hint="default" w:ascii="Times New Roman" w:hAnsi="Times New Roman" w:eastAsia="宋体" w:cs="Times New Roman"/>
          <w:color w:val="auto"/>
          <w:spacing w:val="-3"/>
          <w:sz w:val="24"/>
          <w:szCs w:val="24"/>
          <w:lang w:eastAsia="zh-CN"/>
        </w:rPr>
      </w:pPr>
      <w:r>
        <w:rPr>
          <w:rFonts w:hint="default" w:ascii="Times New Roman" w:hAnsi="Times New Roman" w:eastAsia="宋体" w:cs="Times New Roman"/>
          <w:b/>
          <w:bCs/>
          <w:color w:val="auto"/>
          <w:spacing w:val="-3"/>
          <w:sz w:val="24"/>
          <w:szCs w:val="24"/>
          <w:lang w:eastAsia="zh-CN"/>
        </w:rPr>
        <w:t>2）</w:t>
      </w:r>
      <w:r>
        <w:rPr>
          <w:rFonts w:hint="default" w:ascii="Times New Roman" w:hAnsi="Times New Roman" w:eastAsia="宋体" w:cs="Times New Roman"/>
          <w:color w:val="auto"/>
          <w:spacing w:val="3"/>
          <w:sz w:val="24"/>
          <w:szCs w:val="24"/>
          <w:lang w:eastAsia="zh-CN"/>
        </w:rPr>
        <w:t>粘贴在钢构件表面上的钢板，其最外层表面及每层钢板</w:t>
      </w:r>
      <w:r>
        <w:rPr>
          <w:rFonts w:hint="default" w:ascii="Times New Roman" w:hAnsi="Times New Roman" w:eastAsia="宋体" w:cs="Times New Roman"/>
          <w:color w:val="auto"/>
          <w:spacing w:val="-2"/>
          <w:sz w:val="24"/>
          <w:szCs w:val="24"/>
          <w:lang w:eastAsia="zh-CN"/>
        </w:rPr>
        <w:t>的周边均应进行防腐蚀处理；钢板表面处理用的清洁剂和防腐蚀</w:t>
      </w:r>
      <w:r>
        <w:rPr>
          <w:rFonts w:hint="default" w:ascii="Times New Roman" w:hAnsi="Times New Roman" w:eastAsia="宋体" w:cs="Times New Roman"/>
          <w:color w:val="auto"/>
          <w:spacing w:val="-3"/>
          <w:sz w:val="24"/>
          <w:szCs w:val="24"/>
          <w:lang w:eastAsia="zh-CN"/>
        </w:rPr>
        <w:t>材料，不应对钢板及结构胶的工作性能和耐久性产生不利影响。</w:t>
      </w:r>
    </w:p>
    <w:p w14:paraId="2DE76E85">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z w:val="24"/>
          <w:szCs w:val="24"/>
          <w:lang w:eastAsia="zh-CN"/>
        </w:rPr>
        <w:t>2</w:t>
      </w:r>
      <w:r>
        <w:rPr>
          <w:rFonts w:hint="default" w:ascii="Times New Roman" w:hAnsi="Times New Roman" w:eastAsia="宋体" w:cs="Times New Roman"/>
          <w:bCs/>
          <w:color w:val="auto"/>
          <w:sz w:val="24"/>
          <w:szCs w:val="24"/>
          <w:lang w:eastAsia="zh-CN"/>
        </w:rPr>
        <w:t xml:space="preserve"> </w:t>
      </w:r>
      <w:r>
        <w:rPr>
          <w:rFonts w:hint="default" w:ascii="Times New Roman" w:hAnsi="Times New Roman" w:eastAsia="宋体" w:cs="Times New Roman"/>
          <w:color w:val="auto"/>
          <w:sz w:val="24"/>
          <w:szCs w:val="24"/>
          <w:lang w:eastAsia="zh-CN"/>
        </w:rPr>
        <w:t>钢构件粘贴钢板加固构造，应符合下列规定：</w:t>
      </w:r>
    </w:p>
    <w:p w14:paraId="6A1D46CC">
      <w:pPr>
        <w:pStyle w:val="12"/>
        <w:ind w:firstLine="735" w:firstLineChars="3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pacing w:val="2"/>
          <w:sz w:val="24"/>
          <w:szCs w:val="24"/>
          <w:lang w:eastAsia="zh-CN"/>
        </w:rPr>
        <w:t>1</w:t>
      </w:r>
      <w:r>
        <w:rPr>
          <w:rFonts w:hint="default" w:ascii="Times New Roman" w:hAnsi="Times New Roman" w:eastAsia="宋体" w:cs="Times New Roman"/>
          <w:color w:val="auto"/>
          <w:spacing w:val="2"/>
          <w:sz w:val="24"/>
          <w:szCs w:val="24"/>
          <w:lang w:eastAsia="zh-CN"/>
        </w:rPr>
        <w:t>）当工字形钢梁的腹板局部稳定验算不满足要求时，应采</w:t>
      </w:r>
      <w:r>
        <w:rPr>
          <w:rFonts w:hint="default" w:ascii="Times New Roman" w:hAnsi="Times New Roman" w:eastAsia="宋体" w:cs="Times New Roman"/>
          <w:color w:val="auto"/>
          <w:spacing w:val="5"/>
          <w:sz w:val="24"/>
          <w:szCs w:val="24"/>
          <w:lang w:eastAsia="zh-CN"/>
        </w:rPr>
        <w:t>用在腹板两侧粘贴T形钢件或角钢的方法进行增强，其T形钢</w:t>
      </w:r>
      <w:r>
        <w:rPr>
          <w:rFonts w:hint="default" w:ascii="Times New Roman" w:hAnsi="Times New Roman" w:eastAsia="宋体" w:cs="Times New Roman"/>
          <w:color w:val="auto"/>
          <w:spacing w:val="2"/>
          <w:sz w:val="24"/>
          <w:szCs w:val="24"/>
          <w:lang w:eastAsia="zh-CN"/>
        </w:rPr>
        <w:t>件的粘贴宽度不应小于板厚的25倍；</w:t>
      </w:r>
    </w:p>
    <w:p w14:paraId="2ABED2CC">
      <w:pPr>
        <w:pStyle w:val="12"/>
        <w:ind w:firstLine="741" w:firstLineChars="3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pacing w:val="3"/>
          <w:sz w:val="24"/>
          <w:szCs w:val="24"/>
          <w:lang w:eastAsia="zh-CN"/>
        </w:rPr>
        <w:t>2）</w:t>
      </w:r>
      <w:r>
        <w:rPr>
          <w:rFonts w:hint="default" w:ascii="Times New Roman" w:hAnsi="Times New Roman" w:eastAsia="宋体" w:cs="Times New Roman"/>
          <w:color w:val="auto"/>
          <w:spacing w:val="3"/>
          <w:sz w:val="24"/>
          <w:szCs w:val="24"/>
          <w:lang w:eastAsia="zh-CN"/>
        </w:rPr>
        <w:t>在受弯构件受拉边或受压边表面上进行粘钢加固时，粘</w:t>
      </w:r>
      <w:r>
        <w:rPr>
          <w:rFonts w:hint="default" w:ascii="Times New Roman" w:hAnsi="Times New Roman" w:eastAsia="宋体" w:cs="Times New Roman"/>
          <w:color w:val="auto"/>
          <w:spacing w:val="-2"/>
          <w:sz w:val="24"/>
          <w:szCs w:val="24"/>
          <w:lang w:eastAsia="zh-CN"/>
        </w:rPr>
        <w:t>贴钢板的宽度不应超过加固构件的宽度；其受拉面沿构件轴向连</w:t>
      </w:r>
      <w:r>
        <w:rPr>
          <w:rFonts w:hint="default" w:ascii="Times New Roman" w:hAnsi="Times New Roman" w:eastAsia="宋体" w:cs="Times New Roman"/>
          <w:color w:val="auto"/>
          <w:spacing w:val="-1"/>
          <w:sz w:val="24"/>
          <w:szCs w:val="24"/>
          <w:lang w:eastAsia="zh-CN"/>
        </w:rPr>
        <w:t>续粘贴的加固钢板应延伸至支座边缘，且应在钢板端部及集中荷</w:t>
      </w:r>
      <w:r>
        <w:rPr>
          <w:rFonts w:hint="default" w:ascii="Times New Roman" w:hAnsi="Times New Roman" w:eastAsia="宋体" w:cs="Times New Roman"/>
          <w:color w:val="auto"/>
          <w:spacing w:val="2"/>
          <w:sz w:val="24"/>
          <w:szCs w:val="24"/>
          <w:lang w:eastAsia="zh-CN"/>
        </w:rPr>
        <w:t>载作用点的两侧设置不少于2M12的连接螺栓；对受压边的粘钢</w:t>
      </w:r>
      <w:r>
        <w:rPr>
          <w:rFonts w:hint="default" w:ascii="Times New Roman" w:hAnsi="Times New Roman" w:eastAsia="宋体" w:cs="Times New Roman"/>
          <w:color w:val="auto"/>
          <w:spacing w:val="-1"/>
          <w:sz w:val="24"/>
          <w:szCs w:val="24"/>
          <w:lang w:eastAsia="zh-CN"/>
        </w:rPr>
        <w:t>加固，尚应在跨中位置设置不少于2M12的连接螺栓；</w:t>
      </w:r>
    </w:p>
    <w:p w14:paraId="655BE6C7">
      <w:pPr>
        <w:pStyle w:val="12"/>
        <w:ind w:firstLine="741" w:firstLineChars="300"/>
        <w:rPr>
          <w:rFonts w:hint="default" w:ascii="Times New Roman" w:hAnsi="Times New Roman" w:eastAsia="宋体" w:cs="Times New Roman"/>
          <w:color w:val="auto"/>
          <w:spacing w:val="1"/>
          <w:sz w:val="24"/>
          <w:szCs w:val="24"/>
          <w:lang w:eastAsia="zh-CN"/>
        </w:rPr>
      </w:pPr>
      <w:r>
        <w:rPr>
          <w:rFonts w:hint="default" w:ascii="Times New Roman" w:hAnsi="Times New Roman" w:eastAsia="宋体" w:cs="Times New Roman"/>
          <w:b/>
          <w:bCs/>
          <w:color w:val="auto"/>
          <w:spacing w:val="3"/>
          <w:sz w:val="24"/>
          <w:szCs w:val="24"/>
          <w:lang w:eastAsia="zh-CN"/>
        </w:rPr>
        <w:t>3）</w:t>
      </w:r>
      <w:r>
        <w:rPr>
          <w:rFonts w:hint="default" w:ascii="Times New Roman" w:hAnsi="Times New Roman" w:eastAsia="宋体" w:cs="Times New Roman"/>
          <w:color w:val="auto"/>
          <w:spacing w:val="3"/>
          <w:sz w:val="24"/>
          <w:szCs w:val="24"/>
          <w:lang w:eastAsia="zh-CN"/>
        </w:rPr>
        <w:t>采用手工涂胶粘贴的单层钢板厚度不应大于5</w:t>
      </w:r>
      <w:r>
        <w:rPr>
          <w:rFonts w:hint="default" w:ascii="Times New Roman" w:hAnsi="Times New Roman" w:eastAsia="宋体" w:cs="Times New Roman"/>
          <w:color w:val="auto"/>
          <w:sz w:val="24"/>
          <w:szCs w:val="24"/>
          <w:lang w:eastAsia="zh-CN"/>
        </w:rPr>
        <w:t>mm</w:t>
      </w:r>
      <w:r>
        <w:rPr>
          <w:rFonts w:hint="default" w:ascii="Times New Roman" w:hAnsi="Times New Roman" w:eastAsia="宋体" w:cs="Times New Roman"/>
          <w:color w:val="auto"/>
          <w:spacing w:val="3"/>
          <w:sz w:val="24"/>
          <w:szCs w:val="24"/>
          <w:lang w:eastAsia="zh-CN"/>
        </w:rPr>
        <w:t>，采用</w:t>
      </w:r>
      <w:r>
        <w:rPr>
          <w:rFonts w:hint="default" w:ascii="Times New Roman" w:hAnsi="Times New Roman" w:eastAsia="宋体" w:cs="Times New Roman"/>
          <w:color w:val="auto"/>
          <w:spacing w:val="1"/>
          <w:sz w:val="24"/>
          <w:szCs w:val="24"/>
          <w:lang w:eastAsia="zh-CN"/>
        </w:rPr>
        <w:t>压力注胶粘贴的钢板厚度不应大于10</w:t>
      </w:r>
      <w:r>
        <w:rPr>
          <w:rFonts w:hint="default" w:ascii="Times New Roman" w:hAnsi="Times New Roman" w:eastAsia="宋体" w:cs="Times New Roman"/>
          <w:color w:val="auto"/>
          <w:sz w:val="24"/>
          <w:szCs w:val="24"/>
          <w:lang w:eastAsia="zh-CN"/>
        </w:rPr>
        <w:t>mm</w:t>
      </w:r>
      <w:r>
        <w:rPr>
          <w:rFonts w:hint="default" w:ascii="Times New Roman" w:hAnsi="Times New Roman" w:eastAsia="宋体" w:cs="Times New Roman"/>
          <w:color w:val="auto"/>
          <w:spacing w:val="1"/>
          <w:sz w:val="24"/>
          <w:szCs w:val="24"/>
          <w:lang w:eastAsia="zh-CN"/>
        </w:rPr>
        <w:t>。</w:t>
      </w:r>
    </w:p>
    <w:p w14:paraId="14018A34">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条文说明：本方法作为钢结构传统增大截面加固方法的补充。由于考虑到胶粘结构的可靠性和耐久性，本方法当前主要应用于现场不适宜焊接以及要求加固周期比较短的钢结构加固工程。</w:t>
      </w:r>
    </w:p>
    <w:p w14:paraId="76622F83">
      <w:pPr>
        <w:spacing w:line="300" w:lineRule="auto"/>
        <w:rPr>
          <w:rFonts w:hint="eastAsia" w:ascii="宋体" w:hAnsi="宋体" w:eastAsia="宋体" w:cs="宋体"/>
          <w:color w:val="C00000"/>
          <w:spacing w:val="1"/>
          <w:sz w:val="24"/>
          <w:szCs w:val="24"/>
          <w:lang w:val="en-US" w:eastAsia="zh-CN"/>
        </w:rPr>
      </w:pPr>
      <w:r>
        <w:rPr>
          <w:rFonts w:hint="eastAsia" w:ascii="Times New Roman" w:hAnsi="Times New Roman" w:eastAsia="宋体" w:cs="Times New Roman"/>
          <w:b/>
          <w:bCs/>
          <w:color w:val="auto"/>
          <w:sz w:val="24"/>
          <w:szCs w:val="24"/>
          <w:lang w:val="en-US" w:eastAsia="zh-CN"/>
        </w:rPr>
        <w:t>8.3.3</w:t>
      </w:r>
      <w:r>
        <w:rPr>
          <w:rFonts w:hint="eastAsia" w:ascii="Times New Roman" w:hAnsi="Times New Roman" w:cs="Times New Roman"/>
          <w:color w:val="C00000"/>
          <w:spacing w:val="1"/>
          <w:sz w:val="24"/>
          <w:szCs w:val="24"/>
          <w:lang w:val="en-US" w:eastAsia="zh-CN"/>
        </w:rPr>
        <w:t xml:space="preserve"> </w:t>
      </w:r>
      <w:r>
        <w:rPr>
          <w:rFonts w:hint="eastAsia" w:ascii="宋体" w:hAnsi="宋体" w:eastAsia="宋体" w:cs="宋体"/>
          <w:color w:val="C00000"/>
          <w:spacing w:val="1"/>
          <w:sz w:val="24"/>
          <w:szCs w:val="24"/>
          <w:lang w:val="en-US" w:eastAsia="zh-CN"/>
        </w:rPr>
        <w:t>采用纤维增强复合材料</w:t>
      </w:r>
      <w:r>
        <w:rPr>
          <w:rFonts w:hint="eastAsia" w:eastAsia="宋体" w:cs="宋体"/>
          <w:color w:val="C00000"/>
          <w:spacing w:val="1"/>
          <w:sz w:val="24"/>
          <w:szCs w:val="24"/>
          <w:lang w:val="en-US" w:eastAsia="zh-CN"/>
        </w:rPr>
        <w:t>（FRP）</w:t>
      </w:r>
      <w:r>
        <w:rPr>
          <w:rFonts w:hint="eastAsia" w:ascii="宋体" w:hAnsi="宋体" w:eastAsia="宋体" w:cs="宋体"/>
          <w:color w:val="C00000"/>
          <w:spacing w:val="1"/>
          <w:sz w:val="24"/>
          <w:szCs w:val="24"/>
          <w:lang w:val="en-US" w:eastAsia="zh-CN"/>
        </w:rPr>
        <w:t>加固钢结构时，应符合以下要求：</w:t>
      </w:r>
    </w:p>
    <w:p w14:paraId="67B389BC">
      <w:pPr>
        <w:pStyle w:val="12"/>
        <w:ind w:firstLine="422"/>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bCs/>
          <w:color w:val="auto"/>
          <w:sz w:val="24"/>
          <w:szCs w:val="24"/>
          <w:lang w:val="en-US" w:eastAsia="zh-CN"/>
        </w:rPr>
        <w:t>1</w:t>
      </w:r>
      <w:r>
        <w:rPr>
          <w:rFonts w:hint="eastAsia" w:ascii="Times New Roman" w:hAnsi="Times New Roman" w:eastAsia="宋体" w:cs="Times New Roman"/>
          <w:b w:val="0"/>
          <w:bCs w:val="0"/>
          <w:color w:val="auto"/>
          <w:sz w:val="24"/>
          <w:szCs w:val="24"/>
          <w:lang w:val="en-US" w:eastAsia="zh-CN"/>
        </w:rPr>
        <w:t xml:space="preserve"> 当采用纤维复合材料表面粘贴加固时，应对钢结构表面进行处理，保证FRP与钢材粘结可靠，以避免发生粘结材料脱离钢材表面的破坏形式。</w:t>
      </w:r>
    </w:p>
    <w:p w14:paraId="43A6B6FD">
      <w:pPr>
        <w:pStyle w:val="12"/>
        <w:ind w:firstLine="422"/>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bCs/>
          <w:color w:val="auto"/>
          <w:sz w:val="24"/>
          <w:szCs w:val="24"/>
          <w:lang w:val="en-US" w:eastAsia="zh-CN"/>
        </w:rPr>
        <w:t>2</w:t>
      </w:r>
      <w:r>
        <w:rPr>
          <w:rFonts w:hint="eastAsia" w:ascii="Times New Roman" w:hAnsi="Times New Roman" w:eastAsia="宋体" w:cs="Times New Roman"/>
          <w:b w:val="0"/>
          <w:bCs w:val="0"/>
          <w:color w:val="auto"/>
          <w:sz w:val="24"/>
          <w:szCs w:val="24"/>
          <w:lang w:val="en-US" w:eastAsia="zh-CN"/>
        </w:rPr>
        <w:t xml:space="preserve"> 通过表面粘贴碳纤维布加固轴心受拉钢构件时，纤维布应沿构件周边均匀对称布置，不应使加固后构件的形心改变。</w:t>
      </w:r>
    </w:p>
    <w:p w14:paraId="382B266F">
      <w:pPr>
        <w:pStyle w:val="12"/>
        <w:ind w:firstLine="422"/>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bCs/>
          <w:color w:val="auto"/>
          <w:sz w:val="24"/>
          <w:szCs w:val="24"/>
          <w:lang w:val="en-US" w:eastAsia="zh-CN"/>
        </w:rPr>
        <w:t>3</w:t>
      </w:r>
      <w:r>
        <w:rPr>
          <w:rFonts w:hint="eastAsia" w:ascii="Times New Roman" w:hAnsi="Times New Roman" w:eastAsia="宋体" w:cs="Times New Roman"/>
          <w:b w:val="0"/>
          <w:bCs w:val="0"/>
          <w:color w:val="auto"/>
          <w:sz w:val="24"/>
          <w:szCs w:val="24"/>
          <w:lang w:val="en-US" w:eastAsia="zh-CN"/>
        </w:rPr>
        <w:t xml:space="preserve"> 表面粘贴碳纤维布应采用横向粘贴加强或机械锚固加强，避免FRP与钢构件之间发生剥离。</w:t>
      </w:r>
    </w:p>
    <w:p w14:paraId="08EC58C0">
      <w:pPr>
        <w:pStyle w:val="12"/>
        <w:ind w:firstLine="422"/>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bCs/>
          <w:color w:val="auto"/>
          <w:sz w:val="24"/>
          <w:szCs w:val="24"/>
          <w:lang w:val="en-US" w:eastAsia="zh-CN"/>
        </w:rPr>
        <w:t>4</w:t>
      </w:r>
      <w:r>
        <w:rPr>
          <w:rFonts w:hint="eastAsia" w:ascii="Times New Roman" w:hAnsi="Times New Roman" w:eastAsia="宋体" w:cs="Times New Roman"/>
          <w:b w:val="0"/>
          <w:bCs w:val="0"/>
          <w:color w:val="auto"/>
          <w:sz w:val="24"/>
          <w:szCs w:val="24"/>
          <w:lang w:val="en-US" w:eastAsia="zh-CN"/>
        </w:rPr>
        <w:t xml:space="preserve"> 对于轴心受压稳定承载力不足的钢构件，可采用外套FRP管，管与钢构件之间填充砂浆的方式补强，也可采用轻质材料夹紧钢构件形成更大截面，并在轻质材料外粘贴纵向纤维布并缠绕横向纤维布。</w:t>
      </w:r>
    </w:p>
    <w:p w14:paraId="23B681F6">
      <w:pPr>
        <w:spacing w:line="300" w:lineRule="auto"/>
        <w:jc w:val="center"/>
      </w:pPr>
      <w:r>
        <w:drawing>
          <wp:inline distT="0" distB="0" distL="114300" distR="114300">
            <wp:extent cx="4380230" cy="3385820"/>
            <wp:effectExtent l="0" t="0" r="1270" b="5080"/>
            <wp:docPr id="52"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28"/>
                    <pic:cNvPicPr>
                      <a:picLocks noChangeAspect="1"/>
                    </pic:cNvPicPr>
                  </pic:nvPicPr>
                  <pic:blipFill>
                    <a:blip r:embed="rId344"/>
                    <a:stretch>
                      <a:fillRect/>
                    </a:stretch>
                  </pic:blipFill>
                  <pic:spPr>
                    <a:xfrm>
                      <a:off x="0" y="0"/>
                      <a:ext cx="4380230" cy="3385820"/>
                    </a:xfrm>
                    <a:prstGeom prst="rect">
                      <a:avLst/>
                    </a:prstGeom>
                    <a:noFill/>
                    <a:ln>
                      <a:noFill/>
                    </a:ln>
                  </pic:spPr>
                </pic:pic>
              </a:graphicData>
            </a:graphic>
          </wp:inline>
        </w:drawing>
      </w:r>
    </w:p>
    <w:p w14:paraId="4CF6B948">
      <w:pPr>
        <w:spacing w:line="300" w:lineRule="auto"/>
        <w:jc w:val="center"/>
      </w:pPr>
    </w:p>
    <w:p w14:paraId="5C3A2AC2">
      <w:pPr>
        <w:spacing w:line="300" w:lineRule="auto"/>
        <w:jc w:val="center"/>
      </w:pPr>
      <w:r>
        <w:rPr>
          <w:rFonts w:hint="default" w:ascii="Times New Roman" w:hAnsi="Times New Roman" w:eastAsia="宋体" w:cs="Times New Roman"/>
          <w:color w:val="auto"/>
          <w:sz w:val="24"/>
          <w:szCs w:val="24"/>
        </w:rPr>
        <w:t>图</w:t>
      </w:r>
      <w:r>
        <w:rPr>
          <w:rFonts w:hint="default" w:ascii="Times New Roman" w:hAnsi="Times New Roman" w:eastAsia="宋体" w:cs="Times New Roman"/>
          <w:color w:val="auto"/>
          <w:sz w:val="24"/>
          <w:szCs w:val="24"/>
          <w:lang w:eastAsia="zh-CN"/>
        </w:rPr>
        <w:t>8.3</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3</w:t>
      </w:r>
      <w:r>
        <w:rPr>
          <w:rFonts w:hint="eastAsia" w:ascii="宋体" w:hAnsi="宋体" w:eastAsia="宋体" w:cs="宋体"/>
          <w:color w:val="C00000"/>
          <w:lang w:val="en-US" w:eastAsia="zh-CN"/>
        </w:rPr>
        <w:t>加固后钢构件截面示意图</w:t>
      </w:r>
    </w:p>
    <w:p w14:paraId="1338DFD4">
      <w:pPr>
        <w:pStyle w:val="12"/>
        <w:ind w:firstLine="422"/>
        <w:rPr>
          <w:rFonts w:hint="eastAsia" w:ascii="Times New Roman" w:hAnsi="Times New Roman" w:eastAsia="宋体" w:cs="Times New Roman"/>
          <w:b w:val="0"/>
          <w:bCs w:val="0"/>
          <w:color w:val="FF0000"/>
          <w:sz w:val="24"/>
          <w:szCs w:val="24"/>
          <w:lang w:val="en-US" w:eastAsia="zh-CN"/>
        </w:rPr>
      </w:pPr>
      <w:r>
        <w:rPr>
          <w:rFonts w:hint="eastAsia" w:ascii="Times New Roman" w:hAnsi="Times New Roman" w:eastAsia="宋体" w:cs="Times New Roman"/>
          <w:b/>
          <w:bCs/>
          <w:color w:val="FF0000"/>
          <w:sz w:val="24"/>
          <w:szCs w:val="24"/>
          <w:lang w:val="en-US" w:eastAsia="zh-CN"/>
        </w:rPr>
        <w:t>5</w:t>
      </w:r>
      <w:r>
        <w:rPr>
          <w:rFonts w:hint="eastAsia" w:ascii="Times New Roman" w:hAnsi="Times New Roman" w:eastAsia="宋体" w:cs="Times New Roman"/>
          <w:b w:val="0"/>
          <w:bCs w:val="0"/>
          <w:color w:val="FF0000"/>
          <w:sz w:val="24"/>
          <w:szCs w:val="24"/>
          <w:lang w:val="en-US" w:eastAsia="zh-CN"/>
        </w:rPr>
        <w:t xml:space="preserve"> 采用FRP加固后，构件重量和刚度可能引起结构内力重分布，应对此影响进行考虑，并对节点连接的承载力进行复核。</w:t>
      </w:r>
    </w:p>
    <w:p w14:paraId="528C64B7">
      <w:pPr>
        <w:pStyle w:val="12"/>
        <w:ind w:firstLine="422"/>
        <w:rPr>
          <w:rFonts w:hint="eastAsia" w:ascii="Times New Roman" w:hAnsi="Times New Roman" w:eastAsia="宋体" w:cs="Times New Roman"/>
          <w:b w:val="0"/>
          <w:bCs w:val="0"/>
          <w:color w:val="FF0000"/>
          <w:sz w:val="24"/>
          <w:szCs w:val="24"/>
          <w:lang w:val="en-US" w:eastAsia="zh-CN"/>
        </w:rPr>
      </w:pPr>
      <w:r>
        <w:rPr>
          <w:rFonts w:hint="eastAsia" w:ascii="Times New Roman" w:hAnsi="Times New Roman" w:eastAsia="宋体" w:cs="Times New Roman"/>
          <w:b/>
          <w:bCs/>
          <w:color w:val="FF0000"/>
          <w:sz w:val="24"/>
          <w:szCs w:val="24"/>
          <w:lang w:val="en-US" w:eastAsia="zh-CN"/>
        </w:rPr>
        <w:t>6</w:t>
      </w:r>
      <w:r>
        <w:rPr>
          <w:rFonts w:hint="eastAsia" w:ascii="Times New Roman" w:hAnsi="Times New Roman" w:eastAsia="宋体" w:cs="Times New Roman"/>
          <w:b w:val="0"/>
          <w:bCs w:val="0"/>
          <w:color w:val="FF0000"/>
          <w:sz w:val="24"/>
          <w:szCs w:val="24"/>
          <w:lang w:val="en-US" w:eastAsia="zh-CN"/>
        </w:rPr>
        <w:t xml:space="preserve"> 在受弯构件受拉区粘贴FRP可提高极限承载力，计算应采用以下基本假定：</w:t>
      </w:r>
    </w:p>
    <w:p w14:paraId="5AC30935">
      <w:pPr>
        <w:pStyle w:val="12"/>
        <w:ind w:firstLine="711" w:firstLineChars="300"/>
        <w:rPr>
          <w:rFonts w:hint="eastAsia" w:ascii="Times New Roman" w:hAnsi="Times New Roman" w:eastAsia="宋体" w:cs="Times New Roman"/>
          <w:b w:val="0"/>
          <w:bCs w:val="0"/>
          <w:color w:val="FF0000"/>
          <w:spacing w:val="-2"/>
          <w:sz w:val="24"/>
          <w:szCs w:val="24"/>
          <w:lang w:val="en-US" w:eastAsia="zh-CN"/>
        </w:rPr>
      </w:pPr>
      <w:r>
        <w:rPr>
          <w:rFonts w:hint="eastAsia" w:ascii="Times New Roman" w:hAnsi="Times New Roman" w:eastAsia="宋体" w:cs="Times New Roman"/>
          <w:b/>
          <w:bCs/>
          <w:color w:val="FF0000"/>
          <w:spacing w:val="-2"/>
          <w:sz w:val="24"/>
          <w:szCs w:val="24"/>
          <w:lang w:val="en-US" w:eastAsia="zh-CN"/>
        </w:rPr>
        <w:t>1）</w:t>
      </w:r>
      <w:r>
        <w:rPr>
          <w:rFonts w:hint="eastAsia" w:ascii="Times New Roman" w:hAnsi="Times New Roman" w:eastAsia="宋体" w:cs="Times New Roman"/>
          <w:b w:val="0"/>
          <w:bCs w:val="0"/>
          <w:color w:val="FF0000"/>
          <w:spacing w:val="-2"/>
          <w:sz w:val="24"/>
          <w:szCs w:val="24"/>
          <w:lang w:val="en-US" w:eastAsia="zh-CN"/>
        </w:rPr>
        <w:t>受弯构件截面保持平截面</w:t>
      </w:r>
    </w:p>
    <w:p w14:paraId="527D5B5D">
      <w:pPr>
        <w:pStyle w:val="12"/>
        <w:ind w:firstLine="711" w:firstLineChars="300"/>
        <w:rPr>
          <w:rFonts w:hint="eastAsia" w:ascii="Times New Roman" w:hAnsi="Times New Roman" w:eastAsia="宋体" w:cs="Times New Roman"/>
          <w:b w:val="0"/>
          <w:bCs w:val="0"/>
          <w:color w:val="FF0000"/>
          <w:spacing w:val="-2"/>
          <w:sz w:val="24"/>
          <w:szCs w:val="24"/>
          <w:lang w:val="en-US" w:eastAsia="zh-CN"/>
        </w:rPr>
      </w:pPr>
      <w:r>
        <w:rPr>
          <w:rFonts w:hint="eastAsia" w:ascii="Times New Roman" w:hAnsi="Times New Roman" w:eastAsia="宋体" w:cs="Times New Roman"/>
          <w:b/>
          <w:bCs/>
          <w:color w:val="FF0000"/>
          <w:spacing w:val="-2"/>
          <w:sz w:val="24"/>
          <w:szCs w:val="24"/>
          <w:lang w:val="en-US" w:eastAsia="zh-CN"/>
        </w:rPr>
        <w:t>2）</w:t>
      </w:r>
      <w:r>
        <w:rPr>
          <w:rFonts w:hint="eastAsia" w:ascii="Times New Roman" w:hAnsi="Times New Roman" w:eastAsia="宋体" w:cs="Times New Roman"/>
          <w:b w:val="0"/>
          <w:bCs w:val="0"/>
          <w:color w:val="FF0000"/>
          <w:spacing w:val="-2"/>
          <w:sz w:val="24"/>
          <w:szCs w:val="24"/>
          <w:lang w:val="en-US" w:eastAsia="zh-CN"/>
        </w:rPr>
        <w:t>钢材的应力-应变关系为理想弹塑性关系</w:t>
      </w:r>
    </w:p>
    <w:p w14:paraId="651A0866">
      <w:pPr>
        <w:pStyle w:val="12"/>
        <w:ind w:firstLine="711" w:firstLineChars="300"/>
        <w:rPr>
          <w:rFonts w:hint="eastAsia" w:ascii="Times New Roman" w:hAnsi="Times New Roman" w:eastAsia="宋体" w:cs="Times New Roman"/>
          <w:b w:val="0"/>
          <w:bCs w:val="0"/>
          <w:color w:val="FF0000"/>
          <w:spacing w:val="-2"/>
          <w:sz w:val="24"/>
          <w:szCs w:val="24"/>
          <w:lang w:val="en-US" w:eastAsia="zh-CN"/>
        </w:rPr>
      </w:pPr>
      <w:r>
        <w:rPr>
          <w:rFonts w:hint="eastAsia" w:ascii="Times New Roman" w:hAnsi="Times New Roman" w:eastAsia="宋体" w:cs="Times New Roman"/>
          <w:b/>
          <w:bCs/>
          <w:color w:val="FF0000"/>
          <w:spacing w:val="-2"/>
          <w:sz w:val="24"/>
          <w:szCs w:val="24"/>
          <w:lang w:val="en-US" w:eastAsia="zh-CN"/>
        </w:rPr>
        <w:t>3）</w:t>
      </w:r>
      <w:r>
        <w:rPr>
          <w:rFonts w:hint="eastAsia" w:ascii="Times New Roman" w:hAnsi="Times New Roman" w:eastAsia="宋体" w:cs="Times New Roman"/>
          <w:b w:val="0"/>
          <w:bCs w:val="0"/>
          <w:color w:val="FF0000"/>
          <w:spacing w:val="-2"/>
          <w:sz w:val="24"/>
          <w:szCs w:val="24"/>
          <w:lang w:val="en-US" w:eastAsia="zh-CN"/>
        </w:rPr>
        <w:t>FRP在受拉状态下保持线弹性，FRP片材的拉应力应取其拉应变与其弹性模量的乘积。</w:t>
      </w:r>
    </w:p>
    <w:p w14:paraId="5E37B9F2">
      <w:pPr>
        <w:pStyle w:val="12"/>
        <w:ind w:firstLine="711" w:firstLineChars="300"/>
        <w:rPr>
          <w:rFonts w:hint="eastAsia" w:ascii="宋体" w:hAnsi="宋体" w:eastAsia="宋体" w:cs="宋体"/>
          <w:color w:val="FF0000"/>
          <w:spacing w:val="1"/>
          <w:sz w:val="24"/>
          <w:szCs w:val="24"/>
          <w:lang w:val="en-US" w:eastAsia="zh-CN"/>
        </w:rPr>
      </w:pPr>
      <w:r>
        <w:rPr>
          <w:rFonts w:hint="eastAsia" w:ascii="Times New Roman" w:hAnsi="Times New Roman" w:eastAsia="宋体" w:cs="Times New Roman"/>
          <w:b/>
          <w:bCs/>
          <w:color w:val="FF0000"/>
          <w:spacing w:val="-2"/>
          <w:sz w:val="24"/>
          <w:szCs w:val="24"/>
          <w:lang w:val="en-US" w:eastAsia="zh-CN"/>
        </w:rPr>
        <w:t>4）</w:t>
      </w:r>
      <w:r>
        <w:rPr>
          <w:rFonts w:hint="eastAsia" w:ascii="Times New Roman" w:hAnsi="Times New Roman" w:eastAsia="宋体" w:cs="Times New Roman"/>
          <w:b w:val="0"/>
          <w:bCs w:val="0"/>
          <w:color w:val="FF0000"/>
          <w:spacing w:val="-2"/>
          <w:sz w:val="24"/>
          <w:szCs w:val="24"/>
          <w:lang w:val="en-US" w:eastAsia="zh-CN"/>
        </w:rPr>
        <w:t>剥</w:t>
      </w:r>
      <w:r>
        <w:rPr>
          <w:rFonts w:hint="eastAsia" w:ascii="宋体" w:hAnsi="宋体" w:eastAsia="宋体" w:cs="宋体"/>
          <w:b w:val="0"/>
          <w:bCs w:val="0"/>
          <w:color w:val="FF0000"/>
          <w:spacing w:val="1"/>
          <w:sz w:val="24"/>
          <w:szCs w:val="24"/>
          <w:lang w:val="en-US" w:eastAsia="zh-CN"/>
        </w:rPr>
        <w:t>离破</w:t>
      </w:r>
      <w:r>
        <w:rPr>
          <w:rFonts w:hint="eastAsia" w:ascii="宋体" w:hAnsi="宋体" w:eastAsia="宋体" w:cs="宋体"/>
          <w:color w:val="FF0000"/>
          <w:spacing w:val="1"/>
          <w:sz w:val="24"/>
          <w:szCs w:val="24"/>
          <w:lang w:val="en-US" w:eastAsia="zh-CN"/>
        </w:rPr>
        <w:t>坏发生在粘结剂层，由粘结剂的特性控制，粘结剂具有线弹性脆性材料的特征。</w:t>
      </w:r>
    </w:p>
    <w:p w14:paraId="4E1C4E74">
      <w:pPr>
        <w:pStyle w:val="12"/>
        <w:ind w:firstLine="422"/>
        <w:rPr>
          <w:rFonts w:hint="eastAsia" w:ascii="Times New Roman" w:hAnsi="Times New Roman" w:eastAsia="宋体" w:cs="Times New Roman"/>
          <w:b w:val="0"/>
          <w:bCs w:val="0"/>
          <w:color w:val="FF0000"/>
          <w:sz w:val="24"/>
          <w:szCs w:val="24"/>
          <w:lang w:val="en-US" w:eastAsia="zh-CN"/>
        </w:rPr>
      </w:pPr>
      <w:r>
        <w:rPr>
          <w:rFonts w:hint="eastAsia" w:ascii="Times New Roman" w:hAnsi="Times New Roman" w:eastAsia="宋体" w:cs="Times New Roman"/>
          <w:b/>
          <w:bCs/>
          <w:color w:val="FF0000"/>
          <w:sz w:val="24"/>
          <w:szCs w:val="24"/>
          <w:lang w:val="en-US" w:eastAsia="zh-CN"/>
        </w:rPr>
        <w:t>7</w:t>
      </w:r>
      <w:r>
        <w:rPr>
          <w:rFonts w:hint="eastAsia" w:ascii="Times New Roman" w:hAnsi="Times New Roman" w:eastAsia="宋体" w:cs="Times New Roman"/>
          <w:b w:val="0"/>
          <w:bCs w:val="0"/>
          <w:color w:val="FF0000"/>
          <w:sz w:val="24"/>
          <w:szCs w:val="24"/>
          <w:lang w:val="en-US" w:eastAsia="zh-CN"/>
        </w:rPr>
        <w:t xml:space="preserve"> 钢构件受拉翼缘外侧粘贴碳板进行抗弯加固时，工字钢梁翼缘和腹板的局部稳定应进行验算。</w:t>
      </w:r>
    </w:p>
    <w:p w14:paraId="702CCFBB">
      <w:pPr>
        <w:pStyle w:val="12"/>
        <w:ind w:firstLine="422"/>
        <w:rPr>
          <w:rFonts w:hint="eastAsia" w:ascii="Times New Roman" w:hAnsi="Times New Roman" w:eastAsia="宋体" w:cs="Times New Roman"/>
          <w:b w:val="0"/>
          <w:bCs w:val="0"/>
          <w:color w:val="FF0000"/>
          <w:sz w:val="24"/>
          <w:szCs w:val="24"/>
          <w:lang w:val="en-US" w:eastAsia="zh-CN"/>
        </w:rPr>
      </w:pPr>
      <w:r>
        <w:rPr>
          <w:rFonts w:hint="eastAsia" w:ascii="Times New Roman" w:hAnsi="Times New Roman" w:eastAsia="宋体" w:cs="Times New Roman"/>
          <w:b/>
          <w:bCs/>
          <w:color w:val="FF0000"/>
          <w:sz w:val="24"/>
          <w:szCs w:val="24"/>
          <w:lang w:val="en-US" w:eastAsia="zh-CN"/>
        </w:rPr>
        <w:t>8</w:t>
      </w:r>
      <w:r>
        <w:rPr>
          <w:rFonts w:hint="eastAsia" w:ascii="Times New Roman" w:hAnsi="Times New Roman" w:eastAsia="宋体" w:cs="Times New Roman"/>
          <w:b w:val="0"/>
          <w:bCs w:val="0"/>
          <w:color w:val="FF0000"/>
          <w:sz w:val="24"/>
          <w:szCs w:val="24"/>
          <w:lang w:val="en-US" w:eastAsia="zh-CN"/>
        </w:rPr>
        <w:t xml:space="preserve"> 工字钢梁在受拉翼缘外侧粘贴碳板进行抗弯加固时，应按照现行国家标准《钢结构设计规范》GB50017的有关规定验算构件的变形能力，验算时假设碳板与工字型钢完全共同工作，考虑碳板对构件刚度的贡献。</w:t>
      </w:r>
    </w:p>
    <w:p w14:paraId="1D555486">
      <w:pPr>
        <w:pStyle w:val="12"/>
        <w:ind w:firstLine="422"/>
        <w:rPr>
          <w:rFonts w:hint="eastAsia" w:ascii="Times New Roman" w:hAnsi="Times New Roman" w:eastAsia="宋体" w:cs="Times New Roman"/>
          <w:b w:val="0"/>
          <w:bCs w:val="0"/>
          <w:color w:val="FF0000"/>
          <w:sz w:val="24"/>
          <w:szCs w:val="24"/>
          <w:lang w:val="en-US" w:eastAsia="zh-CN"/>
        </w:rPr>
      </w:pPr>
      <w:r>
        <w:rPr>
          <w:rFonts w:hint="eastAsia" w:ascii="Times New Roman" w:hAnsi="Times New Roman" w:eastAsia="宋体" w:cs="Times New Roman"/>
          <w:b/>
          <w:bCs/>
          <w:color w:val="FF0000"/>
          <w:sz w:val="24"/>
          <w:szCs w:val="24"/>
          <w:lang w:val="en-US" w:eastAsia="zh-CN"/>
        </w:rPr>
        <w:t>9</w:t>
      </w:r>
      <w:r>
        <w:rPr>
          <w:rFonts w:hint="eastAsia" w:ascii="Times New Roman" w:hAnsi="Times New Roman" w:eastAsia="宋体" w:cs="Times New Roman"/>
          <w:b w:val="0"/>
          <w:bCs w:val="0"/>
          <w:color w:val="FF0000"/>
          <w:sz w:val="24"/>
          <w:szCs w:val="24"/>
          <w:lang w:val="en-US" w:eastAsia="zh-CN"/>
        </w:rPr>
        <w:t xml:space="preserve"> 工字钢梁在受拉翼缘外侧粘贴碳板进行抗弯加固时，应采用措施限制端部剥离破坏：</w:t>
      </w:r>
    </w:p>
    <w:p w14:paraId="695012B8">
      <w:pPr>
        <w:pStyle w:val="12"/>
        <w:ind w:firstLine="729" w:firstLineChars="300"/>
        <w:rPr>
          <w:rFonts w:hint="eastAsia" w:ascii="Times New Roman" w:hAnsi="Times New Roman" w:eastAsia="宋体" w:cs="Times New Roman"/>
          <w:b w:val="0"/>
          <w:bCs w:val="0"/>
          <w:color w:val="FF0000"/>
          <w:spacing w:val="-2"/>
          <w:sz w:val="24"/>
          <w:szCs w:val="24"/>
          <w:lang w:val="en-US" w:eastAsia="zh-CN"/>
        </w:rPr>
      </w:pPr>
      <w:r>
        <w:rPr>
          <w:rFonts w:hint="eastAsia" w:eastAsia="宋体" w:cs="宋体"/>
          <w:b/>
          <w:bCs/>
          <w:color w:val="FF0000"/>
          <w:spacing w:val="1"/>
          <w:sz w:val="24"/>
          <w:szCs w:val="24"/>
          <w:lang w:val="en-US" w:eastAsia="zh-CN"/>
        </w:rPr>
        <w:t>1）</w:t>
      </w:r>
      <w:r>
        <w:rPr>
          <w:rFonts w:hint="eastAsia" w:ascii="Times New Roman" w:hAnsi="Times New Roman" w:eastAsia="宋体" w:cs="Times New Roman"/>
          <w:b w:val="0"/>
          <w:bCs w:val="0"/>
          <w:color w:val="FF0000"/>
          <w:spacing w:val="-2"/>
          <w:sz w:val="24"/>
          <w:szCs w:val="24"/>
          <w:lang w:val="en-US" w:eastAsia="zh-CN"/>
        </w:rPr>
        <w:t>对于简支钢梁，需要将碳板端部延伸至梁端弯矩为零的区域。</w:t>
      </w:r>
    </w:p>
    <w:p w14:paraId="5C35A44A">
      <w:pPr>
        <w:pStyle w:val="12"/>
        <w:ind w:firstLine="729" w:firstLineChars="300"/>
        <w:rPr>
          <w:rFonts w:hint="eastAsia" w:ascii="宋体" w:hAnsi="宋体" w:eastAsia="宋体" w:cs="宋体"/>
          <w:b w:val="0"/>
          <w:bCs w:val="0"/>
          <w:color w:val="FF0000"/>
          <w:spacing w:val="0"/>
          <w:sz w:val="24"/>
          <w:szCs w:val="24"/>
          <w:lang w:val="en-US" w:eastAsia="zh-CN"/>
        </w:rPr>
      </w:pPr>
      <w:r>
        <w:rPr>
          <w:rFonts w:hint="eastAsia" w:eastAsia="宋体" w:cs="宋体"/>
          <w:b/>
          <w:bCs/>
          <w:color w:val="FF0000"/>
          <w:spacing w:val="1"/>
          <w:sz w:val="24"/>
          <w:szCs w:val="24"/>
          <w:lang w:val="en-US" w:eastAsia="zh-CN"/>
        </w:rPr>
        <w:t>2）</w:t>
      </w:r>
      <w:r>
        <w:rPr>
          <w:rFonts w:hint="eastAsia" w:ascii="Times New Roman" w:hAnsi="Times New Roman" w:eastAsia="宋体" w:cs="Times New Roman"/>
          <w:b w:val="0"/>
          <w:bCs w:val="0"/>
          <w:color w:val="FF0000"/>
          <w:spacing w:val="-2"/>
          <w:sz w:val="24"/>
          <w:szCs w:val="24"/>
          <w:lang w:val="en-US" w:eastAsia="zh-CN"/>
        </w:rPr>
        <w:t>在碳板端部±45°方向布置FRP套箍，套箍的宽度及轴向刚度不得小于碳板的宽度及轴向刚度，覆盖钢梁受拉</w:t>
      </w:r>
      <w:r>
        <w:rPr>
          <w:rFonts w:hint="eastAsia" w:ascii="宋体" w:hAnsi="宋体" w:eastAsia="宋体" w:cs="宋体"/>
          <w:color w:val="FF0000"/>
          <w:spacing w:val="1"/>
          <w:sz w:val="24"/>
          <w:szCs w:val="24"/>
          <w:lang w:val="en-US" w:eastAsia="zh-CN"/>
        </w:rPr>
        <w:t>翼缘端部下表面并延伸包裹至受拉翼缘上表面。</w:t>
      </w:r>
    </w:p>
    <w:p w14:paraId="1913DB53">
      <w:pPr>
        <w:spacing w:line="360" w:lineRule="exact"/>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eastAsia="zh-CN"/>
        </w:rPr>
        <w:t>8.3</w:t>
      </w:r>
      <w:r>
        <w:rPr>
          <w:rFonts w:hint="default" w:ascii="Times New Roman" w:hAnsi="Times New Roman" w:eastAsia="宋体" w:cs="Times New Roman"/>
          <w:b/>
          <w:bCs/>
          <w:color w:val="auto"/>
          <w:sz w:val="24"/>
          <w:szCs w:val="24"/>
        </w:rPr>
        <w:t>.</w:t>
      </w:r>
      <w:r>
        <w:rPr>
          <w:rFonts w:hint="eastAsia"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Cs/>
          <w:color w:val="auto"/>
          <w:sz w:val="24"/>
          <w:szCs w:val="24"/>
        </w:rPr>
        <w:t xml:space="preserve"> </w:t>
      </w:r>
      <w:r>
        <w:rPr>
          <w:rFonts w:hint="default" w:ascii="Times New Roman" w:hAnsi="Times New Roman" w:eastAsia="宋体" w:cs="Times New Roman"/>
          <w:color w:val="auto"/>
          <w:sz w:val="24"/>
          <w:szCs w:val="24"/>
        </w:rPr>
        <w:t>采用外包钢筋混凝土法加固钢构件时，应符合以下要求：</w:t>
      </w:r>
    </w:p>
    <w:p w14:paraId="0EA33802">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z w:val="24"/>
          <w:szCs w:val="24"/>
          <w:lang w:eastAsia="zh-CN"/>
        </w:rPr>
        <w:t>1</w:t>
      </w:r>
      <w:r>
        <w:rPr>
          <w:rFonts w:hint="default" w:ascii="Times New Roman" w:hAnsi="Times New Roman" w:eastAsia="宋体" w:cs="Times New Roman"/>
          <w:color w:val="auto"/>
          <w:sz w:val="24"/>
          <w:szCs w:val="24"/>
          <w:lang w:eastAsia="zh-CN"/>
        </w:rPr>
        <w:t xml:space="preserve"> 当采用外包钢筋混凝土法加固受压、受弯或偏心受压的</w:t>
      </w:r>
      <w:r>
        <w:rPr>
          <w:rFonts w:hint="default" w:ascii="Times New Roman" w:hAnsi="Times New Roman" w:eastAsia="宋体" w:cs="Times New Roman"/>
          <w:color w:val="auto"/>
          <w:spacing w:val="15"/>
          <w:sz w:val="24"/>
          <w:szCs w:val="24"/>
          <w:lang w:eastAsia="zh-CN"/>
        </w:rPr>
        <w:t>型钢构件时，应对原钢构件进行清理，并应铲除原有的涂</w:t>
      </w:r>
      <w:r>
        <w:rPr>
          <w:rFonts w:hint="default" w:ascii="Times New Roman" w:hAnsi="Times New Roman" w:eastAsia="宋体" w:cs="Times New Roman"/>
          <w:color w:val="auto"/>
          <w:spacing w:val="-9"/>
          <w:sz w:val="24"/>
          <w:szCs w:val="24"/>
          <w:lang w:eastAsia="zh-CN"/>
        </w:rPr>
        <w:t>装层。</w:t>
      </w:r>
    </w:p>
    <w:p w14:paraId="70973843">
      <w:pPr>
        <w:pStyle w:val="12"/>
        <w:ind w:firstLine="414"/>
        <w:rPr>
          <w:rFonts w:hint="default" w:ascii="Times New Roman" w:hAnsi="Times New Roman" w:eastAsia="宋体" w:cs="Times New Roman"/>
          <w:color w:val="auto"/>
          <w:spacing w:val="-3"/>
          <w:sz w:val="24"/>
          <w:szCs w:val="24"/>
          <w:lang w:eastAsia="zh-CN"/>
        </w:rPr>
      </w:pPr>
      <w:r>
        <w:rPr>
          <w:rFonts w:hint="default" w:ascii="Times New Roman" w:hAnsi="Times New Roman" w:eastAsia="宋体" w:cs="Times New Roman"/>
          <w:b/>
          <w:bCs/>
          <w:color w:val="auto"/>
          <w:spacing w:val="-2"/>
          <w:sz w:val="24"/>
          <w:szCs w:val="24"/>
          <w:lang w:eastAsia="zh-CN"/>
        </w:rPr>
        <w:t xml:space="preserve">2 </w:t>
      </w:r>
      <w:r>
        <w:rPr>
          <w:rFonts w:hint="default" w:ascii="Times New Roman" w:hAnsi="Times New Roman" w:eastAsia="宋体" w:cs="Times New Roman"/>
          <w:color w:val="auto"/>
          <w:spacing w:val="-2"/>
          <w:sz w:val="24"/>
          <w:szCs w:val="24"/>
          <w:lang w:eastAsia="zh-CN"/>
        </w:rPr>
        <w:t>外包钢筋混凝土加固构造，应符</w:t>
      </w:r>
      <w:r>
        <w:rPr>
          <w:rFonts w:hint="default" w:ascii="Times New Roman" w:hAnsi="Times New Roman" w:eastAsia="宋体" w:cs="Times New Roman"/>
          <w:color w:val="auto"/>
          <w:spacing w:val="-3"/>
          <w:sz w:val="24"/>
          <w:szCs w:val="24"/>
          <w:lang w:eastAsia="zh-CN"/>
        </w:rPr>
        <w:t>合下列规定：</w:t>
      </w:r>
    </w:p>
    <w:p w14:paraId="6A364D12">
      <w:pPr>
        <w:pStyle w:val="12"/>
        <w:ind w:firstLine="741" w:firstLineChars="3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pacing w:val="3"/>
          <w:sz w:val="24"/>
          <w:szCs w:val="24"/>
          <w:lang w:eastAsia="zh-CN"/>
        </w:rPr>
        <w:t>1</w:t>
      </w:r>
      <w:r>
        <w:rPr>
          <w:rFonts w:hint="default" w:ascii="Times New Roman" w:hAnsi="Times New Roman" w:eastAsia="宋体" w:cs="Times New Roman"/>
          <w:color w:val="auto"/>
          <w:spacing w:val="3"/>
          <w:sz w:val="24"/>
          <w:szCs w:val="24"/>
          <w:lang w:eastAsia="zh-CN"/>
        </w:rPr>
        <w:t>）采用外包钢筋混凝土加固法时，混凝土强度等级不应低</w:t>
      </w:r>
      <w:r>
        <w:rPr>
          <w:rFonts w:hint="default" w:ascii="Times New Roman" w:hAnsi="Times New Roman" w:eastAsia="宋体" w:cs="Times New Roman"/>
          <w:color w:val="auto"/>
          <w:sz w:val="24"/>
          <w:szCs w:val="24"/>
          <w:lang w:eastAsia="zh-CN"/>
        </w:rPr>
        <w:t>于C30；外包钢筋混凝土的厚度不宜小于100mm；</w:t>
      </w:r>
    </w:p>
    <w:p w14:paraId="77E0AADE">
      <w:pPr>
        <w:pStyle w:val="12"/>
        <w:ind w:firstLine="741" w:firstLineChars="3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pacing w:val="3"/>
          <w:sz w:val="24"/>
          <w:szCs w:val="24"/>
          <w:lang w:eastAsia="zh-CN"/>
        </w:rPr>
        <w:t>2）</w:t>
      </w:r>
      <w:r>
        <w:rPr>
          <w:rFonts w:hint="default" w:ascii="Times New Roman" w:hAnsi="Times New Roman" w:eastAsia="宋体" w:cs="Times New Roman"/>
          <w:color w:val="auto"/>
          <w:spacing w:val="3"/>
          <w:sz w:val="24"/>
          <w:szCs w:val="24"/>
          <w:lang w:eastAsia="zh-CN"/>
        </w:rPr>
        <w:t>外包钢筋混凝土内纵向受力钢筋的两端应有可靠连接和</w:t>
      </w:r>
      <w:r>
        <w:rPr>
          <w:rFonts w:hint="default" w:ascii="Times New Roman" w:hAnsi="Times New Roman" w:eastAsia="宋体" w:cs="Times New Roman"/>
          <w:color w:val="auto"/>
          <w:spacing w:val="-4"/>
          <w:sz w:val="24"/>
          <w:szCs w:val="24"/>
          <w:lang w:eastAsia="zh-CN"/>
        </w:rPr>
        <w:t>锚固；</w:t>
      </w:r>
    </w:p>
    <w:p w14:paraId="2794F782">
      <w:pPr>
        <w:pStyle w:val="12"/>
        <w:ind w:firstLine="741" w:firstLineChars="300"/>
        <w:rPr>
          <w:rFonts w:hint="default" w:ascii="Times New Roman" w:hAnsi="Times New Roman" w:eastAsia="宋体" w:cs="Times New Roman"/>
          <w:color w:val="auto"/>
          <w:spacing w:val="3"/>
          <w:sz w:val="24"/>
          <w:szCs w:val="24"/>
          <w:lang w:eastAsia="zh-CN"/>
        </w:rPr>
      </w:pPr>
      <w:r>
        <w:rPr>
          <w:rFonts w:hint="default" w:ascii="Times New Roman" w:hAnsi="Times New Roman" w:eastAsia="宋体" w:cs="Times New Roman"/>
          <w:b/>
          <w:bCs/>
          <w:color w:val="auto"/>
          <w:spacing w:val="3"/>
          <w:sz w:val="24"/>
          <w:szCs w:val="24"/>
          <w:lang w:eastAsia="zh-CN"/>
        </w:rPr>
        <w:t>3）</w:t>
      </w:r>
      <w:r>
        <w:rPr>
          <w:rFonts w:hint="default" w:ascii="Times New Roman" w:hAnsi="Times New Roman" w:eastAsia="宋体" w:cs="Times New Roman"/>
          <w:color w:val="auto"/>
          <w:spacing w:val="3"/>
          <w:sz w:val="24"/>
          <w:szCs w:val="24"/>
          <w:lang w:eastAsia="zh-CN"/>
        </w:rPr>
        <w:t>采用外包钢筋混凝土加固时，对过渡层、过渡段及钢构</w:t>
      </w:r>
      <w:r>
        <w:rPr>
          <w:rFonts w:hint="default" w:ascii="Times New Roman" w:hAnsi="Times New Roman" w:eastAsia="宋体" w:cs="Times New Roman"/>
          <w:color w:val="auto"/>
          <w:spacing w:val="-3"/>
          <w:sz w:val="24"/>
          <w:szCs w:val="24"/>
          <w:lang w:eastAsia="zh-CN"/>
        </w:rPr>
        <w:t>件与混凝土间传力较大部位经计算需要在钢构件上设置抗剪连接件时</w:t>
      </w:r>
      <w:r>
        <w:rPr>
          <w:rFonts w:hint="default" w:ascii="Times New Roman" w:hAnsi="Times New Roman" w:eastAsia="宋体" w:cs="Times New Roman"/>
          <w:color w:val="auto"/>
          <w:spacing w:val="3"/>
          <w:sz w:val="24"/>
          <w:szCs w:val="24"/>
          <w:lang w:eastAsia="zh-CN"/>
        </w:rPr>
        <w:t>，宜采用栓钉。</w:t>
      </w:r>
    </w:p>
    <w:p w14:paraId="2D04FD54">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条文说明：外包钢筋混凝土加固法虽适用于加固各类压弯和偏压型钢构件，但它由于湿作业工作量大、养护期长、占用建筑空间较多，故一般仅用于需要大幅度提高承载能力的实腹式型钢构件加固。</w:t>
      </w:r>
    </w:p>
    <w:p w14:paraId="4D2D680B">
      <w:pPr>
        <w:spacing w:line="360" w:lineRule="exact"/>
        <w:rPr>
          <w:rFonts w:hint="default" w:ascii="Times New Roman" w:hAnsi="Times New Roman" w:eastAsia="宋体" w:cs="Times New Roman"/>
          <w:b/>
          <w:bCs/>
          <w:color w:val="auto"/>
          <w:spacing w:val="-2"/>
          <w:sz w:val="24"/>
          <w:szCs w:val="24"/>
        </w:rPr>
      </w:pPr>
      <w:r>
        <w:rPr>
          <w:rFonts w:hint="default" w:ascii="Times New Roman" w:hAnsi="Times New Roman" w:eastAsia="宋体" w:cs="Times New Roman"/>
          <w:b/>
          <w:bCs/>
          <w:color w:val="auto"/>
          <w:spacing w:val="-2"/>
          <w:sz w:val="24"/>
          <w:szCs w:val="24"/>
          <w:lang w:eastAsia="zh-CN"/>
        </w:rPr>
        <w:t>8.3</w:t>
      </w:r>
      <w:r>
        <w:rPr>
          <w:rFonts w:hint="default" w:ascii="Times New Roman" w:hAnsi="Times New Roman" w:eastAsia="宋体" w:cs="Times New Roman"/>
          <w:b/>
          <w:bCs/>
          <w:color w:val="auto"/>
          <w:spacing w:val="-2"/>
          <w:sz w:val="24"/>
          <w:szCs w:val="24"/>
        </w:rPr>
        <w:t>.</w:t>
      </w:r>
      <w:r>
        <w:rPr>
          <w:rFonts w:hint="eastAsia" w:ascii="Times New Roman" w:hAnsi="Times New Roman" w:eastAsia="宋体" w:cs="Times New Roman"/>
          <w:b/>
          <w:bCs/>
          <w:color w:val="auto"/>
          <w:spacing w:val="-2"/>
          <w:sz w:val="24"/>
          <w:szCs w:val="24"/>
          <w:lang w:val="en-US" w:eastAsia="zh-CN"/>
        </w:rPr>
        <w:t>5</w:t>
      </w:r>
      <w:r>
        <w:rPr>
          <w:rFonts w:hint="default" w:ascii="Times New Roman" w:hAnsi="Times New Roman" w:eastAsia="宋体" w:cs="Times New Roman"/>
          <w:bCs/>
          <w:color w:val="auto"/>
          <w:spacing w:val="-2"/>
          <w:sz w:val="24"/>
          <w:szCs w:val="24"/>
        </w:rPr>
        <w:t xml:space="preserve"> 采用</w:t>
      </w:r>
      <w:r>
        <w:rPr>
          <w:rFonts w:hint="default" w:ascii="Times New Roman" w:hAnsi="Times New Roman" w:eastAsia="宋体" w:cs="Times New Roman"/>
          <w:color w:val="auto"/>
          <w:sz w:val="24"/>
          <w:szCs w:val="24"/>
        </w:rPr>
        <w:t>钢管构件内填混凝土加固法加固钢构件时，应符合以下要求：</w:t>
      </w:r>
    </w:p>
    <w:p w14:paraId="15791C0D">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1</w:t>
      </w:r>
      <w:r>
        <w:rPr>
          <w:rFonts w:hint="default" w:ascii="Times New Roman" w:hAnsi="Times New Roman" w:eastAsia="宋体" w:cs="Times New Roman"/>
          <w:color w:val="auto"/>
          <w:sz w:val="24"/>
          <w:szCs w:val="24"/>
          <w:lang w:eastAsia="zh-CN"/>
        </w:rPr>
        <w:t xml:space="preserve"> 当采用内填混凝土加固法加固轴心受压和偏心受压的圆形或方形截面钢管构件时，应符合下列规定：</w:t>
      </w:r>
    </w:p>
    <w:p w14:paraId="5065423F">
      <w:pPr>
        <w:pStyle w:val="12"/>
        <w:ind w:firstLine="964" w:firstLineChars="4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1）</w:t>
      </w:r>
      <w:r>
        <w:rPr>
          <w:rFonts w:hint="default" w:ascii="Times New Roman" w:hAnsi="Times New Roman" w:eastAsia="宋体" w:cs="Times New Roman"/>
          <w:color w:val="auto"/>
          <w:sz w:val="24"/>
          <w:szCs w:val="24"/>
          <w:lang w:eastAsia="zh-CN"/>
        </w:rPr>
        <w:t>圆形钢管的外直径不宜小于200mm；钢管壁厚不宜小于4mm；</w:t>
      </w:r>
    </w:p>
    <w:p w14:paraId="15487E3C">
      <w:pPr>
        <w:pStyle w:val="12"/>
        <w:ind w:firstLine="964" w:firstLineChars="4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2）</w:t>
      </w:r>
      <w:r>
        <w:rPr>
          <w:rFonts w:hint="default" w:ascii="Times New Roman" w:hAnsi="Times New Roman" w:eastAsia="宋体" w:cs="Times New Roman"/>
          <w:color w:val="auto"/>
          <w:sz w:val="24"/>
          <w:szCs w:val="24"/>
          <w:lang w:eastAsia="zh-CN"/>
        </w:rPr>
        <w:t>方形钢管的截面边长不宜小于200mm；钢管壁厚不宜小于6mm；</w:t>
      </w:r>
    </w:p>
    <w:p w14:paraId="57CEDCE1">
      <w:pPr>
        <w:pStyle w:val="12"/>
        <w:ind w:firstLine="964" w:firstLineChars="4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3）</w:t>
      </w:r>
      <w:r>
        <w:rPr>
          <w:rFonts w:hint="default" w:ascii="Times New Roman" w:hAnsi="Times New Roman" w:eastAsia="宋体" w:cs="Times New Roman"/>
          <w:color w:val="auto"/>
          <w:sz w:val="24"/>
          <w:szCs w:val="24"/>
          <w:lang w:eastAsia="zh-CN"/>
        </w:rPr>
        <w:t>矩形截面钢管的高宽比</w:t>
      </w:r>
      <w:r>
        <w:rPr>
          <w:rFonts w:hint="default" w:ascii="Times New Roman" w:hAnsi="Times New Roman" w:eastAsia="宋体" w:cs="Times New Roman"/>
          <w:i/>
          <w:iCs/>
          <w:color w:val="auto"/>
          <w:sz w:val="24"/>
          <w:szCs w:val="24"/>
          <w:lang w:eastAsia="zh-CN"/>
        </w:rPr>
        <w:t>h/b</w:t>
      </w:r>
      <w:r>
        <w:rPr>
          <w:rFonts w:hint="default" w:ascii="Times New Roman" w:hAnsi="Times New Roman" w:eastAsia="宋体" w:cs="Times New Roman"/>
          <w:color w:val="auto"/>
          <w:sz w:val="24"/>
          <w:szCs w:val="24"/>
          <w:lang w:eastAsia="zh-CN"/>
        </w:rPr>
        <w:t>不应大于2；</w:t>
      </w:r>
    </w:p>
    <w:p w14:paraId="1B227D85">
      <w:pPr>
        <w:pStyle w:val="12"/>
        <w:ind w:firstLine="964" w:firstLineChars="4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4）</w:t>
      </w:r>
      <w:r>
        <w:rPr>
          <w:rFonts w:hint="default" w:ascii="Times New Roman" w:hAnsi="Times New Roman" w:eastAsia="宋体" w:cs="Times New Roman"/>
          <w:color w:val="auto"/>
          <w:sz w:val="24"/>
          <w:szCs w:val="24"/>
          <w:lang w:eastAsia="zh-CN"/>
        </w:rPr>
        <w:t>被加固钢管构件应无显著缺陷或损伤；当有显著缺陷或损伤时，应在加固前修复。</w:t>
      </w:r>
    </w:p>
    <w:p w14:paraId="2271167F">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方形钢管包括正方形钢管和矩形钢管为保证钢管与混凝土共同工作，矩形钢管截面边长之比不宜过大。为避免加固后形成的矩形钢管混凝土构件在丧失整体承载能力之前钢管壁板件局部屈曲，除应要求钢管壁厚不小于6mm外，尚应保证钢管全截面有效。故钢管截面高宽比不应大于2。</w:t>
      </w:r>
    </w:p>
    <w:p w14:paraId="6F08402A">
      <w:pPr>
        <w:pStyle w:val="12"/>
        <w:ind w:firstLine="42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2 钢管构件内填混凝土加固构造，应符合下列规定：</w:t>
      </w:r>
    </w:p>
    <w:p w14:paraId="0A1F8C7D">
      <w:pPr>
        <w:pStyle w:val="12"/>
        <w:ind w:firstLine="964" w:firstLineChars="4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1）</w:t>
      </w:r>
      <w:r>
        <w:rPr>
          <w:rFonts w:hint="default" w:ascii="Times New Roman" w:hAnsi="Times New Roman" w:eastAsia="宋体" w:cs="Times New Roman"/>
          <w:color w:val="auto"/>
          <w:sz w:val="24"/>
          <w:szCs w:val="24"/>
          <w:lang w:eastAsia="zh-CN"/>
        </w:rPr>
        <w:t>混凝土宜采用无收缩混凝土或自密实混凝土，混凝土强度等级不应低于C30，且不宜高于C80。当采用普通混凝土时，应减小混凝土收缩的不利影响；</w:t>
      </w:r>
    </w:p>
    <w:p w14:paraId="0A9C20FD">
      <w:pPr>
        <w:pStyle w:val="12"/>
        <w:ind w:firstLine="964" w:firstLineChars="4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2）</w:t>
      </w:r>
      <w:r>
        <w:rPr>
          <w:rFonts w:hint="default" w:ascii="Times New Roman" w:hAnsi="Times New Roman" w:eastAsia="宋体" w:cs="Times New Roman"/>
          <w:color w:val="auto"/>
          <w:sz w:val="24"/>
          <w:szCs w:val="24"/>
          <w:lang w:eastAsia="zh-CN"/>
        </w:rPr>
        <w:t>混凝土浇筑完毕后应将浇筑孔和排气孔补焊封闭。</w:t>
      </w:r>
    </w:p>
    <w:p w14:paraId="61B9E4D6">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条文说明：考虑到混凝土与钢材的合理匹配，保证质量，提出了混凝土强度等级不低于C30的要求，并应采取措施减小管内混凝土由于收缩等可能产生的不利影响。</w:t>
      </w:r>
    </w:p>
    <w:p w14:paraId="14199AC6">
      <w:pPr>
        <w:rPr>
          <w:rFonts w:hint="default" w:ascii="Times New Roman" w:hAnsi="Times New Roman" w:eastAsia="宋体" w:cs="Times New Roman"/>
          <w:color w:val="auto"/>
          <w:spacing w:val="-3"/>
          <w:sz w:val="24"/>
          <w:szCs w:val="24"/>
        </w:rPr>
      </w:pPr>
      <w:r>
        <w:rPr>
          <w:rFonts w:hint="default" w:ascii="Times New Roman" w:hAnsi="Times New Roman" w:eastAsia="宋体" w:cs="Times New Roman"/>
          <w:b/>
          <w:color w:val="auto"/>
          <w:sz w:val="24"/>
          <w:szCs w:val="24"/>
          <w:lang w:eastAsia="zh-CN"/>
        </w:rPr>
        <w:t>8.3</w:t>
      </w:r>
      <w:r>
        <w:rPr>
          <w:rFonts w:hint="default" w:ascii="Times New Roman" w:hAnsi="Times New Roman" w:eastAsia="宋体" w:cs="Times New Roman"/>
          <w:b/>
          <w:color w:val="auto"/>
          <w:sz w:val="24"/>
          <w:szCs w:val="24"/>
        </w:rPr>
        <w:t>.</w:t>
      </w:r>
      <w:r>
        <w:rPr>
          <w:rFonts w:hint="eastAsia" w:ascii="Times New Roman" w:hAnsi="Times New Roman" w:eastAsia="宋体" w:cs="Times New Roman"/>
          <w:b/>
          <w:color w:val="auto"/>
          <w:sz w:val="24"/>
          <w:szCs w:val="24"/>
          <w:lang w:val="en-US" w:eastAsia="zh-CN"/>
        </w:rPr>
        <w:t>6</w:t>
      </w:r>
      <w:r>
        <w:rPr>
          <w:rFonts w:hint="default" w:ascii="Times New Roman" w:hAnsi="Times New Roman" w:eastAsia="宋体" w:cs="Times New Roman"/>
          <w:color w:val="auto"/>
          <w:sz w:val="24"/>
          <w:szCs w:val="24"/>
        </w:rPr>
        <w:t xml:space="preserve"> 采用预应力法加固钢结构时，应符合以下要求</w:t>
      </w:r>
      <w:r>
        <w:rPr>
          <w:rFonts w:hint="default" w:ascii="Times New Roman" w:hAnsi="Times New Roman" w:eastAsia="宋体" w:cs="Times New Roman"/>
          <w:color w:val="auto"/>
          <w:spacing w:val="-3"/>
          <w:sz w:val="24"/>
          <w:szCs w:val="24"/>
        </w:rPr>
        <w:t>：</w:t>
      </w:r>
    </w:p>
    <w:p w14:paraId="33747CE6">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1</w:t>
      </w:r>
      <w:r>
        <w:rPr>
          <w:rFonts w:hint="default" w:ascii="Times New Roman" w:hAnsi="Times New Roman" w:eastAsia="宋体" w:cs="Times New Roman"/>
          <w:color w:val="auto"/>
          <w:sz w:val="24"/>
          <w:szCs w:val="24"/>
          <w:lang w:eastAsia="zh-CN"/>
        </w:rPr>
        <w:t xml:space="preserve"> 采用预应力对钢结构进行整体加固时，可通过张拉加固索、调整支座位置及临时支撑卸载等方法施加预应力。</w:t>
      </w:r>
    </w:p>
    <w:p w14:paraId="005B67FC">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施加预应力的方法有多种，目前常用的方法有：张拉加固索法、调整支座位置法及临时支撑卸载法，可根据被加固结构或构件的自身状态及工作环境选择。当有其他方法可选择时，应通过试验验证其有效性及安全性。</w:t>
      </w:r>
    </w:p>
    <w:p w14:paraId="4410E157">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2</w:t>
      </w:r>
      <w:r>
        <w:rPr>
          <w:rFonts w:hint="default" w:ascii="Times New Roman" w:hAnsi="Times New Roman" w:eastAsia="宋体" w:cs="Times New Roman"/>
          <w:color w:val="auto"/>
          <w:sz w:val="24"/>
          <w:szCs w:val="24"/>
          <w:lang w:eastAsia="zh-CN"/>
        </w:rPr>
        <w:t xml:space="preserve"> 采用预应力加固的钢结构构件，除应根据设计状况进行承载能力验算及正常使用极限状态验算外，尚应对施工阶段进行验算。当原结构上既有荷载较小或尚未施加时，加固所用预应力大小不应在施工阶段导致原梁发生局部或整体失稳</w:t>
      </w:r>
    </w:p>
    <w:p w14:paraId="51F2F18C">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常规的结构设计，仅需要进行承载力验算及正常使用极限状态验算，但对于采用预应力加固的结构，由于预应力可能需要分级施加，施工阶段结构的受力状态可能不同于设计计算状态。因此，为了保证结构安全及其使用性能，应对施工阶段可能出现的不利荷载状态进行必要的验算。施工时原结构的荷载状态是指结构承载或部分承载或完全不承载。</w:t>
      </w:r>
    </w:p>
    <w:p w14:paraId="3D8D2F45">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3</w:t>
      </w:r>
      <w:r>
        <w:rPr>
          <w:rFonts w:hint="default" w:ascii="Times New Roman" w:hAnsi="Times New Roman" w:eastAsia="宋体" w:cs="Times New Roman"/>
          <w:color w:val="auto"/>
          <w:sz w:val="24"/>
          <w:szCs w:val="24"/>
          <w:lang w:eastAsia="zh-CN"/>
        </w:rPr>
        <w:t xml:space="preserve"> 用于加固的预应力高强度钢索的设计应力，承重索不宜大于索材极限抗拉强度的40%；稳定索不宜大于索材极限抗拉强度的55%。</w:t>
      </w:r>
    </w:p>
    <w:p w14:paraId="77F7AEF4">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4</w:t>
      </w:r>
      <w:r>
        <w:rPr>
          <w:rFonts w:hint="default" w:ascii="Times New Roman" w:hAnsi="Times New Roman" w:eastAsia="宋体" w:cs="Times New Roman"/>
          <w:color w:val="auto"/>
          <w:sz w:val="24"/>
          <w:szCs w:val="24"/>
          <w:lang w:eastAsia="zh-CN"/>
        </w:rPr>
        <w:t xml:space="preserve"> 采用预应力加固钢结构构件时，可选择下列方法：</w:t>
      </w:r>
    </w:p>
    <w:p w14:paraId="5418A3CC">
      <w:pPr>
        <w:pStyle w:val="12"/>
        <w:ind w:firstLine="723" w:firstLineChars="3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1）</w:t>
      </w:r>
      <w:r>
        <w:rPr>
          <w:rFonts w:hint="default" w:ascii="Times New Roman" w:hAnsi="Times New Roman" w:eastAsia="宋体" w:cs="Times New Roman"/>
          <w:color w:val="auto"/>
          <w:sz w:val="24"/>
          <w:szCs w:val="24"/>
          <w:lang w:eastAsia="zh-CN"/>
        </w:rPr>
        <w:t>对正截面受弯承载力不足的梁、板构件，可采用预应力水平拉杆进行加固，亦可采用下撑式预应力拉杆进行加固。若工程需要且构造条件允许，尚可同时采用水平拉杆和下撑式拉杆进行加固；</w:t>
      </w:r>
    </w:p>
    <w:p w14:paraId="4FB4AEB5">
      <w:pPr>
        <w:pStyle w:val="12"/>
        <w:ind w:firstLine="723" w:firstLineChars="3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2）</w:t>
      </w:r>
      <w:r>
        <w:rPr>
          <w:rFonts w:hint="default" w:ascii="Times New Roman" w:hAnsi="Times New Roman" w:eastAsia="宋体" w:cs="Times New Roman"/>
          <w:color w:val="auto"/>
          <w:sz w:val="24"/>
          <w:szCs w:val="24"/>
          <w:lang w:eastAsia="zh-CN"/>
        </w:rPr>
        <w:t>对受压承载力不足的轴心受压柱、小偏心受压柱以及弯矩变号的大偏心受压柱，可采用双侧预应力撑杆进行加固；若偏心受压柱的弯矩不变号，亦可采用单侧预应力撑杆进行加固。对桁架中承载力不足的轴心受拉构件和偏心受拉构件，可采用预应力杆件进行加固。</w:t>
      </w:r>
    </w:p>
    <w:p w14:paraId="34504549">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连续跨的同一种构件包括梁、柱、拱、桁架、支撑及其他各种杆件。本条列出的单个构件预应力加固方法为常见且成熟的方法，也可采用其他有效且安全的加固新方法。当采用新方法时，宜通过准确的计算分析验证或模型实验验证。</w:t>
      </w:r>
    </w:p>
    <w:p w14:paraId="11AAEB22">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 xml:space="preserve">5 </w:t>
      </w:r>
      <w:r>
        <w:rPr>
          <w:rFonts w:hint="default" w:ascii="Times New Roman" w:hAnsi="Times New Roman" w:eastAsia="宋体" w:cs="Times New Roman"/>
          <w:color w:val="auto"/>
          <w:sz w:val="24"/>
          <w:szCs w:val="24"/>
          <w:lang w:eastAsia="zh-CN"/>
        </w:rPr>
        <w:t>钢结构构件预应力加固法，可用于单个钢构件的加固，亦可用于连续跨的同一种构件的加固。</w:t>
      </w:r>
    </w:p>
    <w:p w14:paraId="5C2D9106">
      <w:pPr>
        <w:pStyle w:val="12"/>
        <w:ind w:firstLine="723" w:firstLineChars="3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1）</w:t>
      </w:r>
      <w:r>
        <w:rPr>
          <w:rFonts w:hint="default" w:ascii="Times New Roman" w:hAnsi="Times New Roman" w:eastAsia="宋体" w:cs="Times New Roman"/>
          <w:color w:val="auto"/>
          <w:sz w:val="24"/>
          <w:szCs w:val="24"/>
          <w:lang w:eastAsia="zh-CN"/>
        </w:rPr>
        <w:t>常用的加固方法宜包括：预应力钢索加固法、预应力钢索加撑杆加固法(图8.3.</w:t>
      </w: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eastAsia="zh-CN"/>
        </w:rPr>
        <w:t>-1)、预应力撑杆加拉杆加固法(图8.3.</w:t>
      </w: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eastAsia="zh-CN"/>
        </w:rPr>
        <w:t>-2)及钢梁预应力钢索吊挂加固法，且可用于钢梁、拱、托架和桁架加固(图8.3.</w:t>
      </w: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eastAsia="zh-CN"/>
        </w:rPr>
        <w:t>-3)；</w:t>
      </w:r>
    </w:p>
    <w:p w14:paraId="4EB82A17">
      <w:pPr>
        <w:pStyle w:val="12"/>
        <w:spacing w:line="300" w:lineRule="auto"/>
        <w:ind w:left="809" w:leftChars="337" w:firstLine="420"/>
        <w:rPr>
          <w:rFonts w:hint="default" w:ascii="Times New Roman" w:hAnsi="Times New Roman" w:eastAsia="宋体" w:cs="Times New Roman"/>
          <w:color w:val="auto"/>
          <w:spacing w:val="-3"/>
          <w:sz w:val="24"/>
          <w:szCs w:val="24"/>
          <w:lang w:eastAsia="zh-CN"/>
        </w:rPr>
      </w:pPr>
      <w:r>
        <w:rPr>
          <w:rFonts w:hint="default" w:ascii="Times New Roman" w:hAnsi="Times New Roman" w:eastAsia="宋体" w:cs="Times New Roman"/>
          <w:color w:val="auto"/>
          <w:sz w:val="24"/>
          <w:szCs w:val="24"/>
        </w:rPr>
        <w:drawing>
          <wp:inline distT="0" distB="0" distL="0" distR="0">
            <wp:extent cx="3731895" cy="2682875"/>
            <wp:effectExtent l="0" t="0" r="1905" b="3175"/>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noChangeArrowheads="1"/>
                    </pic:cNvPicPr>
                  </pic:nvPicPr>
                  <pic:blipFill>
                    <a:blip r:embed="rId345">
                      <a:extLst>
                        <a:ext uri="{28A0092B-C50C-407E-A947-70E740481C1C}">
                          <a14:useLocalDpi xmlns:a14="http://schemas.microsoft.com/office/drawing/2010/main" val="0"/>
                        </a:ext>
                      </a:extLst>
                    </a:blip>
                    <a:srcRect b="8333"/>
                    <a:stretch>
                      <a:fillRect/>
                    </a:stretch>
                  </pic:blipFill>
                  <pic:spPr>
                    <a:xfrm>
                      <a:off x="0" y="0"/>
                      <a:ext cx="3737764" cy="2686806"/>
                    </a:xfrm>
                    <a:prstGeom prst="rect">
                      <a:avLst/>
                    </a:prstGeom>
                    <a:noFill/>
                    <a:ln>
                      <a:noFill/>
                    </a:ln>
                  </pic:spPr>
                </pic:pic>
              </a:graphicData>
            </a:graphic>
          </wp:inline>
        </w:drawing>
      </w:r>
    </w:p>
    <w:p w14:paraId="05F85235">
      <w:pPr>
        <w:pStyle w:val="12"/>
        <w:spacing w:line="300" w:lineRule="auto"/>
        <w:ind w:firstLine="3510" w:firstLineChars="1500"/>
        <w:rPr>
          <w:rFonts w:hint="default" w:ascii="Times New Roman" w:hAnsi="Times New Roman" w:eastAsia="宋体" w:cs="Times New Roman"/>
          <w:color w:val="auto"/>
          <w:spacing w:val="-3"/>
          <w:sz w:val="24"/>
          <w:szCs w:val="24"/>
          <w:lang w:eastAsia="zh-CN"/>
        </w:rPr>
      </w:pPr>
      <w:r>
        <w:rPr>
          <w:rFonts w:hint="default" w:ascii="Times New Roman" w:hAnsi="Times New Roman" w:eastAsia="宋体" w:cs="Times New Roman"/>
          <w:color w:val="auto"/>
          <w:spacing w:val="-3"/>
          <w:sz w:val="24"/>
          <w:szCs w:val="24"/>
          <w:lang w:eastAsia="zh-CN"/>
        </w:rPr>
        <w:t>图8.3.</w:t>
      </w:r>
      <w:r>
        <w:rPr>
          <w:rFonts w:hint="eastAsia" w:ascii="Times New Roman" w:hAnsi="Times New Roman" w:eastAsia="宋体" w:cs="Times New Roman"/>
          <w:color w:val="auto"/>
          <w:spacing w:val="-3"/>
          <w:sz w:val="24"/>
          <w:szCs w:val="24"/>
          <w:lang w:val="en-US" w:eastAsia="zh-CN"/>
        </w:rPr>
        <w:t>6</w:t>
      </w:r>
      <w:r>
        <w:rPr>
          <w:rFonts w:hint="default" w:ascii="Times New Roman" w:hAnsi="Times New Roman" w:eastAsia="宋体" w:cs="Times New Roman"/>
          <w:color w:val="auto"/>
          <w:spacing w:val="-3"/>
          <w:sz w:val="24"/>
          <w:szCs w:val="24"/>
          <w:lang w:eastAsia="zh-CN"/>
        </w:rPr>
        <w:t xml:space="preserve">-1 </w:t>
      </w:r>
      <w:r>
        <w:rPr>
          <w:rFonts w:hint="default" w:ascii="Times New Roman" w:hAnsi="Times New Roman" w:eastAsia="宋体" w:cs="Times New Roman"/>
          <w:color w:val="auto"/>
          <w:sz w:val="24"/>
          <w:szCs w:val="24"/>
          <w:lang w:eastAsia="zh-CN"/>
        </w:rPr>
        <w:t>预应力钢索加撑杆加固法</w:t>
      </w:r>
    </w:p>
    <w:p w14:paraId="7B967476">
      <w:pPr>
        <w:pStyle w:val="12"/>
        <w:spacing w:line="300" w:lineRule="auto"/>
        <w:ind w:firstLine="1440" w:firstLineChars="600"/>
        <w:rPr>
          <w:rFonts w:hint="default" w:ascii="Times New Roman" w:hAnsi="Times New Roman" w:eastAsia="宋体" w:cs="Times New Roman"/>
          <w:color w:val="auto"/>
          <w:spacing w:val="-3"/>
          <w:sz w:val="24"/>
          <w:szCs w:val="24"/>
          <w:lang w:eastAsia="zh-CN"/>
        </w:rPr>
      </w:pPr>
      <w:r>
        <w:rPr>
          <w:rFonts w:hint="default" w:ascii="Times New Roman" w:hAnsi="Times New Roman" w:eastAsia="宋体" w:cs="Times New Roman"/>
          <w:color w:val="auto"/>
          <w:sz w:val="24"/>
          <w:szCs w:val="24"/>
        </w:rPr>
        <w:drawing>
          <wp:inline distT="0" distB="0" distL="0" distR="0">
            <wp:extent cx="3348355" cy="2387600"/>
            <wp:effectExtent l="0" t="0" r="4445" b="12700"/>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pic:cNvPicPr>
                      <a:picLocks noChangeAspect="1" noChangeArrowheads="1"/>
                    </pic:cNvPicPr>
                  </pic:nvPicPr>
                  <pic:blipFill>
                    <a:blip r:embed="rId346">
                      <a:extLst>
                        <a:ext uri="{28A0092B-C50C-407E-A947-70E740481C1C}">
                          <a14:useLocalDpi xmlns:a14="http://schemas.microsoft.com/office/drawing/2010/main" val="0"/>
                        </a:ext>
                      </a:extLst>
                    </a:blip>
                    <a:srcRect b="47894"/>
                    <a:stretch>
                      <a:fillRect/>
                    </a:stretch>
                  </pic:blipFill>
                  <pic:spPr>
                    <a:xfrm>
                      <a:off x="0" y="0"/>
                      <a:ext cx="3353505" cy="2390981"/>
                    </a:xfrm>
                    <a:prstGeom prst="rect">
                      <a:avLst/>
                    </a:prstGeom>
                    <a:noFill/>
                    <a:ln>
                      <a:noFill/>
                    </a:ln>
                  </pic:spPr>
                </pic:pic>
              </a:graphicData>
            </a:graphic>
          </wp:inline>
        </w:drawing>
      </w:r>
    </w:p>
    <w:p w14:paraId="0B4A83B0">
      <w:pPr>
        <w:pStyle w:val="12"/>
        <w:spacing w:line="300" w:lineRule="auto"/>
        <w:ind w:firstLine="3042" w:firstLineChars="1300"/>
        <w:rPr>
          <w:rFonts w:hint="default" w:ascii="Times New Roman" w:hAnsi="Times New Roman" w:eastAsia="宋体" w:cs="Times New Roman"/>
          <w:color w:val="auto"/>
          <w:spacing w:val="-3"/>
          <w:sz w:val="24"/>
          <w:szCs w:val="24"/>
          <w:lang w:eastAsia="zh-CN"/>
        </w:rPr>
      </w:pPr>
      <w:r>
        <w:rPr>
          <w:rFonts w:hint="default" w:ascii="Times New Roman" w:hAnsi="Times New Roman" w:eastAsia="宋体" w:cs="Times New Roman"/>
          <w:color w:val="auto"/>
          <w:spacing w:val="-3"/>
          <w:sz w:val="24"/>
          <w:szCs w:val="24"/>
          <w:lang w:eastAsia="zh-CN"/>
        </w:rPr>
        <w:t>图8.3.</w:t>
      </w:r>
      <w:r>
        <w:rPr>
          <w:rFonts w:hint="eastAsia" w:ascii="Times New Roman" w:hAnsi="Times New Roman" w:eastAsia="宋体" w:cs="Times New Roman"/>
          <w:color w:val="auto"/>
          <w:spacing w:val="-3"/>
          <w:sz w:val="24"/>
          <w:szCs w:val="24"/>
          <w:lang w:val="en-US" w:eastAsia="zh-CN"/>
        </w:rPr>
        <w:t>6</w:t>
      </w:r>
      <w:r>
        <w:rPr>
          <w:rFonts w:hint="default" w:ascii="Times New Roman" w:hAnsi="Times New Roman" w:eastAsia="宋体" w:cs="Times New Roman"/>
          <w:color w:val="auto"/>
          <w:spacing w:val="-3"/>
          <w:sz w:val="24"/>
          <w:szCs w:val="24"/>
          <w:lang w:eastAsia="zh-CN"/>
        </w:rPr>
        <w:t xml:space="preserve">-2 </w:t>
      </w:r>
      <w:r>
        <w:rPr>
          <w:rFonts w:hint="default" w:ascii="Times New Roman" w:hAnsi="Times New Roman" w:eastAsia="宋体" w:cs="Times New Roman"/>
          <w:color w:val="auto"/>
          <w:sz w:val="24"/>
          <w:szCs w:val="24"/>
          <w:lang w:eastAsia="zh-CN"/>
        </w:rPr>
        <w:t>预应力撑杆加拉杆加固法</w:t>
      </w:r>
    </w:p>
    <w:p w14:paraId="7C30638F">
      <w:pPr>
        <w:pStyle w:val="12"/>
        <w:ind w:left="902" w:firstLine="210" w:firstLineChars="100"/>
        <w:rPr>
          <w:rFonts w:hint="eastAsia" w:ascii="宋体" w:hAnsi="宋体" w:eastAsia="宋体" w:cs="宋体"/>
          <w:b w:val="0"/>
          <w:bCs/>
          <w:color w:val="auto"/>
          <w:sz w:val="21"/>
          <w:szCs w:val="21"/>
          <w:lang w:eastAsia="zh-CN"/>
        </w:rPr>
      </w:pPr>
      <w:r>
        <w:rPr>
          <w:rFonts w:hint="eastAsia" w:ascii="宋体" w:hAnsi="宋体" w:eastAsia="宋体" w:cs="宋体"/>
          <w:b w:val="0"/>
          <w:bCs/>
          <w:color w:val="auto"/>
          <w:sz w:val="21"/>
          <w:szCs w:val="21"/>
          <w:lang w:eastAsia="zh-CN"/>
        </w:rPr>
        <w:t>1—补垫角钢；2、10—箍板；3、7、9—撑杆；4、6—工具式拉紧装置；</w:t>
      </w:r>
    </w:p>
    <w:p w14:paraId="0C47EBFB">
      <w:pPr>
        <w:pStyle w:val="12"/>
        <w:ind w:left="902" w:firstLine="1470" w:firstLineChars="700"/>
        <w:rPr>
          <w:rFonts w:hint="eastAsia" w:ascii="宋体" w:hAnsi="宋体" w:eastAsia="宋体" w:cs="宋体"/>
          <w:b w:val="0"/>
          <w:bCs/>
          <w:color w:val="auto"/>
          <w:sz w:val="21"/>
          <w:szCs w:val="21"/>
          <w:lang w:eastAsia="zh-CN"/>
        </w:rPr>
      </w:pPr>
      <w:r>
        <w:rPr>
          <w:rFonts w:hint="eastAsia" w:ascii="宋体" w:hAnsi="宋体" w:eastAsia="宋体" w:cs="宋体"/>
          <w:b w:val="0"/>
          <w:bCs/>
          <w:color w:val="auto"/>
          <w:sz w:val="21"/>
          <w:szCs w:val="21"/>
          <w:lang w:eastAsia="zh-CN"/>
        </w:rPr>
        <w:t>5—预应力拉杆；8—顶板；11—加宽箍板</w:t>
      </w:r>
    </w:p>
    <w:p w14:paraId="2A9401DB">
      <w:pPr>
        <w:pStyle w:val="12"/>
        <w:ind w:firstLine="723" w:firstLineChars="3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2）</w:t>
      </w:r>
      <w:r>
        <w:rPr>
          <w:rFonts w:hint="default" w:ascii="Times New Roman" w:hAnsi="Times New Roman" w:eastAsia="宋体" w:cs="Times New Roman"/>
          <w:color w:val="auto"/>
          <w:sz w:val="24"/>
          <w:szCs w:val="24"/>
          <w:lang w:eastAsia="zh-CN"/>
        </w:rPr>
        <w:t>用于加固钢构件的预应力构件的设置，不宜削弱或损伤原构件及其节点，并应根据实际情况采取补强措施。锚固节点的布置，宜位于被加固构件受力较小处；</w:t>
      </w:r>
    </w:p>
    <w:p w14:paraId="654F407B">
      <w:pPr>
        <w:pStyle w:val="12"/>
        <w:ind w:firstLine="723" w:firstLineChars="3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3）</w:t>
      </w:r>
      <w:r>
        <w:rPr>
          <w:rFonts w:hint="default" w:ascii="Times New Roman" w:hAnsi="Times New Roman" w:eastAsia="宋体" w:cs="Times New Roman"/>
          <w:color w:val="auto"/>
          <w:sz w:val="24"/>
          <w:szCs w:val="24"/>
          <w:lang w:eastAsia="zh-CN"/>
        </w:rPr>
        <w:t>预应力拉索的转折点或撑杆的支点，宜位于构件变形较大处；</w:t>
      </w:r>
    </w:p>
    <w:p w14:paraId="61916EDB">
      <w:pPr>
        <w:pStyle w:val="12"/>
        <w:ind w:firstLine="723" w:firstLineChars="3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4）</w:t>
      </w:r>
      <w:r>
        <w:rPr>
          <w:rFonts w:hint="default" w:ascii="Times New Roman" w:hAnsi="Times New Roman" w:eastAsia="宋体" w:cs="Times New Roman"/>
          <w:color w:val="auto"/>
          <w:sz w:val="24"/>
          <w:szCs w:val="24"/>
          <w:lang w:eastAsia="zh-CN"/>
        </w:rPr>
        <w:t>用于加固钢构件的预应力构件及节点，宜根据被加固构件的截面对称布置。</w:t>
      </w:r>
    </w:p>
    <w:p w14:paraId="40122BF3">
      <w:pPr>
        <w:pStyle w:val="12"/>
        <w:ind w:firstLine="723" w:firstLineChars="3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5）</w:t>
      </w:r>
      <w:r>
        <w:rPr>
          <w:rFonts w:hint="default" w:ascii="Times New Roman" w:hAnsi="Times New Roman" w:eastAsia="宋体" w:cs="Times New Roman"/>
          <w:color w:val="auto"/>
          <w:sz w:val="24"/>
          <w:szCs w:val="24"/>
          <w:lang w:eastAsia="zh-CN"/>
        </w:rPr>
        <w:t>在输入预应力的锚固节点处，被加固构件的截面宜加强，且应按实际受力状态对该节点域及其连接进行设计验算；</w:t>
      </w:r>
    </w:p>
    <w:p w14:paraId="369B905C">
      <w:pPr>
        <w:pStyle w:val="12"/>
        <w:ind w:firstLine="723" w:firstLineChars="3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6）</w:t>
      </w:r>
      <w:r>
        <w:rPr>
          <w:rFonts w:hint="default" w:ascii="Times New Roman" w:hAnsi="Times New Roman" w:eastAsia="宋体" w:cs="Times New Roman"/>
          <w:color w:val="auto"/>
          <w:sz w:val="24"/>
          <w:szCs w:val="24"/>
          <w:lang w:eastAsia="zh-CN"/>
        </w:rPr>
        <w:t>采用双侧预应力索及撑杆加固偏心受压构件时，可按受压较大一侧的单侧撑杆进行加固设计验算。选用的加固构件应能满足原构件加固后承受最不利偏心受压的设计要求。构件另一侧应采用同规格的加固构件，使加固构件双侧对称。</w:t>
      </w:r>
    </w:p>
    <w:p w14:paraId="16D2EF26">
      <w:pPr>
        <w:pStyle w:val="12"/>
        <w:spacing w:line="240" w:lineRule="auto"/>
        <w:ind w:firstLine="0" w:firstLineChars="0"/>
        <w:jc w:val="center"/>
        <w:rPr>
          <w:rFonts w:hint="default" w:ascii="Times New Roman" w:hAnsi="Times New Roman" w:eastAsia="宋体" w:cs="Times New Roman"/>
          <w:b/>
          <w:color w:val="auto"/>
          <w:sz w:val="24"/>
          <w:szCs w:val="24"/>
          <w:lang w:eastAsia="zh-CN"/>
        </w:rPr>
      </w:pPr>
      <w:r>
        <w:rPr>
          <w:rFonts w:hint="default" w:ascii="Times New Roman" w:hAnsi="Times New Roman" w:eastAsia="宋体" w:cs="Times New Roman"/>
          <w:color w:val="auto"/>
          <w:sz w:val="24"/>
          <w:szCs w:val="24"/>
        </w:rPr>
        <w:drawing>
          <wp:inline distT="0" distB="0" distL="0" distR="0">
            <wp:extent cx="3422650" cy="1449070"/>
            <wp:effectExtent l="0" t="0" r="6350" b="17780"/>
            <wp:docPr id="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
                    <pic:cNvPicPr>
                      <a:picLocks noChangeAspect="1" noChangeArrowheads="1"/>
                    </pic:cNvPicPr>
                  </pic:nvPicPr>
                  <pic:blipFill>
                    <a:blip r:embed="rId346">
                      <a:extLst>
                        <a:ext uri="{28A0092B-C50C-407E-A947-70E740481C1C}">
                          <a14:useLocalDpi xmlns:a14="http://schemas.microsoft.com/office/drawing/2010/main" val="0"/>
                        </a:ext>
                      </a:extLst>
                    </a:blip>
                    <a:srcRect t="64676" b="4381"/>
                    <a:stretch>
                      <a:fillRect/>
                    </a:stretch>
                  </pic:blipFill>
                  <pic:spPr>
                    <a:xfrm>
                      <a:off x="0" y="0"/>
                      <a:ext cx="3430848" cy="1452638"/>
                    </a:xfrm>
                    <a:prstGeom prst="rect">
                      <a:avLst/>
                    </a:prstGeom>
                    <a:noFill/>
                    <a:ln>
                      <a:noFill/>
                    </a:ln>
                  </pic:spPr>
                </pic:pic>
              </a:graphicData>
            </a:graphic>
          </wp:inline>
        </w:drawing>
      </w:r>
    </w:p>
    <w:p w14:paraId="4D00B07B">
      <w:pPr>
        <w:pStyle w:val="12"/>
        <w:keepNext w:val="0"/>
        <w:keepLines w:val="0"/>
        <w:pageBreakBefore w:val="0"/>
        <w:widowControl w:val="0"/>
        <w:kinsoku/>
        <w:wordWrap/>
        <w:overflowPunct/>
        <w:topLinePunct w:val="0"/>
        <w:autoSpaceDE/>
        <w:autoSpaceDN/>
        <w:bidi w:val="0"/>
        <w:adjustRightInd w:val="0"/>
        <w:snapToGrid w:val="0"/>
        <w:ind w:firstLine="0" w:firstLineChars="0"/>
        <w:jc w:val="center"/>
        <w:textAlignment w:val="baseline"/>
        <w:rPr>
          <w:rFonts w:hint="default" w:ascii="Times New Roman" w:hAnsi="Times New Roman" w:eastAsia="宋体" w:cs="Times New Roman"/>
          <w:b/>
          <w:color w:val="auto"/>
          <w:sz w:val="24"/>
          <w:szCs w:val="24"/>
          <w:lang w:eastAsia="zh-CN"/>
        </w:rPr>
      </w:pPr>
      <w:r>
        <w:rPr>
          <w:rFonts w:hint="default" w:ascii="Times New Roman" w:hAnsi="Times New Roman" w:eastAsia="宋体" w:cs="Times New Roman"/>
          <w:b/>
          <w:color w:val="auto"/>
          <w:sz w:val="24"/>
          <w:szCs w:val="24"/>
          <w:lang w:eastAsia="zh-CN"/>
        </w:rPr>
        <w:t>图8.3.</w:t>
      </w:r>
      <w:r>
        <w:rPr>
          <w:rFonts w:hint="eastAsia" w:ascii="Times New Roman" w:hAnsi="Times New Roman" w:eastAsia="宋体" w:cs="Times New Roman"/>
          <w:b/>
          <w:color w:val="auto"/>
          <w:sz w:val="24"/>
          <w:szCs w:val="24"/>
          <w:lang w:val="en-US" w:eastAsia="zh-CN"/>
        </w:rPr>
        <w:t>6</w:t>
      </w:r>
      <w:r>
        <w:rPr>
          <w:rFonts w:hint="default" w:ascii="Times New Roman" w:hAnsi="Times New Roman" w:eastAsia="宋体" w:cs="Times New Roman"/>
          <w:b/>
          <w:color w:val="auto"/>
          <w:sz w:val="24"/>
          <w:szCs w:val="24"/>
          <w:lang w:eastAsia="zh-CN"/>
        </w:rPr>
        <w:t xml:space="preserve">-3 </w:t>
      </w:r>
      <w:r>
        <w:rPr>
          <w:rFonts w:hint="default" w:ascii="Times New Roman" w:hAnsi="Times New Roman" w:eastAsia="宋体" w:cs="Times New Roman"/>
          <w:color w:val="auto"/>
          <w:sz w:val="24"/>
          <w:szCs w:val="24"/>
          <w:lang w:eastAsia="zh-CN"/>
        </w:rPr>
        <w:t>钢梁（桁架）预应力索/拉杆加固法</w:t>
      </w:r>
    </w:p>
    <w:p w14:paraId="26B69310">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6</w:t>
      </w:r>
      <w:r>
        <w:rPr>
          <w:rFonts w:hint="default" w:ascii="Times New Roman" w:hAnsi="Times New Roman" w:eastAsia="宋体" w:cs="Times New Roman"/>
          <w:color w:val="auto"/>
          <w:sz w:val="24"/>
          <w:szCs w:val="24"/>
          <w:lang w:eastAsia="zh-CN"/>
        </w:rPr>
        <w:t xml:space="preserve"> 钢结构整体预应力加固法，宜用于大跨度及空间结构体系。</w:t>
      </w:r>
    </w:p>
    <w:p w14:paraId="3320F14F">
      <w:pPr>
        <w:pStyle w:val="12"/>
        <w:ind w:firstLine="723" w:firstLineChars="3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1）</w:t>
      </w:r>
      <w:r>
        <w:rPr>
          <w:rFonts w:hint="default" w:ascii="Times New Roman" w:hAnsi="Times New Roman" w:eastAsia="宋体" w:cs="Times New Roman"/>
          <w:color w:val="auto"/>
          <w:sz w:val="24"/>
          <w:szCs w:val="24"/>
          <w:lang w:eastAsia="zh-CN"/>
        </w:rPr>
        <w:t>加固方法宜采用预应力钢索加固法、预应力钢索加撑杆加固法、预应力钢索斜拉法或悬索吊挂加固法(图8.3.5-4)；</w:t>
      </w:r>
    </w:p>
    <w:p w14:paraId="408B36E5">
      <w:pPr>
        <w:pStyle w:val="12"/>
        <w:spacing w:line="300" w:lineRule="auto"/>
        <w:ind w:firstLine="1440" w:firstLineChars="6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drawing>
          <wp:inline distT="0" distB="0" distL="0" distR="0">
            <wp:extent cx="3950970" cy="4937125"/>
            <wp:effectExtent l="0" t="0" r="11430" b="15875"/>
            <wp:docPr id="4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2"/>
                    <pic:cNvPicPr>
                      <a:picLocks noChangeAspect="1" noChangeArrowheads="1"/>
                    </pic:cNvPicPr>
                  </pic:nvPicPr>
                  <pic:blipFill>
                    <a:blip r:embed="rId347">
                      <a:extLst>
                        <a:ext uri="{28A0092B-C50C-407E-A947-70E740481C1C}">
                          <a14:useLocalDpi xmlns:a14="http://schemas.microsoft.com/office/drawing/2010/main" val="0"/>
                        </a:ext>
                      </a:extLst>
                    </a:blip>
                    <a:srcRect b="7151"/>
                    <a:stretch>
                      <a:fillRect/>
                    </a:stretch>
                  </pic:blipFill>
                  <pic:spPr>
                    <a:xfrm>
                      <a:off x="0" y="0"/>
                      <a:ext cx="3952949" cy="4939560"/>
                    </a:xfrm>
                    <a:prstGeom prst="rect">
                      <a:avLst/>
                    </a:prstGeom>
                    <a:noFill/>
                    <a:ln>
                      <a:noFill/>
                    </a:ln>
                  </pic:spPr>
                </pic:pic>
              </a:graphicData>
            </a:graphic>
          </wp:inline>
        </w:drawing>
      </w:r>
    </w:p>
    <w:p w14:paraId="029C4675">
      <w:pPr>
        <w:pStyle w:val="12"/>
        <w:keepNext w:val="0"/>
        <w:keepLines w:val="0"/>
        <w:pageBreakBefore w:val="0"/>
        <w:widowControl w:val="0"/>
        <w:kinsoku/>
        <w:wordWrap/>
        <w:overflowPunct/>
        <w:topLinePunct w:val="0"/>
        <w:autoSpaceDE/>
        <w:autoSpaceDN/>
        <w:bidi w:val="0"/>
        <w:adjustRightInd w:val="0"/>
        <w:snapToGrid w:val="0"/>
        <w:ind w:firstLine="0" w:firstLineChars="0"/>
        <w:jc w:val="center"/>
        <w:textAlignment w:val="baseline"/>
        <w:rPr>
          <w:rFonts w:hint="default" w:ascii="Times New Roman" w:hAnsi="Times New Roman" w:eastAsia="宋体" w:cs="Times New Roman"/>
          <w:b/>
          <w:color w:val="auto"/>
          <w:sz w:val="24"/>
          <w:szCs w:val="24"/>
          <w:lang w:eastAsia="zh-CN"/>
        </w:rPr>
      </w:pPr>
      <w:r>
        <w:rPr>
          <w:rFonts w:hint="default" w:ascii="Times New Roman" w:hAnsi="Times New Roman" w:eastAsia="宋体" w:cs="Times New Roman"/>
          <w:b/>
          <w:color w:val="auto"/>
          <w:sz w:val="24"/>
          <w:szCs w:val="24"/>
          <w:lang w:eastAsia="zh-CN"/>
        </w:rPr>
        <w:t xml:space="preserve">图8.3.5-4 </w:t>
      </w:r>
      <w:r>
        <w:rPr>
          <w:rFonts w:hint="default" w:ascii="Times New Roman" w:hAnsi="Times New Roman" w:eastAsia="宋体" w:cs="Times New Roman"/>
          <w:color w:val="auto"/>
          <w:sz w:val="24"/>
          <w:szCs w:val="24"/>
          <w:lang w:eastAsia="zh-CN"/>
        </w:rPr>
        <w:t>大跨度及空间结构体系整体加固法</w:t>
      </w:r>
    </w:p>
    <w:p w14:paraId="316CF21E">
      <w:pPr>
        <w:pStyle w:val="12"/>
        <w:ind w:firstLine="723" w:firstLineChars="3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2）</w:t>
      </w:r>
      <w:r>
        <w:rPr>
          <w:rFonts w:hint="default" w:ascii="Times New Roman" w:hAnsi="Times New Roman" w:eastAsia="宋体" w:cs="Times New Roman"/>
          <w:color w:val="auto"/>
          <w:sz w:val="24"/>
          <w:szCs w:val="24"/>
          <w:lang w:eastAsia="zh-CN"/>
        </w:rPr>
        <w:t>预应力拉索的转折点、锚固节点及撑杆的支点，应位于原结构的节点或支座；</w:t>
      </w:r>
    </w:p>
    <w:p w14:paraId="6FC646F1">
      <w:pPr>
        <w:pStyle w:val="12"/>
        <w:ind w:firstLine="723" w:firstLineChars="3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3）</w:t>
      </w:r>
      <w:r>
        <w:rPr>
          <w:rFonts w:hint="default" w:ascii="Times New Roman" w:hAnsi="Times New Roman" w:eastAsia="宋体" w:cs="Times New Roman"/>
          <w:color w:val="auto"/>
          <w:sz w:val="24"/>
          <w:szCs w:val="24"/>
          <w:lang w:eastAsia="zh-CN"/>
        </w:rPr>
        <w:t>对结构整体预应力加固的预应力构件宜对称布置，预应力加固的效应宜使原结构多数杆件内力减少、少数杆件内力增加。对内力增加的杆件，当其内力组合设计值超过构件承载力设计值时宜先行加固，再施加预应力；</w:t>
      </w:r>
    </w:p>
    <w:p w14:paraId="4D411DFA">
      <w:pPr>
        <w:pStyle w:val="12"/>
        <w:ind w:firstLine="723" w:firstLineChars="3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4）</w:t>
      </w:r>
      <w:r>
        <w:rPr>
          <w:rFonts w:hint="default" w:ascii="Times New Roman" w:hAnsi="Times New Roman" w:eastAsia="宋体" w:cs="Times New Roman"/>
          <w:color w:val="auto"/>
          <w:sz w:val="24"/>
          <w:szCs w:val="24"/>
          <w:lang w:eastAsia="zh-CN"/>
        </w:rPr>
        <w:t>用于施加预应力的构件及其锚固节点宜对称布置，用于锚固预应力索的钢构件及其节点不宜偏心受力；</w:t>
      </w:r>
    </w:p>
    <w:p w14:paraId="4ACDCB70">
      <w:pPr>
        <w:pStyle w:val="12"/>
        <w:ind w:firstLine="723" w:firstLineChars="3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5）</w:t>
      </w:r>
      <w:r>
        <w:rPr>
          <w:rFonts w:hint="default" w:ascii="Times New Roman" w:hAnsi="Times New Roman" w:eastAsia="宋体" w:cs="Times New Roman"/>
          <w:color w:val="auto"/>
          <w:sz w:val="24"/>
          <w:szCs w:val="24"/>
          <w:lang w:eastAsia="zh-CN"/>
        </w:rPr>
        <w:t>构件和节点的极限承载力验算以及结构整体承载力验算，应包括加固时的预应力状态和加固后的使用状态。结构分析计算时，预应力状态的初始条件，应为现状结构的变形状态；使用状态的初始状态，应为预应力状态结束时的变形状态；</w:t>
      </w:r>
    </w:p>
    <w:p w14:paraId="3592B70F">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条文说明：本条给出的结构整体预应力加固方法均为常见且成熟的方法，也可采用其他有效且安全的加固方法。当采用新方法时，宜通过准确的计算分析验证或模型实验验证。</w:t>
      </w:r>
    </w:p>
    <w:p w14:paraId="4E1C1F74">
      <w:pPr>
        <w:pStyle w:val="12"/>
        <w:ind w:firstLine="723" w:firstLineChars="3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6）</w:t>
      </w:r>
      <w:r>
        <w:rPr>
          <w:rFonts w:hint="default" w:ascii="Times New Roman" w:hAnsi="Times New Roman" w:eastAsia="宋体" w:cs="Times New Roman"/>
          <w:color w:val="auto"/>
          <w:sz w:val="24"/>
          <w:szCs w:val="24"/>
          <w:lang w:eastAsia="zh-CN"/>
        </w:rPr>
        <w:t>结构整体预应力加固验算应包括下列内容：</w:t>
      </w:r>
    </w:p>
    <w:p w14:paraId="4F155710">
      <w:pPr>
        <w:pStyle w:val="12"/>
        <w:ind w:firstLine="964" w:firstLineChars="4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 xml:space="preserve">1 </w:t>
      </w:r>
      <w:r>
        <w:rPr>
          <w:rFonts w:hint="default" w:ascii="Times New Roman" w:hAnsi="Times New Roman" w:eastAsia="宋体" w:cs="Times New Roman"/>
          <w:color w:val="auto"/>
          <w:sz w:val="24"/>
          <w:szCs w:val="24"/>
          <w:lang w:eastAsia="zh-CN"/>
        </w:rPr>
        <w:t>构件的强度、刚度与稳定性验算，以及构件本身的局部稳定性验算；</w:t>
      </w:r>
    </w:p>
    <w:p w14:paraId="4372184C">
      <w:pPr>
        <w:pStyle w:val="12"/>
        <w:ind w:firstLine="964" w:firstLineChars="4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 xml:space="preserve">2 </w:t>
      </w:r>
      <w:r>
        <w:rPr>
          <w:rFonts w:hint="default" w:ascii="Times New Roman" w:hAnsi="Times New Roman" w:eastAsia="宋体" w:cs="Times New Roman"/>
          <w:color w:val="auto"/>
          <w:sz w:val="24"/>
          <w:szCs w:val="24"/>
          <w:lang w:eastAsia="zh-CN"/>
        </w:rPr>
        <w:t>节点的强度与节点板件的稳定性验算；</w:t>
      </w:r>
    </w:p>
    <w:p w14:paraId="3AD813F9">
      <w:pPr>
        <w:pStyle w:val="12"/>
        <w:ind w:firstLine="964" w:firstLineChars="4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3</w:t>
      </w:r>
      <w:r>
        <w:rPr>
          <w:rFonts w:hint="default" w:ascii="Times New Roman" w:hAnsi="Times New Roman" w:eastAsia="宋体" w:cs="Times New Roman"/>
          <w:color w:val="auto"/>
          <w:sz w:val="24"/>
          <w:szCs w:val="24"/>
          <w:lang w:eastAsia="zh-CN"/>
        </w:rPr>
        <w:t xml:space="preserve"> 结构整体变形验算；</w:t>
      </w:r>
    </w:p>
    <w:p w14:paraId="75C8DE99">
      <w:pPr>
        <w:pStyle w:val="12"/>
        <w:ind w:firstLine="964" w:firstLineChars="4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 xml:space="preserve">4 </w:t>
      </w:r>
      <w:r>
        <w:rPr>
          <w:rFonts w:hint="default" w:ascii="Times New Roman" w:hAnsi="Times New Roman" w:eastAsia="宋体" w:cs="Times New Roman"/>
          <w:color w:val="auto"/>
          <w:sz w:val="24"/>
          <w:szCs w:val="24"/>
          <w:lang w:eastAsia="zh-CN"/>
        </w:rPr>
        <w:t>对需要计算整体稳定的结构体系，尚应进行整体稳定性验算。</w:t>
      </w:r>
    </w:p>
    <w:p w14:paraId="08F5F356">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条文说明：本条规定了钢结构预应力加固验算的内容。验算公式及方法可参照现行国家标准《钢结构设计标准》GB 50017以及不同结构体系对应的结构设计标准或技术规程；至于大跨度结构的整体稳定性验算可参照现行行业标准《空间网格结构技术规程》JGJ 7的规定。</w:t>
      </w:r>
    </w:p>
    <w:p w14:paraId="34A13E54">
      <w:pPr>
        <w:pStyle w:val="12"/>
        <w:ind w:firstLine="723" w:firstLineChars="3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7）</w:t>
      </w:r>
      <w:r>
        <w:rPr>
          <w:rFonts w:hint="default" w:ascii="Times New Roman" w:hAnsi="Times New Roman" w:eastAsia="宋体" w:cs="Times New Roman"/>
          <w:color w:val="auto"/>
          <w:sz w:val="24"/>
          <w:szCs w:val="24"/>
          <w:lang w:eastAsia="zh-CN"/>
        </w:rPr>
        <w:t>刚性预应力撑杆加固的压杆肢的弯折与复位，应符合下列规定：</w:t>
      </w:r>
    </w:p>
    <w:p w14:paraId="50428DCF">
      <w:pPr>
        <w:pStyle w:val="12"/>
        <w:ind w:firstLine="964" w:firstLineChars="4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 xml:space="preserve">1 </w:t>
      </w:r>
      <w:r>
        <w:rPr>
          <w:rFonts w:hint="default" w:ascii="Times New Roman" w:hAnsi="Times New Roman" w:eastAsia="宋体" w:cs="Times New Roman"/>
          <w:color w:val="auto"/>
          <w:sz w:val="24"/>
          <w:szCs w:val="24"/>
          <w:lang w:eastAsia="zh-CN"/>
        </w:rPr>
        <w:t>弯折压杆肢前，应在角钢的侧立肢上切出三角形缺口，缺口背面，应补焊加强钢板(图8.3.5-5)；</w:t>
      </w:r>
    </w:p>
    <w:p w14:paraId="2B0A39E4">
      <w:pPr>
        <w:pStyle w:val="12"/>
        <w:ind w:firstLine="964" w:firstLineChars="4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 xml:space="preserve">2 </w:t>
      </w:r>
      <w:r>
        <w:rPr>
          <w:rFonts w:hint="default" w:ascii="Times New Roman" w:hAnsi="Times New Roman" w:eastAsia="宋体" w:cs="Times New Roman"/>
          <w:color w:val="auto"/>
          <w:sz w:val="24"/>
          <w:szCs w:val="24"/>
          <w:lang w:eastAsia="zh-CN"/>
        </w:rPr>
        <w:t>弯折压杆肢的复位应采用工具式拉紧螺杆，螺杆直径不应小于16mm，螺帽高度不应小于螺杆直径的1.5倍。</w:t>
      </w:r>
    </w:p>
    <w:p w14:paraId="6C2BE5D3">
      <w:pPr>
        <w:pStyle w:val="12"/>
        <w:spacing w:line="300" w:lineRule="auto"/>
        <w:ind w:firstLine="420"/>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drawing>
          <wp:inline distT="0" distB="0" distL="0" distR="0">
            <wp:extent cx="3720465" cy="1810385"/>
            <wp:effectExtent l="0" t="0" r="13335" b="18415"/>
            <wp:docPr id="4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
                    <pic:cNvPicPr>
                      <a:picLocks noChangeAspect="1" noChangeArrowheads="1"/>
                    </pic:cNvPicPr>
                  </pic:nvPicPr>
                  <pic:blipFill>
                    <a:blip r:embed="rId348">
                      <a:extLst>
                        <a:ext uri="{28A0092B-C50C-407E-A947-70E740481C1C}">
                          <a14:useLocalDpi xmlns:a14="http://schemas.microsoft.com/office/drawing/2010/main" val="0"/>
                        </a:ext>
                      </a:extLst>
                    </a:blip>
                    <a:srcRect b="19684"/>
                    <a:stretch>
                      <a:fillRect/>
                    </a:stretch>
                  </pic:blipFill>
                  <pic:spPr>
                    <a:xfrm>
                      <a:off x="0" y="0"/>
                      <a:ext cx="3728832" cy="1814395"/>
                    </a:xfrm>
                    <a:prstGeom prst="rect">
                      <a:avLst/>
                    </a:prstGeom>
                    <a:noFill/>
                    <a:ln>
                      <a:noFill/>
                    </a:ln>
                  </pic:spPr>
                </pic:pic>
              </a:graphicData>
            </a:graphic>
          </wp:inline>
        </w:drawing>
      </w:r>
    </w:p>
    <w:p w14:paraId="36E12E8D">
      <w:pPr>
        <w:pStyle w:val="12"/>
        <w:keepNext w:val="0"/>
        <w:keepLines w:val="0"/>
        <w:pageBreakBefore w:val="0"/>
        <w:widowControl w:val="0"/>
        <w:kinsoku/>
        <w:wordWrap/>
        <w:overflowPunct/>
        <w:topLinePunct w:val="0"/>
        <w:autoSpaceDE/>
        <w:autoSpaceDN/>
        <w:bidi w:val="0"/>
        <w:adjustRightInd w:val="0"/>
        <w:snapToGrid w:val="0"/>
        <w:ind w:firstLine="0" w:firstLineChars="0"/>
        <w:jc w:val="center"/>
        <w:textAlignment w:val="baseline"/>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 xml:space="preserve">图8.3.5-5 </w:t>
      </w:r>
      <w:r>
        <w:rPr>
          <w:rFonts w:hint="default" w:ascii="Times New Roman" w:hAnsi="Times New Roman" w:eastAsia="宋体" w:cs="Times New Roman"/>
          <w:color w:val="auto"/>
          <w:sz w:val="24"/>
          <w:szCs w:val="24"/>
          <w:lang w:eastAsia="zh-CN"/>
        </w:rPr>
        <w:t>压杆肢的弯折与复位</w:t>
      </w:r>
    </w:p>
    <w:p w14:paraId="6D4C6F7B">
      <w:pPr>
        <w:pStyle w:val="12"/>
        <w:keepNext w:val="0"/>
        <w:keepLines w:val="0"/>
        <w:pageBreakBefore w:val="0"/>
        <w:widowControl w:val="0"/>
        <w:kinsoku/>
        <w:wordWrap/>
        <w:overflowPunct/>
        <w:topLinePunct w:val="0"/>
        <w:autoSpaceDE/>
        <w:autoSpaceDN/>
        <w:bidi w:val="0"/>
        <w:adjustRightInd w:val="0"/>
        <w:snapToGrid w:val="0"/>
        <w:ind w:firstLine="0" w:firstLineChars="0"/>
        <w:jc w:val="center"/>
        <w:textAlignment w:val="baseline"/>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eastAsia="zh-CN"/>
        </w:rPr>
        <w:t>1—螺杆；2—加强钢板；3—角钢；4—</w:t>
      </w:r>
      <w:r>
        <w:rPr>
          <w:rFonts w:hint="eastAsia" w:ascii="宋体" w:hAnsi="宋体" w:eastAsia="宋体" w:cs="宋体"/>
          <w:b w:val="0"/>
          <w:bCs/>
          <w:color w:val="auto"/>
          <w:sz w:val="21"/>
          <w:szCs w:val="21"/>
          <w:lang w:val="en-US" w:eastAsia="zh-CN"/>
        </w:rPr>
        <w:t>坡口处箍板</w:t>
      </w:r>
    </w:p>
    <w:p w14:paraId="74EBF154">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 xml:space="preserve">7 </w:t>
      </w:r>
      <w:r>
        <w:rPr>
          <w:rFonts w:hint="default" w:ascii="Times New Roman" w:hAnsi="Times New Roman" w:eastAsia="宋体" w:cs="Times New Roman"/>
          <w:color w:val="auto"/>
          <w:sz w:val="24"/>
          <w:szCs w:val="24"/>
          <w:lang w:eastAsia="zh-CN"/>
        </w:rPr>
        <w:t>在钢结构加固施工前，应预先制定加固施工方案，并应编制相应的施工组织设计文件。</w:t>
      </w:r>
    </w:p>
    <w:p w14:paraId="114D72A0">
      <w:pPr>
        <w:pStyle w:val="12"/>
        <w:ind w:firstLine="723" w:firstLineChars="3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1）</w:t>
      </w:r>
      <w:r>
        <w:rPr>
          <w:rFonts w:hint="default" w:ascii="Times New Roman" w:hAnsi="Times New Roman" w:eastAsia="宋体" w:cs="Times New Roman"/>
          <w:color w:val="auto"/>
          <w:sz w:val="24"/>
          <w:szCs w:val="24"/>
          <w:lang w:eastAsia="zh-CN"/>
        </w:rPr>
        <w:t>对已确定的加固施工方案，应进行数值模拟计算，同时应记录各施工步骤关键构件的应力及节点位移；</w:t>
      </w:r>
    </w:p>
    <w:p w14:paraId="5782F097">
      <w:pPr>
        <w:pStyle w:val="12"/>
        <w:ind w:firstLine="723" w:firstLineChars="3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2）</w:t>
      </w:r>
      <w:r>
        <w:rPr>
          <w:rFonts w:hint="default" w:ascii="Times New Roman" w:hAnsi="Times New Roman" w:eastAsia="宋体" w:cs="Times New Roman"/>
          <w:color w:val="auto"/>
          <w:sz w:val="24"/>
          <w:szCs w:val="24"/>
          <w:lang w:eastAsia="zh-CN"/>
        </w:rPr>
        <w:t>进行钢结构加固施工前，应对加固区域的结构构件及节点进行复测，对用于加固的构件和节点进行定位；</w:t>
      </w:r>
    </w:p>
    <w:p w14:paraId="2B16BA1D">
      <w:pPr>
        <w:pStyle w:val="12"/>
        <w:ind w:firstLine="723" w:firstLineChars="3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3）</w:t>
      </w:r>
      <w:r>
        <w:rPr>
          <w:rFonts w:hint="default" w:ascii="Times New Roman" w:hAnsi="Times New Roman" w:eastAsia="宋体" w:cs="Times New Roman"/>
          <w:color w:val="auto"/>
          <w:sz w:val="24"/>
          <w:szCs w:val="24"/>
          <w:lang w:eastAsia="zh-CN"/>
        </w:rPr>
        <w:t>进行加固的钢结构，在施加预应力前，应对关键构件或超应力构件进行加固；</w:t>
      </w:r>
    </w:p>
    <w:p w14:paraId="371C83F5">
      <w:pPr>
        <w:pStyle w:val="12"/>
        <w:ind w:firstLine="723" w:firstLineChars="3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4）</w:t>
      </w:r>
      <w:r>
        <w:rPr>
          <w:rFonts w:hint="default" w:ascii="Times New Roman" w:hAnsi="Times New Roman" w:eastAsia="宋体" w:cs="Times New Roman"/>
          <w:color w:val="auto"/>
          <w:sz w:val="24"/>
          <w:szCs w:val="24"/>
          <w:lang w:eastAsia="zh-CN"/>
        </w:rPr>
        <w:t>钢结构加固施工时，预应力施加的张拉顺序应符合设计规定。当设计无规定时，应根据结构特点、施工条件，由施工方制定张拉方案，并应经设计方或业主审核同意；</w:t>
      </w:r>
    </w:p>
    <w:p w14:paraId="49C921D7">
      <w:pPr>
        <w:pStyle w:val="12"/>
        <w:ind w:firstLine="723" w:firstLineChars="3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5）</w:t>
      </w:r>
      <w:r>
        <w:rPr>
          <w:rFonts w:hint="default" w:ascii="Times New Roman" w:hAnsi="Times New Roman" w:eastAsia="宋体" w:cs="Times New Roman"/>
          <w:color w:val="auto"/>
          <w:sz w:val="24"/>
          <w:szCs w:val="24"/>
          <w:lang w:eastAsia="zh-CN"/>
        </w:rPr>
        <w:t>进行钢结构加固施工前，应制定施工过程监测与控制方案。监测手段应能反映各施工步骤中关键结构参数的数值及其变化状况。</w:t>
      </w:r>
    </w:p>
    <w:p w14:paraId="622E687C">
      <w:pPr>
        <w:pStyle w:val="12"/>
        <w:ind w:firstLine="723" w:firstLineChars="3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6）</w:t>
      </w:r>
      <w:r>
        <w:rPr>
          <w:rFonts w:hint="default" w:ascii="Times New Roman" w:hAnsi="Times New Roman" w:eastAsia="宋体" w:cs="Times New Roman"/>
          <w:color w:val="auto"/>
          <w:sz w:val="24"/>
          <w:szCs w:val="24"/>
          <w:lang w:eastAsia="zh-CN"/>
        </w:rPr>
        <w:t>钢结构加固施工过程中，应根据预定的监测方案，对主要构件的内力、变形、位置及其变化进行实时监测，并应与理论计算值比较，应使结构及构件的状态处在预定的控制范围内。</w:t>
      </w:r>
    </w:p>
    <w:p w14:paraId="066D4F7D">
      <w:pPr>
        <w:pStyle w:val="3"/>
        <w:bidi w:val="0"/>
        <w:rPr>
          <w:rFonts w:hint="default"/>
        </w:rPr>
      </w:pPr>
      <w:bookmarkStart w:id="172" w:name="_Toc16487"/>
      <w:r>
        <w:rPr>
          <w:rFonts w:hint="default"/>
          <w:lang w:eastAsia="zh-CN"/>
        </w:rPr>
        <w:t>8.4</w:t>
      </w:r>
      <w:r>
        <w:rPr>
          <w:rFonts w:hint="default"/>
        </w:rPr>
        <w:t xml:space="preserve"> 连接与节点的加固</w:t>
      </w:r>
      <w:bookmarkEnd w:id="172"/>
    </w:p>
    <w:p w14:paraId="39957F6D">
      <w:pPr>
        <w:spacing w:line="360" w:lineRule="exact"/>
        <w:rPr>
          <w:rFonts w:hint="default" w:ascii="Times New Roman" w:hAnsi="Times New Roman" w:eastAsia="宋体" w:cs="Times New Roman"/>
          <w:color w:val="auto"/>
          <w:spacing w:val="-1"/>
          <w:sz w:val="24"/>
          <w:szCs w:val="24"/>
        </w:rPr>
      </w:pPr>
      <w:r>
        <w:rPr>
          <w:rFonts w:hint="default" w:ascii="Times New Roman" w:hAnsi="Times New Roman" w:eastAsia="宋体" w:cs="Times New Roman"/>
          <w:b/>
          <w:bCs/>
          <w:color w:val="auto"/>
          <w:sz w:val="24"/>
          <w:szCs w:val="24"/>
          <w:lang w:eastAsia="zh-CN"/>
        </w:rPr>
        <w:t>8.4</w:t>
      </w:r>
      <w:r>
        <w:rPr>
          <w:rFonts w:hint="default" w:ascii="Times New Roman" w:hAnsi="Times New Roman" w:eastAsia="宋体" w:cs="Times New Roman"/>
          <w:b/>
          <w:bCs/>
          <w:color w:val="auto"/>
          <w:sz w:val="24"/>
          <w:szCs w:val="24"/>
        </w:rPr>
        <w:t>.1</w:t>
      </w:r>
      <w:r>
        <w:rPr>
          <w:rFonts w:hint="default" w:ascii="Times New Roman" w:hAnsi="Times New Roman" w:eastAsia="宋体" w:cs="Times New Roman"/>
          <w:bCs/>
          <w:color w:val="auto"/>
          <w:sz w:val="24"/>
          <w:szCs w:val="24"/>
        </w:rPr>
        <w:t xml:space="preserve"> </w:t>
      </w:r>
      <w:r>
        <w:rPr>
          <w:rFonts w:hint="default" w:ascii="Times New Roman" w:hAnsi="Times New Roman" w:eastAsia="宋体" w:cs="Times New Roman"/>
          <w:color w:val="auto"/>
          <w:sz w:val="24"/>
          <w:szCs w:val="24"/>
        </w:rPr>
        <w:t>钢结构连接的加固方法，可依据原结构的连接方法</w:t>
      </w:r>
      <w:r>
        <w:rPr>
          <w:rFonts w:hint="default" w:ascii="Times New Roman" w:hAnsi="Times New Roman" w:eastAsia="宋体" w:cs="Times New Roman"/>
          <w:color w:val="auto"/>
          <w:spacing w:val="-1"/>
          <w:sz w:val="24"/>
          <w:szCs w:val="24"/>
        </w:rPr>
        <w:t>和实际情况选用焊接、</w:t>
      </w:r>
      <w:r>
        <w:rPr>
          <w:rFonts w:hint="default" w:ascii="Times New Roman" w:hAnsi="Times New Roman" w:eastAsia="宋体" w:cs="Times New Roman"/>
          <w:color w:val="auto"/>
          <w:sz w:val="24"/>
          <w:szCs w:val="24"/>
        </w:rPr>
        <w:t>铆接、普通螺栓或高强度螺栓连接的方法。在同一受力部位连接的加固中，不宜采用焊缝与普通螺栓共同受力的刚度相差较大的混合连接方法，可采用焊缝和摩擦型高强螺栓在一</w:t>
      </w:r>
      <w:r>
        <w:rPr>
          <w:rFonts w:hint="default" w:ascii="Times New Roman" w:hAnsi="Times New Roman" w:eastAsia="宋体" w:cs="Times New Roman"/>
          <w:color w:val="auto"/>
          <w:spacing w:val="-1"/>
          <w:sz w:val="24"/>
          <w:szCs w:val="24"/>
        </w:rPr>
        <w:t>定条件下共同受力的并用连接。</w:t>
      </w:r>
    </w:p>
    <w:p w14:paraId="1B2C0752">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连接加固方法的选择应综合考虑结构加固的原因、目的、受力状态、结构构造和使用条件以及原结构采用的连接方法；一般宜与原结构的连接方法一致。当原结构为焊接时，应采用焊接加固，而不宜用普通螺栓等其他连接方法；当原结构为铆钉连接时，可采用摩擦型高强度螺栓连接方法加固；当为防止板件疲劳裂纹的扩展时，可采用有盖板的摩擦型高强度螺栓连接方法加固。</w:t>
      </w:r>
    </w:p>
    <w:p w14:paraId="53AE1003">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钢结构常用的连接方法中，其连接的刚度，即抵抗变形的能力，依次为焊接、摩擦型高强度螺栓、铆接和普通螺栓连接。一般而言，刚度大的连接很难与刚度小的连接同时受力，而且很容易发生逐个破坏。因此，通常计算时不宜考虑两种不同刚度的连接共同受力。但最新的试验研究表明，在受力较简单明确的接头中，焊缝与摩擦型高强度螺栓在相当程度上可以共同受力，并构成混合连接方式。</w:t>
      </w:r>
    </w:p>
    <w:p w14:paraId="372E91FB">
      <w:pPr>
        <w:spacing w:line="360" w:lineRule="exact"/>
        <w:rPr>
          <w:rFonts w:hint="default" w:ascii="Times New Roman" w:hAnsi="Times New Roman" w:eastAsia="宋体" w:cs="Times New Roman"/>
          <w:color w:val="auto"/>
          <w:spacing w:val="-1"/>
          <w:sz w:val="24"/>
          <w:szCs w:val="24"/>
        </w:rPr>
      </w:pPr>
      <w:r>
        <w:rPr>
          <w:rFonts w:hint="default" w:ascii="Times New Roman" w:hAnsi="Times New Roman" w:eastAsia="宋体" w:cs="Times New Roman"/>
          <w:b/>
          <w:bCs/>
          <w:color w:val="auto"/>
          <w:sz w:val="24"/>
          <w:szCs w:val="24"/>
          <w:lang w:eastAsia="zh-CN"/>
        </w:rPr>
        <w:t>8.4</w:t>
      </w:r>
      <w:r>
        <w:rPr>
          <w:rFonts w:hint="default" w:ascii="Times New Roman" w:hAnsi="Times New Roman" w:eastAsia="宋体" w:cs="Times New Roman"/>
          <w:b/>
          <w:bCs/>
          <w:color w:val="auto"/>
          <w:sz w:val="24"/>
          <w:szCs w:val="24"/>
        </w:rPr>
        <w:t>.2</w:t>
      </w:r>
      <w:r>
        <w:rPr>
          <w:rFonts w:hint="default" w:ascii="Times New Roman" w:hAnsi="Times New Roman" w:eastAsia="宋体" w:cs="Times New Roman"/>
          <w:bCs/>
          <w:color w:val="auto"/>
          <w:sz w:val="24"/>
          <w:szCs w:val="24"/>
        </w:rPr>
        <w:t xml:space="preserve"> </w:t>
      </w:r>
      <w:r>
        <w:rPr>
          <w:rFonts w:hint="default" w:ascii="Times New Roman" w:hAnsi="Times New Roman" w:eastAsia="宋体" w:cs="Times New Roman"/>
          <w:color w:val="auto"/>
          <w:sz w:val="24"/>
          <w:szCs w:val="24"/>
        </w:rPr>
        <w:t>负荷下连接的加固，当采用端焊缝或螺栓加固而需</w:t>
      </w:r>
      <w:r>
        <w:rPr>
          <w:rFonts w:hint="default" w:ascii="Times New Roman" w:hAnsi="Times New Roman" w:eastAsia="宋体" w:cs="Times New Roman"/>
          <w:color w:val="auto"/>
          <w:spacing w:val="-1"/>
          <w:sz w:val="24"/>
          <w:szCs w:val="24"/>
        </w:rPr>
        <w:t>要拆除原有连接时，或</w:t>
      </w:r>
      <w:r>
        <w:rPr>
          <w:rFonts w:hint="default" w:ascii="Times New Roman" w:hAnsi="Times New Roman" w:eastAsia="宋体" w:cs="Times New Roman"/>
          <w:color w:val="auto"/>
          <w:sz w:val="24"/>
          <w:szCs w:val="24"/>
        </w:rPr>
        <w:t>需要增加孔数、扩大螺栓孔径时，应采取合理的施工工艺和安全措施，并核</w:t>
      </w:r>
      <w:r>
        <w:rPr>
          <w:rFonts w:hint="default" w:ascii="Times New Roman" w:hAnsi="Times New Roman" w:eastAsia="宋体" w:cs="Times New Roman"/>
          <w:color w:val="auto"/>
          <w:spacing w:val="-4"/>
          <w:sz w:val="24"/>
          <w:szCs w:val="24"/>
        </w:rPr>
        <w:t>算结</w:t>
      </w:r>
      <w:r>
        <w:rPr>
          <w:rFonts w:hint="default" w:ascii="Times New Roman" w:hAnsi="Times New Roman" w:eastAsia="宋体" w:cs="Times New Roman"/>
          <w:color w:val="auto"/>
          <w:spacing w:val="-1"/>
          <w:sz w:val="24"/>
          <w:szCs w:val="24"/>
        </w:rPr>
        <w:t>构、构件及其连接在负荷下加固过程中是否具有施工所要求的承载力。</w:t>
      </w:r>
    </w:p>
    <w:p w14:paraId="5E3919A6">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负荷下采用长度垂直于受力方向的横向焊缝加固钢结构承重构件时，极容易因施焊过程中焊件过热而导致原构件连接的承载力急剧下降，甚至完全失控。在这种情况下，往往来不及采取应急措施，便已发生安全事故。因此，在未采取可靠的安全措施的情况下，不得采用长度垂直于受力方向的横向焊缝。</w:t>
      </w:r>
    </w:p>
    <w:p w14:paraId="597327EA">
      <w:pPr>
        <w:spacing w:line="360" w:lineRule="exact"/>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pacing w:val="-1"/>
          <w:sz w:val="24"/>
          <w:szCs w:val="24"/>
          <w:lang w:eastAsia="zh-CN"/>
        </w:rPr>
        <w:t>8.4</w:t>
      </w:r>
      <w:r>
        <w:rPr>
          <w:rFonts w:hint="default" w:ascii="Times New Roman" w:hAnsi="Times New Roman" w:eastAsia="宋体" w:cs="Times New Roman"/>
          <w:b/>
          <w:bCs/>
          <w:color w:val="auto"/>
          <w:spacing w:val="-1"/>
          <w:sz w:val="24"/>
          <w:szCs w:val="24"/>
        </w:rPr>
        <w:t>.3</w:t>
      </w:r>
      <w:r>
        <w:rPr>
          <w:rFonts w:hint="default" w:ascii="Times New Roman" w:hAnsi="Times New Roman" w:eastAsia="宋体" w:cs="Times New Roman"/>
          <w:bCs/>
          <w:color w:val="auto"/>
          <w:spacing w:val="-1"/>
          <w:sz w:val="24"/>
          <w:szCs w:val="24"/>
        </w:rPr>
        <w:t xml:space="preserve"> </w:t>
      </w:r>
      <w:r>
        <w:rPr>
          <w:rFonts w:hint="default" w:ascii="Times New Roman" w:hAnsi="Times New Roman" w:eastAsia="宋体" w:cs="Times New Roman"/>
          <w:color w:val="auto"/>
          <w:spacing w:val="-1"/>
          <w:sz w:val="24"/>
          <w:szCs w:val="24"/>
        </w:rPr>
        <w:t>焊接连接的加固应符合以下要求：</w:t>
      </w:r>
    </w:p>
    <w:p w14:paraId="4CB66013">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z w:val="24"/>
          <w:szCs w:val="24"/>
          <w:lang w:eastAsia="zh-CN"/>
        </w:rPr>
        <w:t>1</w:t>
      </w:r>
      <w:r>
        <w:rPr>
          <w:rFonts w:hint="default" w:ascii="Times New Roman" w:hAnsi="Times New Roman" w:eastAsia="宋体" w:cs="Times New Roman"/>
          <w:bCs/>
          <w:color w:val="auto"/>
          <w:sz w:val="24"/>
          <w:szCs w:val="24"/>
          <w:lang w:eastAsia="zh-CN"/>
        </w:rPr>
        <w:t xml:space="preserve"> </w:t>
      </w:r>
      <w:r>
        <w:rPr>
          <w:rFonts w:hint="default" w:ascii="Times New Roman" w:hAnsi="Times New Roman" w:eastAsia="宋体" w:cs="Times New Roman"/>
          <w:color w:val="auto"/>
          <w:sz w:val="24"/>
          <w:szCs w:val="24"/>
          <w:lang w:eastAsia="zh-CN"/>
        </w:rPr>
        <w:t>焊缝连接的加固，可优先采用增加焊缝长度，也可采用增加</w:t>
      </w:r>
      <w:r>
        <w:rPr>
          <w:rFonts w:hint="default" w:ascii="Times New Roman" w:hAnsi="Times New Roman" w:eastAsia="宋体" w:cs="Times New Roman"/>
          <w:color w:val="auto"/>
          <w:spacing w:val="-4"/>
          <w:sz w:val="24"/>
          <w:szCs w:val="24"/>
          <w:lang w:eastAsia="zh-CN"/>
        </w:rPr>
        <w:t>焊缝有效厚度</w:t>
      </w:r>
      <w:r>
        <w:rPr>
          <w:rFonts w:hint="default" w:ascii="Times New Roman" w:hAnsi="Times New Roman" w:eastAsia="宋体" w:cs="Times New Roman"/>
          <w:color w:val="auto"/>
          <w:sz w:val="24"/>
          <w:szCs w:val="24"/>
          <w:lang w:eastAsia="zh-CN"/>
        </w:rPr>
        <w:t>或两者同时增加的方法。如仍不能满足要求时，可采用附加连接板的方法，附加连接板可用角焊缝与基本构件相连，亦可用附加节点板与原节点板对接，并应进</w:t>
      </w:r>
      <w:r>
        <w:rPr>
          <w:rFonts w:hint="default" w:ascii="Times New Roman" w:hAnsi="Times New Roman" w:eastAsia="宋体" w:cs="Times New Roman"/>
          <w:color w:val="auto"/>
          <w:spacing w:val="-2"/>
          <w:sz w:val="24"/>
          <w:szCs w:val="24"/>
          <w:lang w:eastAsia="zh-CN"/>
        </w:rPr>
        <w:t>行连接的受力分析，应使焊缝及其附加板件、节点板能承受荷载作用效应组合。</w:t>
      </w:r>
    </w:p>
    <w:p w14:paraId="16FF161D">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z w:val="24"/>
          <w:szCs w:val="24"/>
          <w:lang w:eastAsia="zh-CN"/>
        </w:rPr>
        <w:t>2</w:t>
      </w:r>
      <w:r>
        <w:rPr>
          <w:rFonts w:hint="default" w:ascii="Times New Roman" w:hAnsi="Times New Roman" w:eastAsia="宋体" w:cs="Times New Roman"/>
          <w:bCs/>
          <w:color w:val="auto"/>
          <w:sz w:val="24"/>
          <w:szCs w:val="24"/>
          <w:lang w:eastAsia="zh-CN"/>
        </w:rPr>
        <w:t xml:space="preserve"> </w:t>
      </w:r>
      <w:r>
        <w:rPr>
          <w:rFonts w:hint="default" w:ascii="Times New Roman" w:hAnsi="Times New Roman" w:eastAsia="宋体" w:cs="Times New Roman"/>
          <w:color w:val="auto"/>
          <w:sz w:val="24"/>
          <w:szCs w:val="24"/>
          <w:lang w:eastAsia="zh-CN"/>
        </w:rPr>
        <w:t>加固新增的角焊缝，其长度和焊脚尺寸，或熔焊层的厚度，应由连接处结</w:t>
      </w:r>
      <w:r>
        <w:rPr>
          <w:rFonts w:hint="default" w:ascii="Times New Roman" w:hAnsi="Times New Roman" w:eastAsia="宋体" w:cs="Times New Roman"/>
          <w:color w:val="auto"/>
          <w:spacing w:val="-1"/>
          <w:sz w:val="24"/>
          <w:szCs w:val="24"/>
          <w:lang w:eastAsia="zh-CN"/>
        </w:rPr>
        <w:t>构加固前后设计受力改变的差值，并考虑原</w:t>
      </w:r>
      <w:r>
        <w:rPr>
          <w:rFonts w:hint="default" w:ascii="Times New Roman" w:hAnsi="Times New Roman" w:eastAsia="宋体" w:cs="Times New Roman"/>
          <w:color w:val="auto"/>
          <w:spacing w:val="-2"/>
          <w:sz w:val="24"/>
          <w:szCs w:val="24"/>
          <w:lang w:eastAsia="zh-CN"/>
        </w:rPr>
        <w:t>有连接实际可能的承载力计算确定。</w:t>
      </w:r>
      <w:r>
        <w:rPr>
          <w:rFonts w:hint="default" w:ascii="Times New Roman" w:hAnsi="Times New Roman" w:eastAsia="宋体" w:cs="Times New Roman"/>
          <w:color w:val="auto"/>
          <w:sz w:val="24"/>
          <w:szCs w:val="24"/>
          <w:lang w:eastAsia="zh-CN"/>
        </w:rPr>
        <w:t>计算时应对焊缝的受力重新进行复核并考虑加固前后焊缝的共同工作、受力状态的改变，以及《钢结构加固设计标准》GB</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lang w:eastAsia="zh-CN"/>
        </w:rPr>
        <w:t>51367-2019中第11.2.5条和第11.2.6条的相关规定。</w:t>
      </w:r>
    </w:p>
    <w:p w14:paraId="50C359A5">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z w:val="24"/>
          <w:szCs w:val="24"/>
          <w:lang w:eastAsia="zh-CN"/>
        </w:rPr>
        <w:t>3</w:t>
      </w:r>
      <w:r>
        <w:rPr>
          <w:rFonts w:hint="default" w:ascii="Times New Roman" w:hAnsi="Times New Roman" w:eastAsia="宋体" w:cs="Times New Roman"/>
          <w:bCs/>
          <w:color w:val="auto"/>
          <w:sz w:val="24"/>
          <w:szCs w:val="24"/>
          <w:lang w:eastAsia="zh-CN"/>
        </w:rPr>
        <w:t xml:space="preserve"> </w:t>
      </w:r>
      <w:r>
        <w:rPr>
          <w:rFonts w:hint="default" w:ascii="Times New Roman" w:hAnsi="Times New Roman" w:eastAsia="宋体" w:cs="Times New Roman"/>
          <w:color w:val="auto"/>
          <w:sz w:val="24"/>
          <w:szCs w:val="24"/>
          <w:lang w:eastAsia="zh-CN"/>
        </w:rPr>
        <w:t>负荷下用焊接加固结构时，不宜采用长度垂直于受力方向的</w:t>
      </w:r>
      <w:r>
        <w:rPr>
          <w:rFonts w:hint="default" w:ascii="Times New Roman" w:hAnsi="Times New Roman" w:eastAsia="宋体" w:cs="Times New Roman"/>
          <w:color w:val="auto"/>
          <w:spacing w:val="-1"/>
          <w:sz w:val="24"/>
          <w:szCs w:val="24"/>
          <w:lang w:eastAsia="zh-CN"/>
        </w:rPr>
        <w:t>横向焊缝。</w:t>
      </w:r>
    </w:p>
    <w:p w14:paraId="56CA20DD">
      <w:pPr>
        <w:spacing w:line="360" w:lineRule="exact"/>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eastAsia="zh-CN"/>
        </w:rPr>
        <w:t>8.4</w:t>
      </w:r>
      <w:r>
        <w:rPr>
          <w:rFonts w:hint="default" w:ascii="Times New Roman" w:hAnsi="Times New Roman" w:eastAsia="宋体" w:cs="Times New Roman"/>
          <w:b/>
          <w:bCs/>
          <w:color w:val="auto"/>
          <w:sz w:val="24"/>
          <w:szCs w:val="24"/>
        </w:rPr>
        <w:t>.4</w:t>
      </w:r>
      <w:r>
        <w:rPr>
          <w:rFonts w:hint="default" w:ascii="Times New Roman" w:hAnsi="Times New Roman" w:eastAsia="宋体" w:cs="Times New Roman"/>
          <w:bCs/>
          <w:color w:val="auto"/>
          <w:sz w:val="24"/>
          <w:szCs w:val="24"/>
        </w:rPr>
        <w:t xml:space="preserve"> </w:t>
      </w:r>
      <w:r>
        <w:rPr>
          <w:rFonts w:hint="default" w:ascii="Times New Roman" w:hAnsi="Times New Roman" w:eastAsia="宋体" w:cs="Times New Roman"/>
          <w:color w:val="auto"/>
          <w:sz w:val="24"/>
          <w:szCs w:val="24"/>
        </w:rPr>
        <w:t>螺栓连接的加固应符合以下要求：</w:t>
      </w:r>
    </w:p>
    <w:p w14:paraId="42A8ACFC">
      <w:pPr>
        <w:pStyle w:val="12"/>
        <w:ind w:firstLine="41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pacing w:val="-3"/>
          <w:sz w:val="24"/>
          <w:szCs w:val="24"/>
          <w:lang w:eastAsia="zh-CN"/>
        </w:rPr>
        <w:t>1</w:t>
      </w:r>
      <w:r>
        <w:rPr>
          <w:rFonts w:hint="default" w:ascii="Times New Roman" w:hAnsi="Times New Roman" w:eastAsia="宋体" w:cs="Times New Roman"/>
          <w:bCs/>
          <w:color w:val="auto"/>
          <w:spacing w:val="-3"/>
          <w:sz w:val="24"/>
          <w:szCs w:val="24"/>
          <w:lang w:eastAsia="zh-CN"/>
        </w:rPr>
        <w:t xml:space="preserve"> </w:t>
      </w:r>
      <w:r>
        <w:rPr>
          <w:rFonts w:hint="default" w:ascii="Times New Roman" w:hAnsi="Times New Roman" w:eastAsia="宋体" w:cs="Times New Roman"/>
          <w:color w:val="auto"/>
          <w:spacing w:val="-3"/>
          <w:sz w:val="24"/>
          <w:szCs w:val="24"/>
          <w:lang w:eastAsia="zh-CN"/>
        </w:rPr>
        <w:t>更换螺栓或新增加固连接件时，宜采用适宜直径的高强度螺</w:t>
      </w:r>
      <w:r>
        <w:rPr>
          <w:rFonts w:hint="default" w:ascii="Times New Roman" w:hAnsi="Times New Roman" w:eastAsia="宋体" w:cs="Times New Roman"/>
          <w:color w:val="auto"/>
          <w:spacing w:val="-4"/>
          <w:sz w:val="24"/>
          <w:szCs w:val="24"/>
          <w:lang w:eastAsia="zh-CN"/>
        </w:rPr>
        <w:t>栓连接。当负</w:t>
      </w:r>
      <w:r>
        <w:rPr>
          <w:rFonts w:hint="default" w:ascii="Times New Roman" w:hAnsi="Times New Roman" w:eastAsia="宋体" w:cs="Times New Roman"/>
          <w:color w:val="auto"/>
          <w:sz w:val="24"/>
          <w:szCs w:val="24"/>
          <w:lang w:eastAsia="zh-CN"/>
        </w:rPr>
        <w:t>荷下进行结构加固，需要拆除结构原有受力螺栓、增加孔数、扩大螺栓孔径时，除应验算结构原有和新增连接件的承载力外，还应校核</w:t>
      </w:r>
      <w:r>
        <w:rPr>
          <w:rFonts w:hint="default" w:ascii="Times New Roman" w:hAnsi="Times New Roman" w:eastAsia="宋体" w:cs="Times New Roman"/>
          <w:color w:val="auto"/>
          <w:spacing w:val="-1"/>
          <w:sz w:val="24"/>
          <w:szCs w:val="24"/>
          <w:lang w:eastAsia="zh-CN"/>
        </w:rPr>
        <w:t>板件的净截面面积的强</w:t>
      </w:r>
      <w:r>
        <w:rPr>
          <w:rFonts w:hint="default" w:ascii="Times New Roman" w:hAnsi="Times New Roman" w:eastAsia="宋体" w:cs="Times New Roman"/>
          <w:color w:val="auto"/>
          <w:spacing w:val="-5"/>
          <w:sz w:val="24"/>
          <w:szCs w:val="24"/>
          <w:lang w:eastAsia="zh-CN"/>
        </w:rPr>
        <w:t>度。</w:t>
      </w:r>
    </w:p>
    <w:p w14:paraId="3C5DD667">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z w:val="24"/>
          <w:szCs w:val="24"/>
          <w:lang w:eastAsia="zh-CN"/>
        </w:rPr>
        <w:t>2</w:t>
      </w:r>
      <w:r>
        <w:rPr>
          <w:rFonts w:hint="default" w:ascii="Times New Roman" w:hAnsi="Times New Roman" w:eastAsia="宋体" w:cs="Times New Roman"/>
          <w:bCs/>
          <w:color w:val="auto"/>
          <w:sz w:val="24"/>
          <w:szCs w:val="24"/>
          <w:lang w:eastAsia="zh-CN"/>
        </w:rPr>
        <w:t xml:space="preserve"> </w:t>
      </w:r>
      <w:r>
        <w:rPr>
          <w:rFonts w:hint="default" w:ascii="Times New Roman" w:hAnsi="Times New Roman" w:eastAsia="宋体" w:cs="Times New Roman"/>
          <w:color w:val="auto"/>
          <w:sz w:val="24"/>
          <w:szCs w:val="24"/>
          <w:lang w:eastAsia="zh-CN"/>
        </w:rPr>
        <w:t>用高强度螺栓更换有缺损的螺栓时，可选用直径比原孔小1mm～3mm的</w:t>
      </w:r>
      <w:r>
        <w:rPr>
          <w:rFonts w:hint="default" w:ascii="Times New Roman" w:hAnsi="Times New Roman" w:eastAsia="宋体" w:cs="Times New Roman"/>
          <w:color w:val="auto"/>
          <w:spacing w:val="-1"/>
          <w:sz w:val="24"/>
          <w:szCs w:val="24"/>
          <w:lang w:eastAsia="zh-CN"/>
        </w:rPr>
        <w:t>高强度螺栓，且其承载力应满足加固设计计算的要求。</w:t>
      </w:r>
    </w:p>
    <w:p w14:paraId="4B5B1823">
      <w:pPr>
        <w:pStyle w:val="12"/>
        <w:ind w:firstLine="41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pacing w:val="-3"/>
          <w:sz w:val="24"/>
          <w:szCs w:val="24"/>
          <w:lang w:eastAsia="zh-CN"/>
        </w:rPr>
        <w:t>3</w:t>
      </w:r>
      <w:r>
        <w:rPr>
          <w:rFonts w:hint="default" w:ascii="Times New Roman" w:hAnsi="Times New Roman" w:eastAsia="宋体" w:cs="Times New Roman"/>
          <w:bCs/>
          <w:color w:val="auto"/>
          <w:spacing w:val="-3"/>
          <w:sz w:val="24"/>
          <w:szCs w:val="24"/>
          <w:lang w:eastAsia="zh-CN"/>
        </w:rPr>
        <w:t xml:space="preserve"> </w:t>
      </w:r>
      <w:r>
        <w:rPr>
          <w:rFonts w:hint="default" w:ascii="Times New Roman" w:hAnsi="Times New Roman" w:eastAsia="宋体" w:cs="Times New Roman"/>
          <w:color w:val="auto"/>
          <w:spacing w:val="-3"/>
          <w:sz w:val="24"/>
          <w:szCs w:val="24"/>
          <w:lang w:eastAsia="zh-CN"/>
        </w:rPr>
        <w:t>用焊缝连接加固螺栓连接时，连接构造不符合焊缝与原有连接件的共同受</w:t>
      </w:r>
      <w:r>
        <w:rPr>
          <w:rFonts w:hint="default" w:ascii="Times New Roman" w:hAnsi="Times New Roman" w:eastAsia="宋体" w:cs="Times New Roman"/>
          <w:color w:val="auto"/>
          <w:sz w:val="24"/>
          <w:szCs w:val="24"/>
          <w:lang w:eastAsia="zh-CN"/>
        </w:rPr>
        <w:t>力条件时，应按焊缝承受全部作用力进行设</w:t>
      </w:r>
      <w:r>
        <w:rPr>
          <w:rFonts w:hint="default" w:ascii="Times New Roman" w:hAnsi="Times New Roman" w:eastAsia="宋体" w:cs="Times New Roman"/>
          <w:color w:val="auto"/>
          <w:spacing w:val="-1"/>
          <w:sz w:val="24"/>
          <w:szCs w:val="24"/>
          <w:lang w:eastAsia="zh-CN"/>
        </w:rPr>
        <w:t>计计算，且不宜拆除原有连接件。</w:t>
      </w:r>
    </w:p>
    <w:p w14:paraId="429DDB97">
      <w:pPr>
        <w:spacing w:line="360" w:lineRule="exact"/>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eastAsia="zh-CN"/>
        </w:rPr>
        <w:t>8.4</w:t>
      </w:r>
      <w:r>
        <w:rPr>
          <w:rFonts w:hint="default" w:ascii="Times New Roman" w:hAnsi="Times New Roman" w:eastAsia="宋体" w:cs="Times New Roman"/>
          <w:b/>
          <w:bCs/>
          <w:color w:val="auto"/>
          <w:sz w:val="24"/>
          <w:szCs w:val="24"/>
        </w:rPr>
        <w:t>.5</w:t>
      </w:r>
      <w:r>
        <w:rPr>
          <w:rFonts w:hint="default" w:ascii="Times New Roman" w:hAnsi="Times New Roman" w:eastAsia="宋体" w:cs="Times New Roman"/>
          <w:bCs/>
          <w:color w:val="auto"/>
          <w:sz w:val="24"/>
          <w:szCs w:val="24"/>
        </w:rPr>
        <w:t xml:space="preserve"> </w:t>
      </w:r>
      <w:r>
        <w:rPr>
          <w:rFonts w:hint="default" w:ascii="Times New Roman" w:hAnsi="Times New Roman" w:eastAsia="宋体" w:cs="Times New Roman"/>
          <w:color w:val="auto"/>
          <w:sz w:val="24"/>
          <w:szCs w:val="24"/>
        </w:rPr>
        <w:t>抗剪螺栓群采用焊缝加固的栓焊并用连接接头的</w:t>
      </w:r>
      <w:r>
        <w:rPr>
          <w:rFonts w:hint="default" w:ascii="Times New Roman" w:hAnsi="Times New Roman" w:eastAsia="宋体" w:cs="Times New Roman"/>
          <w:color w:val="auto"/>
          <w:spacing w:val="-1"/>
          <w:sz w:val="24"/>
          <w:szCs w:val="24"/>
        </w:rPr>
        <w:t>设计，应符合以下要求：</w:t>
      </w:r>
    </w:p>
    <w:p w14:paraId="168B8219">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z w:val="24"/>
          <w:szCs w:val="24"/>
          <w:lang w:eastAsia="zh-CN"/>
        </w:rPr>
        <w:t>1</w:t>
      </w:r>
      <w:r>
        <w:rPr>
          <w:rFonts w:hint="default" w:ascii="Times New Roman" w:hAnsi="Times New Roman" w:eastAsia="宋体" w:cs="Times New Roman"/>
          <w:bCs/>
          <w:color w:val="auto"/>
          <w:sz w:val="24"/>
          <w:szCs w:val="24"/>
          <w:lang w:eastAsia="zh-CN"/>
        </w:rPr>
        <w:t xml:space="preserve"> </w:t>
      </w:r>
      <w:r>
        <w:rPr>
          <w:rFonts w:hint="default" w:ascii="Times New Roman" w:hAnsi="Times New Roman" w:eastAsia="宋体" w:cs="Times New Roman"/>
          <w:color w:val="auto"/>
          <w:sz w:val="24"/>
          <w:szCs w:val="24"/>
          <w:lang w:eastAsia="zh-CN"/>
        </w:rPr>
        <w:t>栓焊并用的连接加固（图8.4.5</w:t>
      </w:r>
      <w:r>
        <w:rPr>
          <w:rFonts w:hint="default" w:ascii="Times New Roman" w:hAnsi="Times New Roman" w:eastAsia="宋体" w:cs="Times New Roman"/>
          <w:color w:val="auto"/>
          <w:spacing w:val="-47"/>
          <w:sz w:val="24"/>
          <w:szCs w:val="24"/>
          <w:lang w:eastAsia="zh-CN"/>
        </w:rPr>
        <w:t>）</w:t>
      </w:r>
      <w:r>
        <w:rPr>
          <w:rFonts w:hint="default"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z w:val="24"/>
          <w:szCs w:val="24"/>
          <w:lang w:eastAsia="zh-CN"/>
        </w:rPr>
        <w:t>应符合下列规定：</w:t>
      </w:r>
    </w:p>
    <w:p w14:paraId="5B15AD14">
      <w:pPr>
        <w:pStyle w:val="12"/>
        <w:ind w:firstLine="717" w:firstLineChars="3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pacing w:val="-1"/>
          <w:sz w:val="24"/>
          <w:szCs w:val="24"/>
          <w:lang w:eastAsia="zh-CN"/>
        </w:rPr>
        <w:t>1</w:t>
      </w:r>
      <w:r>
        <w:rPr>
          <w:rFonts w:hint="default" w:ascii="Times New Roman" w:hAnsi="Times New Roman" w:eastAsia="宋体" w:cs="Times New Roman"/>
          <w:b/>
          <w:color w:val="auto"/>
          <w:spacing w:val="-1"/>
          <w:sz w:val="24"/>
          <w:szCs w:val="24"/>
          <w:lang w:eastAsia="zh-CN"/>
        </w:rPr>
        <w:t>）</w:t>
      </w:r>
      <w:r>
        <w:rPr>
          <w:rFonts w:hint="default" w:ascii="Times New Roman" w:hAnsi="Times New Roman" w:eastAsia="宋体" w:cs="Times New Roman"/>
          <w:color w:val="auto"/>
          <w:spacing w:val="-1"/>
          <w:sz w:val="24"/>
          <w:szCs w:val="24"/>
          <w:lang w:eastAsia="zh-CN"/>
        </w:rPr>
        <w:t>平行于受力方向的侧焊缝起弧点距连接板近端不应小于角焊缝焊脚尺</w:t>
      </w:r>
      <w:r>
        <w:rPr>
          <w:rFonts w:hint="default" w:ascii="Times New Roman" w:hAnsi="Times New Roman" w:eastAsia="宋体" w:cs="Times New Roman"/>
          <w:color w:val="auto"/>
          <w:sz w:val="24"/>
          <w:szCs w:val="24"/>
          <w:lang w:eastAsia="zh-CN"/>
        </w:rPr>
        <w:t>寸</w:t>
      </w:r>
      <w:r>
        <w:rPr>
          <w:rFonts w:hint="default" w:ascii="Times New Roman" w:hAnsi="Times New Roman" w:eastAsia="宋体" w:cs="Times New Roman"/>
          <w:i/>
          <w:iCs/>
          <w:color w:val="auto"/>
          <w:sz w:val="24"/>
          <w:szCs w:val="24"/>
          <w:lang w:eastAsia="zh-CN"/>
        </w:rPr>
        <w:t>h</w:t>
      </w:r>
      <w:r>
        <w:rPr>
          <w:rFonts w:hint="default" w:ascii="Times New Roman" w:hAnsi="Times New Roman" w:eastAsia="宋体" w:cs="Times New Roman"/>
          <w:color w:val="auto"/>
          <w:position w:val="-1"/>
          <w:sz w:val="24"/>
          <w:szCs w:val="24"/>
          <w:lang w:eastAsia="zh-CN"/>
        </w:rPr>
        <w:t>f</w:t>
      </w:r>
      <w:r>
        <w:rPr>
          <w:rFonts w:hint="default" w:ascii="Times New Roman" w:hAnsi="Times New Roman" w:eastAsia="宋体" w:cs="Times New Roman"/>
          <w:color w:val="auto"/>
          <w:sz w:val="24"/>
          <w:szCs w:val="24"/>
          <w:lang w:eastAsia="zh-CN"/>
        </w:rPr>
        <w:t>，且与最近的螺栓距离不应小于1.5倍的螺栓公称直径</w:t>
      </w:r>
      <w:r>
        <w:rPr>
          <w:rFonts w:hint="default" w:ascii="Times New Roman" w:hAnsi="Times New Roman" w:eastAsia="宋体" w:cs="Times New Roman"/>
          <w:i/>
          <w:iCs/>
          <w:color w:val="auto"/>
          <w:sz w:val="24"/>
          <w:szCs w:val="24"/>
          <w:lang w:eastAsia="zh-CN"/>
        </w:rPr>
        <w:t>d</w:t>
      </w:r>
      <w:r>
        <w:rPr>
          <w:rFonts w:hint="default" w:ascii="Times New Roman" w:hAnsi="Times New Roman" w:eastAsia="宋体" w:cs="Times New Roman"/>
          <w:color w:val="auto"/>
          <w:position w:val="-1"/>
          <w:sz w:val="24"/>
          <w:szCs w:val="24"/>
          <w:lang w:eastAsia="zh-CN"/>
        </w:rPr>
        <w:t>0</w:t>
      </w:r>
      <w:r>
        <w:rPr>
          <w:rFonts w:hint="default" w:ascii="Times New Roman" w:hAnsi="Times New Roman" w:eastAsia="宋体" w:cs="Times New Roman"/>
          <w:color w:val="auto"/>
          <w:sz w:val="24"/>
          <w:szCs w:val="24"/>
          <w:lang w:eastAsia="zh-CN"/>
        </w:rPr>
        <w:t>；</w:t>
      </w:r>
    </w:p>
    <w:p w14:paraId="5CBF00B3">
      <w:pPr>
        <w:pStyle w:val="12"/>
        <w:ind w:firstLine="723" w:firstLineChars="3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z w:val="24"/>
          <w:szCs w:val="24"/>
          <w:lang w:eastAsia="zh-CN"/>
        </w:rPr>
        <w:t>2</w:t>
      </w:r>
      <w:r>
        <w:rPr>
          <w:rFonts w:hint="default" w:ascii="Times New Roman" w:hAnsi="Times New Roman" w:eastAsia="宋体" w:cs="Times New Roman"/>
          <w:b/>
          <w:color w:val="auto"/>
          <w:sz w:val="24"/>
          <w:szCs w:val="24"/>
          <w:lang w:eastAsia="zh-CN"/>
        </w:rPr>
        <w:t>）</w:t>
      </w:r>
      <w:r>
        <w:rPr>
          <w:rFonts w:hint="default" w:ascii="Times New Roman" w:hAnsi="Times New Roman" w:eastAsia="宋体" w:cs="Times New Roman"/>
          <w:color w:val="auto"/>
          <w:sz w:val="24"/>
          <w:szCs w:val="24"/>
          <w:lang w:eastAsia="zh-CN"/>
        </w:rPr>
        <w:t>侧焊缝末端应连续绕角焊缝长度不小于2</w:t>
      </w:r>
      <w:r>
        <w:rPr>
          <w:rFonts w:hint="default" w:ascii="Times New Roman" w:hAnsi="Times New Roman" w:eastAsia="宋体" w:cs="Times New Roman"/>
          <w:i/>
          <w:iCs/>
          <w:color w:val="auto"/>
          <w:sz w:val="24"/>
          <w:szCs w:val="24"/>
          <w:lang w:eastAsia="zh-CN"/>
        </w:rPr>
        <w:t>h</w:t>
      </w:r>
      <w:r>
        <w:rPr>
          <w:rFonts w:hint="default" w:ascii="Times New Roman" w:hAnsi="Times New Roman" w:eastAsia="宋体" w:cs="Times New Roman"/>
          <w:color w:val="auto"/>
          <w:position w:val="-1"/>
          <w:sz w:val="24"/>
          <w:szCs w:val="24"/>
          <w:lang w:eastAsia="zh-CN"/>
        </w:rPr>
        <w:t>f</w:t>
      </w:r>
      <w:r>
        <w:rPr>
          <w:rFonts w:hint="default" w:ascii="Times New Roman" w:hAnsi="Times New Roman" w:eastAsia="宋体" w:cs="Times New Roman"/>
          <w:color w:val="auto"/>
          <w:sz w:val="24"/>
          <w:szCs w:val="24"/>
          <w:lang w:eastAsia="zh-CN"/>
        </w:rPr>
        <w:t>。连接板边缘与焊件边缘距</w:t>
      </w:r>
      <w:r>
        <w:rPr>
          <w:rFonts w:hint="default" w:ascii="Times New Roman" w:hAnsi="Times New Roman" w:eastAsia="宋体" w:cs="Times New Roman"/>
          <w:color w:val="auto"/>
          <w:spacing w:val="-3"/>
          <w:sz w:val="24"/>
          <w:szCs w:val="24"/>
          <w:lang w:eastAsia="zh-CN"/>
        </w:rPr>
        <w:t>离不应小于30mm。</w:t>
      </w:r>
    </w:p>
    <w:p w14:paraId="15D71828">
      <w:pPr>
        <w:spacing w:line="276" w:lineRule="auto"/>
        <w:ind w:hanging="5"/>
        <w:jc w:val="center"/>
        <w:rPr>
          <w:rFonts w:hint="default" w:ascii="Times New Roman" w:hAnsi="Times New Roman" w:eastAsia="宋体" w:cs="Times New Roman"/>
          <w:b/>
          <w:bCs/>
          <w:color w:val="auto"/>
          <w:spacing w:val="-2"/>
          <w:sz w:val="24"/>
          <w:szCs w:val="24"/>
        </w:rPr>
      </w:pPr>
      <w:r>
        <w:rPr>
          <w:rFonts w:hint="default" w:ascii="Times New Roman" w:hAnsi="Times New Roman" w:eastAsia="宋体" w:cs="Times New Roman"/>
          <w:color w:val="auto"/>
          <w:position w:val="-45"/>
          <w:sz w:val="24"/>
          <w:szCs w:val="24"/>
        </w:rPr>
        <w:drawing>
          <wp:inline distT="0" distB="0" distL="0" distR="0">
            <wp:extent cx="4329430" cy="1196340"/>
            <wp:effectExtent l="0" t="0" r="0" b="0"/>
            <wp:docPr id="49" name="IM 50" descr="手机屏幕截图&#10;&#10;中度可信度描述已自动生成"/>
            <wp:cNvGraphicFramePr/>
            <a:graphic xmlns:a="http://schemas.openxmlformats.org/drawingml/2006/main">
              <a:graphicData uri="http://schemas.openxmlformats.org/drawingml/2006/picture">
                <pic:pic xmlns:pic="http://schemas.openxmlformats.org/drawingml/2006/picture">
                  <pic:nvPicPr>
                    <pic:cNvPr id="49" name="IM 50" descr="手机屏幕截图&#10;&#10;中度可信度描述已自动生成"/>
                    <pic:cNvPicPr/>
                  </pic:nvPicPr>
                  <pic:blipFill>
                    <a:blip r:embed="rId349"/>
                    <a:srcRect b="16304"/>
                    <a:stretch>
                      <a:fillRect/>
                    </a:stretch>
                  </pic:blipFill>
                  <pic:spPr>
                    <a:xfrm>
                      <a:off x="0" y="0"/>
                      <a:ext cx="4329683" cy="1196340"/>
                    </a:xfrm>
                    <a:prstGeom prst="rect">
                      <a:avLst/>
                    </a:prstGeom>
                  </pic:spPr>
                </pic:pic>
              </a:graphicData>
            </a:graphic>
          </wp:inline>
        </w:drawing>
      </w:r>
    </w:p>
    <w:p w14:paraId="6F04373C">
      <w:pPr>
        <w:pStyle w:val="65"/>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a</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螺栓与侧焊缝并用的连接构造要求（b）螺栓与侧焊缝、端焊缝并用的连接构造要求</w:t>
      </w:r>
    </w:p>
    <w:p w14:paraId="59E1EF26">
      <w:pPr>
        <w:pStyle w:val="65"/>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图</w:t>
      </w:r>
      <w:r>
        <w:rPr>
          <w:rFonts w:hint="default" w:ascii="Times New Roman" w:hAnsi="Times New Roman" w:eastAsia="宋体" w:cs="Times New Roman"/>
          <w:b/>
          <w:bCs w:val="0"/>
          <w:color w:val="auto"/>
          <w:sz w:val="24"/>
          <w:szCs w:val="24"/>
          <w:lang w:eastAsia="zh-CN"/>
        </w:rPr>
        <w:t>8.4</w:t>
      </w:r>
      <w:r>
        <w:rPr>
          <w:rFonts w:hint="default" w:ascii="Times New Roman" w:hAnsi="Times New Roman" w:eastAsia="宋体" w:cs="Times New Roman"/>
          <w:b/>
          <w:bCs w:val="0"/>
          <w:color w:val="auto"/>
          <w:sz w:val="24"/>
          <w:szCs w:val="24"/>
        </w:rPr>
        <w:t>.5</w:t>
      </w:r>
      <w:r>
        <w:rPr>
          <w:rFonts w:hint="default" w:ascii="Times New Roman" w:hAnsi="Times New Roman" w:eastAsia="宋体" w:cs="Times New Roman"/>
          <w:color w:val="auto"/>
          <w:sz w:val="24"/>
          <w:szCs w:val="24"/>
        </w:rPr>
        <w:t xml:space="preserve"> 栓焊并用的连接接头要求</w:t>
      </w:r>
    </w:p>
    <w:p w14:paraId="49849630">
      <w:pPr>
        <w:pStyle w:val="65"/>
        <w:rPr>
          <w:rFonts w:hint="default" w:ascii="Times New Roman" w:hAnsi="Times New Roman" w:eastAsia="宋体" w:cs="Times New Roman"/>
          <w:b/>
          <w:color w:val="auto"/>
          <w:spacing w:val="-2"/>
          <w:sz w:val="21"/>
          <w:szCs w:val="21"/>
        </w:rPr>
      </w:pPr>
      <w:r>
        <w:rPr>
          <w:rFonts w:hint="default" w:ascii="Times New Roman" w:hAnsi="Times New Roman" w:eastAsia="宋体" w:cs="Times New Roman"/>
          <w:color w:val="auto"/>
          <w:sz w:val="21"/>
          <w:szCs w:val="21"/>
        </w:rPr>
        <w:t>1-侧焊缝；2-端焊缝；3-连续绕焊</w:t>
      </w:r>
    </w:p>
    <w:p w14:paraId="6FED0E84">
      <w:pPr>
        <w:pStyle w:val="12"/>
        <w:ind w:firstLine="418"/>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pacing w:val="-1"/>
          <w:sz w:val="24"/>
          <w:szCs w:val="24"/>
          <w:lang w:eastAsia="zh-CN"/>
        </w:rPr>
        <w:t>2</w:t>
      </w:r>
      <w:r>
        <w:rPr>
          <w:rFonts w:hint="default" w:ascii="Times New Roman" w:hAnsi="Times New Roman" w:eastAsia="宋体" w:cs="Times New Roman"/>
          <w:bCs/>
          <w:color w:val="auto"/>
          <w:spacing w:val="-1"/>
          <w:sz w:val="24"/>
          <w:szCs w:val="24"/>
          <w:lang w:eastAsia="zh-CN"/>
        </w:rPr>
        <w:t xml:space="preserve"> </w:t>
      </w:r>
      <w:r>
        <w:rPr>
          <w:rFonts w:hint="default" w:ascii="Times New Roman" w:hAnsi="Times New Roman" w:eastAsia="宋体" w:cs="Times New Roman"/>
          <w:color w:val="auto"/>
          <w:spacing w:val="-1"/>
          <w:sz w:val="24"/>
          <w:szCs w:val="24"/>
          <w:lang w:eastAsia="zh-CN"/>
        </w:rPr>
        <w:t>摩擦型高强度螺栓与焊缝并用的连接，当其连接的承</w:t>
      </w:r>
      <w:r>
        <w:rPr>
          <w:rFonts w:hint="default" w:ascii="Times New Roman" w:hAnsi="Times New Roman" w:eastAsia="宋体" w:cs="Times New Roman"/>
          <w:color w:val="auto"/>
          <w:spacing w:val="-2"/>
          <w:sz w:val="24"/>
          <w:szCs w:val="24"/>
          <w:lang w:eastAsia="zh-CN"/>
        </w:rPr>
        <w:t>载力比值在0.5～3.0</w:t>
      </w:r>
      <w:r>
        <w:rPr>
          <w:rFonts w:hint="default" w:ascii="Times New Roman" w:hAnsi="Times New Roman" w:eastAsia="宋体" w:cs="Times New Roman"/>
          <w:color w:val="auto"/>
          <w:sz w:val="24"/>
          <w:szCs w:val="24"/>
          <w:lang w:eastAsia="zh-CN"/>
        </w:rPr>
        <w:t>范围内时，可按共同工作的假定进行加固计算；否则不应考虑承载力较小连接的</w:t>
      </w:r>
      <w:r>
        <w:rPr>
          <w:rFonts w:hint="default" w:ascii="Times New Roman" w:hAnsi="Times New Roman" w:eastAsia="宋体" w:cs="Times New Roman"/>
          <w:color w:val="auto"/>
          <w:spacing w:val="-4"/>
          <w:sz w:val="24"/>
          <w:szCs w:val="24"/>
          <w:lang w:eastAsia="zh-CN"/>
        </w:rPr>
        <w:t>作用。</w:t>
      </w:r>
    </w:p>
    <w:p w14:paraId="396B0B8A">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z w:val="24"/>
          <w:szCs w:val="24"/>
          <w:lang w:eastAsia="zh-CN"/>
        </w:rPr>
        <w:t>3</w:t>
      </w:r>
      <w:r>
        <w:rPr>
          <w:rFonts w:hint="default" w:ascii="Times New Roman" w:hAnsi="Times New Roman" w:eastAsia="宋体" w:cs="Times New Roman"/>
          <w:bCs/>
          <w:color w:val="auto"/>
          <w:sz w:val="24"/>
          <w:szCs w:val="24"/>
          <w:lang w:eastAsia="zh-CN"/>
        </w:rPr>
        <w:t xml:space="preserve"> </w:t>
      </w:r>
      <w:r>
        <w:rPr>
          <w:rFonts w:hint="default" w:ascii="Times New Roman" w:hAnsi="Times New Roman" w:eastAsia="宋体" w:cs="Times New Roman"/>
          <w:color w:val="auto"/>
          <w:sz w:val="24"/>
          <w:szCs w:val="24"/>
          <w:lang w:eastAsia="zh-CN"/>
        </w:rPr>
        <w:t>施工时必须先紧固高强度摩擦型螺栓，后实施焊接，并应在设计文件中作出规定。在焊接24h后还应对摩擦型高强度螺栓进行补拧，补拧扭矩应为施工终</w:t>
      </w:r>
      <w:r>
        <w:rPr>
          <w:rFonts w:hint="default" w:ascii="Times New Roman" w:hAnsi="Times New Roman" w:eastAsia="宋体" w:cs="Times New Roman"/>
          <w:color w:val="auto"/>
          <w:spacing w:val="-1"/>
          <w:sz w:val="24"/>
          <w:szCs w:val="24"/>
          <w:lang w:eastAsia="zh-CN"/>
        </w:rPr>
        <w:t>拧扭矩值。焊缝形式应为角焊缝。</w:t>
      </w:r>
    </w:p>
    <w:p w14:paraId="0E3CD07D">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z w:val="24"/>
          <w:szCs w:val="24"/>
          <w:lang w:eastAsia="zh-CN"/>
        </w:rPr>
        <w:t>4</w:t>
      </w:r>
      <w:r>
        <w:rPr>
          <w:rFonts w:hint="default" w:ascii="Times New Roman" w:hAnsi="Times New Roman" w:eastAsia="宋体" w:cs="Times New Roman"/>
          <w:bCs/>
          <w:color w:val="auto"/>
          <w:sz w:val="24"/>
          <w:szCs w:val="24"/>
          <w:lang w:eastAsia="zh-CN"/>
        </w:rPr>
        <w:t xml:space="preserve"> </w:t>
      </w:r>
      <w:r>
        <w:rPr>
          <w:rFonts w:hint="default" w:ascii="Times New Roman" w:hAnsi="Times New Roman" w:eastAsia="宋体" w:cs="Times New Roman"/>
          <w:color w:val="auto"/>
          <w:sz w:val="24"/>
          <w:szCs w:val="24"/>
          <w:lang w:eastAsia="zh-CN"/>
        </w:rPr>
        <w:t>在原有摩擦型高强度螺栓连接接头上新增角焊缝进行加固补强时，摩擦型高强度螺栓连接和角焊缝焊接连接应分别承担加固焊接</w:t>
      </w:r>
      <w:r>
        <w:rPr>
          <w:rFonts w:hint="default" w:ascii="Times New Roman" w:hAnsi="Times New Roman" w:eastAsia="宋体" w:cs="Times New Roman"/>
          <w:color w:val="auto"/>
          <w:spacing w:val="-1"/>
          <w:sz w:val="24"/>
          <w:szCs w:val="24"/>
          <w:lang w:eastAsia="zh-CN"/>
        </w:rPr>
        <w:t>补强前的荷载和加固焊</w:t>
      </w:r>
      <w:r>
        <w:rPr>
          <w:rFonts w:hint="default" w:ascii="Times New Roman" w:hAnsi="Times New Roman" w:eastAsia="宋体" w:cs="Times New Roman"/>
          <w:color w:val="auto"/>
          <w:spacing w:val="-2"/>
          <w:sz w:val="24"/>
          <w:szCs w:val="24"/>
          <w:lang w:eastAsia="zh-CN"/>
        </w:rPr>
        <w:t>接后新增的荷载。</w:t>
      </w:r>
    </w:p>
    <w:p w14:paraId="25696CF7">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z w:val="24"/>
          <w:szCs w:val="24"/>
          <w:lang w:eastAsia="zh-CN"/>
        </w:rPr>
        <w:t>5</w:t>
      </w:r>
      <w:r>
        <w:rPr>
          <w:rFonts w:hint="default" w:ascii="Times New Roman" w:hAnsi="Times New Roman" w:eastAsia="宋体" w:cs="Times New Roman"/>
          <w:bCs/>
          <w:color w:val="auto"/>
          <w:sz w:val="24"/>
          <w:szCs w:val="24"/>
          <w:lang w:eastAsia="zh-CN"/>
        </w:rPr>
        <w:t xml:space="preserve"> </w:t>
      </w:r>
      <w:r>
        <w:rPr>
          <w:rFonts w:hint="default" w:ascii="Times New Roman" w:hAnsi="Times New Roman" w:eastAsia="宋体" w:cs="Times New Roman"/>
          <w:color w:val="auto"/>
          <w:sz w:val="24"/>
          <w:szCs w:val="24"/>
          <w:lang w:eastAsia="zh-CN"/>
        </w:rPr>
        <w:t>高强度摩擦型螺栓连接不得设计成仅</w:t>
      </w:r>
      <w:r>
        <w:rPr>
          <w:rFonts w:hint="default" w:ascii="Times New Roman" w:hAnsi="Times New Roman" w:eastAsia="宋体" w:cs="Times New Roman"/>
          <w:color w:val="auto"/>
          <w:spacing w:val="-1"/>
          <w:sz w:val="24"/>
          <w:szCs w:val="24"/>
          <w:lang w:eastAsia="zh-CN"/>
        </w:rPr>
        <w:t>与端焊缝并用的连接。</w:t>
      </w:r>
    </w:p>
    <w:p w14:paraId="51A65A5B">
      <w:pPr>
        <w:spacing w:line="360" w:lineRule="exact"/>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eastAsia="zh-CN"/>
        </w:rPr>
        <w:t>8.4</w:t>
      </w:r>
      <w:r>
        <w:rPr>
          <w:rFonts w:hint="default" w:ascii="Times New Roman" w:hAnsi="Times New Roman" w:eastAsia="宋体" w:cs="Times New Roman"/>
          <w:b/>
          <w:bCs/>
          <w:color w:val="auto"/>
          <w:sz w:val="24"/>
          <w:szCs w:val="24"/>
        </w:rPr>
        <w:t>.6</w:t>
      </w:r>
      <w:r>
        <w:rPr>
          <w:rFonts w:hint="default" w:ascii="Times New Roman" w:hAnsi="Times New Roman" w:eastAsia="宋体" w:cs="Times New Roman"/>
          <w:bCs/>
          <w:color w:val="auto"/>
          <w:sz w:val="24"/>
          <w:szCs w:val="24"/>
        </w:rPr>
        <w:t xml:space="preserve"> </w:t>
      </w:r>
      <w:r>
        <w:rPr>
          <w:rFonts w:hint="default" w:ascii="Times New Roman" w:hAnsi="Times New Roman" w:eastAsia="宋体" w:cs="Times New Roman"/>
          <w:color w:val="auto"/>
          <w:sz w:val="24"/>
          <w:szCs w:val="24"/>
        </w:rPr>
        <w:t>连接节点的加固及加固件的连接的设计计算应满足《钢结构加固设计标准》GB 51367相关规定。</w:t>
      </w:r>
    </w:p>
    <w:p w14:paraId="0A3F3273">
      <w:pPr>
        <w:spacing w:line="360" w:lineRule="exact"/>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eastAsia="zh-CN"/>
        </w:rPr>
        <w:t>8.4</w:t>
      </w:r>
      <w:r>
        <w:rPr>
          <w:rFonts w:hint="default" w:ascii="Times New Roman" w:hAnsi="Times New Roman" w:eastAsia="宋体" w:cs="Times New Roman"/>
          <w:b/>
          <w:bCs/>
          <w:color w:val="auto"/>
          <w:sz w:val="24"/>
          <w:szCs w:val="24"/>
        </w:rPr>
        <w:t>.7</w:t>
      </w:r>
      <w:r>
        <w:rPr>
          <w:rFonts w:hint="default" w:ascii="Times New Roman" w:hAnsi="Times New Roman" w:eastAsia="宋体" w:cs="Times New Roman"/>
          <w:bCs/>
          <w:color w:val="auto"/>
          <w:sz w:val="24"/>
          <w:szCs w:val="24"/>
        </w:rPr>
        <w:t xml:space="preserve"> </w:t>
      </w:r>
      <w:r>
        <w:rPr>
          <w:rFonts w:hint="default" w:ascii="Times New Roman" w:hAnsi="Times New Roman" w:eastAsia="宋体" w:cs="Times New Roman"/>
          <w:color w:val="auto"/>
          <w:sz w:val="24"/>
          <w:szCs w:val="24"/>
        </w:rPr>
        <w:t>连接节点的加固构造应符合以下要求：</w:t>
      </w:r>
    </w:p>
    <w:p w14:paraId="7B3B6F8F">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z w:val="24"/>
          <w:szCs w:val="24"/>
          <w:lang w:eastAsia="zh-CN"/>
        </w:rPr>
        <w:t>1</w:t>
      </w:r>
      <w:r>
        <w:rPr>
          <w:rFonts w:hint="default" w:ascii="Times New Roman" w:hAnsi="Times New Roman" w:eastAsia="宋体" w:cs="Times New Roman"/>
          <w:bCs/>
          <w:color w:val="auto"/>
          <w:sz w:val="24"/>
          <w:szCs w:val="24"/>
          <w:lang w:eastAsia="zh-CN"/>
        </w:rPr>
        <w:t xml:space="preserve"> </w:t>
      </w:r>
      <w:r>
        <w:rPr>
          <w:rFonts w:hint="default" w:ascii="Times New Roman" w:hAnsi="Times New Roman" w:eastAsia="宋体" w:cs="Times New Roman"/>
          <w:color w:val="auto"/>
          <w:sz w:val="24"/>
          <w:szCs w:val="24"/>
          <w:lang w:eastAsia="zh-CN"/>
        </w:rPr>
        <w:t>焊缝连接加固时，新增焊缝宜布置在应力集中最小、远离原</w:t>
      </w:r>
      <w:r>
        <w:rPr>
          <w:rFonts w:hint="default" w:ascii="Times New Roman" w:hAnsi="Times New Roman" w:eastAsia="宋体" w:cs="Times New Roman"/>
          <w:color w:val="auto"/>
          <w:spacing w:val="-4"/>
          <w:sz w:val="24"/>
          <w:szCs w:val="24"/>
          <w:lang w:eastAsia="zh-CN"/>
        </w:rPr>
        <w:t>构件的变截面</w:t>
      </w:r>
      <w:r>
        <w:rPr>
          <w:rFonts w:hint="default" w:ascii="Times New Roman" w:hAnsi="Times New Roman" w:eastAsia="宋体" w:cs="Times New Roman"/>
          <w:color w:val="auto"/>
          <w:sz w:val="24"/>
          <w:szCs w:val="24"/>
          <w:lang w:eastAsia="zh-CN"/>
        </w:rPr>
        <w:t>以及缺口、加劲肋的截面处；应使焊缝对称于作用力，并避免使之交叉；新增的</w:t>
      </w:r>
      <w:r>
        <w:rPr>
          <w:rFonts w:hint="default" w:ascii="Times New Roman" w:hAnsi="Times New Roman" w:eastAsia="宋体" w:cs="Times New Roman"/>
          <w:color w:val="auto"/>
          <w:spacing w:val="-1"/>
          <w:sz w:val="24"/>
          <w:szCs w:val="24"/>
          <w:lang w:eastAsia="zh-CN"/>
        </w:rPr>
        <w:t>对接焊缝与原构件加劲肋、角焊缝、变截面等之间的距离不宜小于100m</w:t>
      </w:r>
      <w:r>
        <w:rPr>
          <w:rFonts w:hint="default" w:ascii="Times New Roman" w:hAnsi="Times New Roman" w:eastAsia="宋体" w:cs="Times New Roman"/>
          <w:color w:val="auto"/>
          <w:spacing w:val="-2"/>
          <w:sz w:val="24"/>
          <w:szCs w:val="24"/>
          <w:lang w:eastAsia="zh-CN"/>
        </w:rPr>
        <w:t>m；各</w:t>
      </w:r>
      <w:r>
        <w:rPr>
          <w:rFonts w:hint="default" w:ascii="Times New Roman" w:hAnsi="Times New Roman" w:eastAsia="宋体" w:cs="Times New Roman"/>
          <w:color w:val="auto"/>
          <w:spacing w:val="-1"/>
          <w:sz w:val="24"/>
          <w:szCs w:val="24"/>
          <w:lang w:eastAsia="zh-CN"/>
        </w:rPr>
        <w:t>焊缝之间的距离不应小于被加固板件厚度的4.5倍。</w:t>
      </w:r>
    </w:p>
    <w:p w14:paraId="5047165C">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z w:val="24"/>
          <w:szCs w:val="24"/>
          <w:lang w:eastAsia="zh-CN"/>
        </w:rPr>
        <w:t>2</w:t>
      </w:r>
      <w:r>
        <w:rPr>
          <w:rFonts w:hint="default" w:ascii="Times New Roman" w:hAnsi="Times New Roman" w:eastAsia="宋体" w:cs="Times New Roman"/>
          <w:bCs/>
          <w:color w:val="auto"/>
          <w:sz w:val="24"/>
          <w:szCs w:val="24"/>
          <w:lang w:eastAsia="zh-CN"/>
        </w:rPr>
        <w:t xml:space="preserve"> </w:t>
      </w:r>
      <w:r>
        <w:rPr>
          <w:rFonts w:hint="default" w:ascii="Times New Roman" w:hAnsi="Times New Roman" w:eastAsia="宋体" w:cs="Times New Roman"/>
          <w:color w:val="auto"/>
          <w:sz w:val="24"/>
          <w:szCs w:val="24"/>
          <w:lang w:eastAsia="zh-CN"/>
        </w:rPr>
        <w:t>用盖板加固有动力荷载作用的构件时，盖板端应采用平</w:t>
      </w:r>
      <w:r>
        <w:rPr>
          <w:rFonts w:hint="default" w:ascii="Times New Roman" w:hAnsi="Times New Roman" w:eastAsia="宋体" w:cs="Times New Roman"/>
          <w:color w:val="auto"/>
          <w:spacing w:val="-1"/>
          <w:sz w:val="24"/>
          <w:szCs w:val="24"/>
          <w:lang w:eastAsia="zh-CN"/>
        </w:rPr>
        <w:t>缓过渡的构造措施，并应减少应力集中和焊接残余应力。</w:t>
      </w:r>
    </w:p>
    <w:p w14:paraId="14E90D2A">
      <w:pPr>
        <w:pStyle w:val="12"/>
        <w:ind w:firstLine="422"/>
        <w:rPr>
          <w:rFonts w:hint="default" w:ascii="Times New Roman" w:hAnsi="Times New Roman" w:eastAsia="宋体" w:cs="Times New Roman"/>
          <w:b/>
          <w:bCs/>
          <w:color w:val="auto"/>
          <w:spacing w:val="-2"/>
          <w:sz w:val="24"/>
          <w:szCs w:val="24"/>
          <w:lang w:eastAsia="zh-CN"/>
        </w:rPr>
      </w:pPr>
      <w:r>
        <w:rPr>
          <w:rFonts w:hint="default" w:ascii="Times New Roman" w:hAnsi="Times New Roman" w:eastAsia="宋体" w:cs="Times New Roman"/>
          <w:b/>
          <w:bCs/>
          <w:color w:val="auto"/>
          <w:sz w:val="24"/>
          <w:szCs w:val="24"/>
          <w:lang w:eastAsia="zh-CN"/>
        </w:rPr>
        <w:t>3</w:t>
      </w:r>
      <w:r>
        <w:rPr>
          <w:rFonts w:hint="default" w:ascii="Times New Roman" w:hAnsi="Times New Roman" w:eastAsia="宋体" w:cs="Times New Roman"/>
          <w:bCs/>
          <w:color w:val="auto"/>
          <w:sz w:val="24"/>
          <w:szCs w:val="24"/>
          <w:lang w:eastAsia="zh-CN"/>
        </w:rPr>
        <w:t xml:space="preserve"> </w:t>
      </w:r>
      <w:r>
        <w:rPr>
          <w:rFonts w:hint="default" w:ascii="Times New Roman" w:hAnsi="Times New Roman" w:eastAsia="宋体" w:cs="Times New Roman"/>
          <w:color w:val="auto"/>
          <w:sz w:val="24"/>
          <w:szCs w:val="24"/>
          <w:lang w:eastAsia="zh-CN"/>
        </w:rPr>
        <w:t>高强度螺栓摩擦型连接的板件连接接触面处理，应按设计要求</w:t>
      </w:r>
      <w:r>
        <w:rPr>
          <w:rFonts w:hint="default" w:ascii="Times New Roman" w:hAnsi="Times New Roman" w:eastAsia="宋体" w:cs="Times New Roman"/>
          <w:color w:val="auto"/>
          <w:spacing w:val="-1"/>
          <w:sz w:val="24"/>
          <w:szCs w:val="24"/>
          <w:lang w:eastAsia="zh-CN"/>
        </w:rPr>
        <w:t>和国家标准</w:t>
      </w:r>
      <w:r>
        <w:rPr>
          <w:rFonts w:hint="default" w:ascii="Times New Roman" w:hAnsi="Times New Roman" w:eastAsia="宋体" w:cs="Times New Roman"/>
          <w:color w:val="auto"/>
          <w:spacing w:val="-2"/>
          <w:sz w:val="24"/>
          <w:szCs w:val="24"/>
          <w:lang w:eastAsia="zh-CN"/>
        </w:rPr>
        <w:t>《钢结构设计标准》GB 50017及《钢结构工程施工质量验收规范》GB 50205的</w:t>
      </w:r>
      <w:r>
        <w:rPr>
          <w:rFonts w:hint="default" w:ascii="Times New Roman" w:hAnsi="Times New Roman" w:eastAsia="宋体" w:cs="Times New Roman"/>
          <w:color w:val="auto"/>
          <w:sz w:val="24"/>
          <w:szCs w:val="24"/>
          <w:lang w:eastAsia="zh-CN"/>
        </w:rPr>
        <w:t>规定进行。当不能满足要求时，应进行摩擦面的抗滑移系数试验，并应复核加固</w:t>
      </w:r>
      <w:r>
        <w:rPr>
          <w:rFonts w:hint="default" w:ascii="Times New Roman" w:hAnsi="Times New Roman" w:eastAsia="宋体" w:cs="Times New Roman"/>
          <w:color w:val="auto"/>
          <w:spacing w:val="-2"/>
          <w:sz w:val="24"/>
          <w:szCs w:val="24"/>
          <w:lang w:eastAsia="zh-CN"/>
        </w:rPr>
        <w:t>连接的设计计算。</w:t>
      </w:r>
    </w:p>
    <w:p w14:paraId="1E83F06C">
      <w:pPr>
        <w:spacing w:line="276" w:lineRule="auto"/>
        <w:ind w:hanging="5"/>
        <w:rPr>
          <w:rFonts w:hint="default" w:ascii="Times New Roman" w:hAnsi="Times New Roman" w:eastAsia="宋体" w:cs="Times New Roman"/>
          <w:b/>
          <w:bCs/>
          <w:color w:val="auto"/>
          <w:spacing w:val="-2"/>
          <w:sz w:val="24"/>
          <w:szCs w:val="24"/>
        </w:rPr>
      </w:pPr>
    </w:p>
    <w:p w14:paraId="00F1C591">
      <w:pPr>
        <w:widowControl/>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br w:type="page"/>
      </w:r>
      <w:bookmarkEnd w:id="168"/>
    </w:p>
    <w:p w14:paraId="721D6F43">
      <w:pPr>
        <w:pStyle w:val="2"/>
        <w:bidi w:val="0"/>
        <w:rPr>
          <w:rFonts w:hint="default"/>
        </w:rPr>
      </w:pPr>
      <w:bookmarkStart w:id="173" w:name="_Toc198667602"/>
      <w:bookmarkStart w:id="174" w:name="_Toc32715"/>
      <w:bookmarkStart w:id="175" w:name="_Toc21533"/>
      <w:r>
        <w:rPr>
          <w:rFonts w:hint="default"/>
        </w:rPr>
        <w:t xml:space="preserve">9 </w:t>
      </w:r>
      <w:r>
        <w:rPr>
          <w:rFonts w:hint="default"/>
          <w:lang w:val="en-US" w:eastAsia="zh-CN"/>
        </w:rPr>
        <w:t xml:space="preserve"> </w:t>
      </w:r>
      <w:r>
        <w:rPr>
          <w:rFonts w:hint="default"/>
        </w:rPr>
        <w:t>抗震性能化加固设计</w:t>
      </w:r>
      <w:bookmarkEnd w:id="173"/>
      <w:bookmarkEnd w:id="174"/>
      <w:bookmarkEnd w:id="175"/>
    </w:p>
    <w:p w14:paraId="59EFF91E">
      <w:pPr>
        <w:pStyle w:val="3"/>
        <w:bidi w:val="0"/>
        <w:rPr>
          <w:rFonts w:hint="default"/>
        </w:rPr>
      </w:pPr>
      <w:bookmarkStart w:id="176" w:name="_Toc21010"/>
      <w:bookmarkStart w:id="177" w:name="_Toc198667603"/>
      <w:bookmarkStart w:id="178" w:name="_Toc30336"/>
      <w:r>
        <w:rPr>
          <w:rFonts w:hint="default"/>
        </w:rPr>
        <w:t>9.1 基本规定</w:t>
      </w:r>
      <w:bookmarkEnd w:id="176"/>
      <w:bookmarkEnd w:id="177"/>
      <w:bookmarkEnd w:id="178"/>
    </w:p>
    <w:p w14:paraId="7F2FC866">
      <w:pPr>
        <w:spacing w:before="120" w:after="120"/>
        <w:jc w:val="center"/>
        <w:rPr>
          <w:rFonts w:hint="default" w:ascii="Times New Roman" w:hAnsi="Times New Roman" w:eastAsia="宋体" w:cs="Times New Roman"/>
          <w:b/>
          <w:color w:val="auto"/>
          <w:sz w:val="24"/>
          <w:szCs w:val="24"/>
        </w:rPr>
      </w:pPr>
      <w:bookmarkStart w:id="179" w:name="_Toc21208"/>
      <w:bookmarkStart w:id="180" w:name="_Toc1944"/>
      <w:r>
        <w:rPr>
          <w:rFonts w:hint="default" w:ascii="Times New Roman" w:hAnsi="Times New Roman" w:eastAsia="宋体" w:cs="Times New Roman"/>
          <w:color w:val="auto"/>
          <w:sz w:val="24"/>
          <w:szCs w:val="24"/>
        </w:rPr>
        <w:t>I</w:t>
      </w:r>
      <w:r>
        <w:rPr>
          <w:rFonts w:hint="default" w:ascii="Times New Roman" w:hAnsi="Times New Roman" w:eastAsia="宋体" w:cs="Times New Roman"/>
          <w:b/>
          <w:color w:val="auto"/>
          <w:sz w:val="24"/>
          <w:szCs w:val="24"/>
          <w:lang w:eastAsia="zh-CN"/>
        </w:rPr>
        <w:t xml:space="preserve"> </w:t>
      </w:r>
      <w:r>
        <w:rPr>
          <w:rFonts w:hint="default" w:ascii="Times New Roman" w:hAnsi="Times New Roman" w:eastAsia="宋体" w:cs="Times New Roman"/>
          <w:b/>
          <w:color w:val="auto"/>
          <w:sz w:val="24"/>
          <w:szCs w:val="24"/>
        </w:rPr>
        <w:t>一般规定</w:t>
      </w:r>
      <w:bookmarkEnd w:id="179"/>
    </w:p>
    <w:bookmarkEnd w:id="180"/>
    <w:p w14:paraId="35024C84">
      <w:pPr>
        <w:spacing w:line="360" w:lineRule="exact"/>
        <w:rPr>
          <w:rStyle w:val="31"/>
          <w:rFonts w:hint="default" w:ascii="Times New Roman" w:hAnsi="Times New Roman" w:eastAsia="宋体" w:cs="Times New Roman"/>
          <w:color w:val="auto"/>
          <w:sz w:val="24"/>
          <w:szCs w:val="24"/>
        </w:rPr>
      </w:pPr>
      <w:bookmarkStart w:id="181" w:name="OLE_LINK33"/>
      <w:r>
        <w:rPr>
          <w:rFonts w:hint="default" w:ascii="Times New Roman" w:hAnsi="Times New Roman" w:eastAsia="宋体" w:cs="Times New Roman"/>
          <w:b/>
          <w:color w:val="auto"/>
          <w:sz w:val="24"/>
          <w:szCs w:val="24"/>
        </w:rPr>
        <w:t>9.1.1</w:t>
      </w:r>
      <w:bookmarkEnd w:id="181"/>
      <w:r>
        <w:rPr>
          <w:rFonts w:hint="default" w:ascii="Times New Roman" w:hAnsi="Times New Roman" w:eastAsia="宋体" w:cs="Times New Roman"/>
          <w:color w:val="auto"/>
          <w:sz w:val="24"/>
          <w:szCs w:val="24"/>
        </w:rPr>
        <w:t xml:space="preserve"> 既</w:t>
      </w:r>
      <w:r>
        <w:rPr>
          <w:rStyle w:val="31"/>
          <w:rFonts w:hint="default" w:ascii="Times New Roman" w:hAnsi="Times New Roman" w:eastAsia="宋体" w:cs="Times New Roman"/>
          <w:color w:val="auto"/>
          <w:sz w:val="24"/>
          <w:szCs w:val="24"/>
        </w:rPr>
        <w:t>有建筑在满足结构变形和构件承载力要求的前提下，当部分构件的抗震构造措施不满足要求时，可采用抗震性能化方法对其抗震安全性进行评价和验证。</w:t>
      </w:r>
    </w:p>
    <w:p w14:paraId="45625E84">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条文说明：因地震动区划调整、建筑使用功能调整、增层改造等导致既有建筑结构抗震等级提高、构件抗震构造措施不满足要求时，可采用抗震性能化方法进行设计。在结构变形和构件承载力满足要求的前提下，可通过定量化评价罕遇地震作用下结构构件的变形和损伤程度，判断是否需要采取提高延性的抗震构造加固措施。如构件在罕遇地震作用下的实际损坏等级不超过允许损坏等级，则可不采取加固措施，这样可避免大范围、大面积的针对构件延性的低效率加固。</w:t>
      </w:r>
    </w:p>
    <w:p w14:paraId="4E980047">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default" w:ascii="仿宋" w:hAnsi="仿宋" w:eastAsia="仿宋" w:cs="仿宋"/>
          <w:b w:val="0"/>
          <w:bCs w:val="0"/>
          <w:color w:val="0070C0"/>
          <w:spacing w:val="0"/>
          <w:sz w:val="24"/>
          <w:szCs w:val="24"/>
          <w:lang w:val="en-US" w:eastAsia="zh-CN"/>
        </w:rPr>
      </w:pPr>
      <w:r>
        <w:rPr>
          <w:rFonts w:hint="default" w:ascii="仿宋" w:hAnsi="仿宋" w:eastAsia="仿宋" w:cs="仿宋"/>
          <w:b w:val="0"/>
          <w:bCs w:val="0"/>
          <w:color w:val="0070C0"/>
          <w:spacing w:val="0"/>
          <w:sz w:val="24"/>
          <w:szCs w:val="24"/>
          <w:lang w:val="en-US" w:eastAsia="zh-CN"/>
        </w:rPr>
        <w:t>当根据定量化评价结果需采取延性加固的构件数量众多时，为避免大范围、大面积的构件延性加固，提高抗震加固效率，可采取增设剪力墙或钢支撑等提高结构整体侧向刚度或加设耗能减震装置的措施，降低罕遇地震作用下的结构变形和构件损伤程度，减少延性加固的构件数量。</w:t>
      </w:r>
    </w:p>
    <w:p w14:paraId="1D4C4CA2">
      <w:pPr>
        <w:spacing w:line="360" w:lineRule="exact"/>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rPr>
        <w:t xml:space="preserve">9.1.2 </w:t>
      </w:r>
      <w:r>
        <w:rPr>
          <w:rFonts w:hint="default" w:ascii="Times New Roman" w:hAnsi="Times New Roman" w:eastAsia="宋体" w:cs="Times New Roman"/>
          <w:color w:val="auto"/>
          <w:sz w:val="24"/>
          <w:szCs w:val="24"/>
        </w:rPr>
        <w:t>建筑结构的抗震性能化设计应根据设防标准、后续工作年限和建筑类别，制定明确的结构抗震性能目标和构件性能设计指标。</w:t>
      </w:r>
    </w:p>
    <w:p w14:paraId="7FC6D6BB">
      <w:pPr>
        <w:spacing w:line="360" w:lineRule="exact"/>
        <w:rPr>
          <w:rFonts w:hint="default" w:ascii="Times New Roman" w:hAnsi="Times New Roman" w:eastAsia="宋体" w:cs="Times New Roman"/>
          <w:color w:val="auto"/>
          <w:sz w:val="24"/>
          <w:szCs w:val="24"/>
        </w:rPr>
      </w:pPr>
      <w:bookmarkStart w:id="182" w:name="OLE_LINK34"/>
      <w:r>
        <w:rPr>
          <w:rFonts w:hint="default" w:ascii="Times New Roman" w:hAnsi="Times New Roman" w:eastAsia="宋体" w:cs="Times New Roman"/>
          <w:b/>
          <w:color w:val="auto"/>
          <w:sz w:val="24"/>
          <w:szCs w:val="24"/>
        </w:rPr>
        <w:t>9.1.3</w:t>
      </w:r>
      <w:bookmarkEnd w:id="182"/>
      <w:r>
        <w:rPr>
          <w:rFonts w:hint="default" w:ascii="Times New Roman" w:hAnsi="Times New Roman" w:eastAsia="宋体" w:cs="Times New Roman"/>
          <w:b/>
          <w:color w:val="auto"/>
          <w:sz w:val="24"/>
          <w:szCs w:val="24"/>
        </w:rPr>
        <w:t xml:space="preserve"> </w:t>
      </w:r>
      <w:r>
        <w:rPr>
          <w:rFonts w:hint="default" w:ascii="Times New Roman" w:hAnsi="Times New Roman" w:eastAsia="宋体" w:cs="Times New Roman"/>
          <w:color w:val="auto"/>
          <w:sz w:val="24"/>
          <w:szCs w:val="24"/>
        </w:rPr>
        <w:t>采用抗震性能化设计的建筑结构，仍应重视结构的抗震概念设计。结构体系宜具有多道抗震防线，并应符合下列规定：</w:t>
      </w:r>
    </w:p>
    <w:p w14:paraId="29C09E37">
      <w:pPr>
        <w:pStyle w:val="12"/>
        <w:ind w:firstLine="422"/>
        <w:rPr>
          <w:rFonts w:hint="default" w:ascii="Times New Roman" w:hAnsi="Times New Roman" w:eastAsia="宋体" w:cs="Times New Roman"/>
          <w:color w:val="auto"/>
          <w:sz w:val="24"/>
          <w:szCs w:val="24"/>
          <w:lang w:eastAsia="zh-CN"/>
        </w:rPr>
      </w:pPr>
      <w:bookmarkStart w:id="183" w:name="_Toc30154"/>
      <w:r>
        <w:rPr>
          <w:rFonts w:hint="default" w:ascii="Times New Roman" w:hAnsi="Times New Roman" w:eastAsia="宋体" w:cs="Times New Roman"/>
          <w:b/>
          <w:snapToGrid/>
          <w:color w:val="auto"/>
          <w:kern w:val="2"/>
          <w:sz w:val="24"/>
          <w:szCs w:val="24"/>
          <w:lang w:eastAsia="zh-CN"/>
        </w:rPr>
        <w:t xml:space="preserve">1 </w:t>
      </w:r>
      <w:r>
        <w:rPr>
          <w:rFonts w:hint="default" w:ascii="Times New Roman" w:hAnsi="Times New Roman" w:eastAsia="宋体" w:cs="Times New Roman"/>
          <w:color w:val="auto"/>
          <w:sz w:val="24"/>
          <w:szCs w:val="24"/>
          <w:lang w:eastAsia="zh-CN"/>
        </w:rPr>
        <w:t>应具有明确的计算简图和合理的地震作用传递途径。</w:t>
      </w:r>
      <w:bookmarkEnd w:id="183"/>
    </w:p>
    <w:p w14:paraId="443755A0">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snapToGrid/>
          <w:color w:val="auto"/>
          <w:kern w:val="2"/>
          <w:sz w:val="24"/>
          <w:szCs w:val="24"/>
          <w:lang w:eastAsia="zh-CN"/>
        </w:rPr>
        <w:t xml:space="preserve">2 </w:t>
      </w:r>
      <w:r>
        <w:rPr>
          <w:rFonts w:hint="default" w:ascii="Times New Roman" w:hAnsi="Times New Roman" w:eastAsia="宋体" w:cs="Times New Roman"/>
          <w:color w:val="auto"/>
          <w:sz w:val="24"/>
          <w:szCs w:val="24"/>
          <w:lang w:eastAsia="zh-CN"/>
        </w:rPr>
        <w:t>应具有足够的承载力和稳定性、合适的刚度、必要的变形和耗能能力、合理的屈服机制。</w:t>
      </w:r>
    </w:p>
    <w:p w14:paraId="01DE69D3">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snapToGrid/>
          <w:color w:val="auto"/>
          <w:kern w:val="2"/>
          <w:sz w:val="24"/>
          <w:szCs w:val="24"/>
          <w:lang w:eastAsia="zh-CN"/>
        </w:rPr>
        <w:t xml:space="preserve">3 </w:t>
      </w:r>
      <w:r>
        <w:rPr>
          <w:rFonts w:hint="default" w:ascii="Times New Roman" w:hAnsi="Times New Roman" w:eastAsia="宋体" w:cs="Times New Roman"/>
          <w:color w:val="auto"/>
          <w:sz w:val="24"/>
          <w:szCs w:val="24"/>
          <w:lang w:eastAsia="zh-CN"/>
        </w:rPr>
        <w:t>结构应具有适当的冗余度，避免因部分结构或构件的破坏而导致整个结构体系丧失承载能力。</w:t>
      </w:r>
    </w:p>
    <w:p w14:paraId="2B789630">
      <w:pPr>
        <w:pStyle w:val="12"/>
        <w:ind w:firstLine="422"/>
        <w:rPr>
          <w:rFonts w:hint="default" w:ascii="Times New Roman" w:hAnsi="Times New Roman" w:eastAsia="宋体" w:cs="Times New Roman"/>
          <w:color w:val="auto"/>
          <w:sz w:val="24"/>
          <w:szCs w:val="24"/>
          <w:lang w:eastAsia="zh-CN"/>
        </w:rPr>
      </w:pPr>
      <w:bookmarkStart w:id="184" w:name="_Toc7572"/>
      <w:r>
        <w:rPr>
          <w:rFonts w:hint="default" w:ascii="Times New Roman" w:hAnsi="Times New Roman" w:eastAsia="宋体" w:cs="Times New Roman"/>
          <w:b/>
          <w:snapToGrid/>
          <w:color w:val="auto"/>
          <w:kern w:val="2"/>
          <w:sz w:val="24"/>
          <w:szCs w:val="24"/>
          <w:lang w:eastAsia="zh-CN"/>
        </w:rPr>
        <w:t xml:space="preserve">4 </w:t>
      </w:r>
      <w:r>
        <w:rPr>
          <w:rFonts w:hint="default" w:ascii="Times New Roman" w:hAnsi="Times New Roman" w:eastAsia="宋体" w:cs="Times New Roman"/>
          <w:color w:val="auto"/>
          <w:sz w:val="24"/>
          <w:szCs w:val="24"/>
          <w:lang w:eastAsia="zh-CN"/>
        </w:rPr>
        <w:t>对可能出现的薄弱层或软弱层应采取有效措施予以加强。</w:t>
      </w:r>
      <w:bookmarkEnd w:id="184"/>
    </w:p>
    <w:p w14:paraId="69649FF6">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条文说明：地震作用具有高度随机性和不确定性这一特点。一是地震发生的时间、地点及强度是随机的、不确定的，地球上的任何一个地方都有可能发生地震，但地震预报特别是临震预报依然是世界性难题，历史上有很多预期不会发生大地震的地方发生了毁灭性的地震；二是依据地震区划的地震动参数并不一定可靠，实际地震具有高度不确定性，很多地震区划中的低烈度地区发生了较大地震或特大地震，结构遭受到了比标准设定的罕遇地震等级更高的地震作用。</w:t>
      </w:r>
    </w:p>
    <w:p w14:paraId="7A0FD7D8">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抗震性能化设计虽利用精细化的分析方法为传统抗震设计适当松绑，但并不表示可以随意突破概念设计。对于基于设定地震动水准进行设计的建筑结构，当遭遇比设防大震更高等级的强烈地震(巨震)时，仍有可能因其薄弱部位的构件承载力和延性不足而产生集中变形，造成严重破坏甚至倒塌。一系列震害经验表明，应对大震或超大震，多道防线的结构概念设计和结构构件的延性设计更为重要和有效。因此，采用抗震性能化设计的建筑结构仍应贯彻多道抗震防线的基本思想，并尽量符合结构抗震概念设计的基本概念及要求。</w:t>
      </w:r>
    </w:p>
    <w:p w14:paraId="1A890415">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结构体系是工程结构抗御地震作用的核心组成部分，是实现预期抗震设防目标的基本保障。结构体系应受力明确、传力合理、具备必要的承载力和良好的延性，要防止局部加强导致的整个结构刚度和强度不协调；有意识地控制薄弱层，使之有足够的变形能力又不发生薄弱层(部位)转移，是提高结构整体抗震能力的有效手段。</w:t>
      </w:r>
    </w:p>
    <w:p w14:paraId="568DDF63">
      <w:pPr>
        <w:spacing w:line="360" w:lineRule="exact"/>
        <w:rPr>
          <w:rFonts w:hint="default" w:ascii="Times New Roman" w:hAnsi="Times New Roman" w:eastAsia="宋体" w:cs="Times New Roman"/>
          <w:color w:val="auto"/>
          <w:sz w:val="24"/>
          <w:szCs w:val="24"/>
        </w:rPr>
      </w:pPr>
      <w:bookmarkStart w:id="185" w:name="_Toc13062"/>
      <w:r>
        <w:rPr>
          <w:rFonts w:hint="default" w:ascii="Times New Roman" w:hAnsi="Times New Roman" w:eastAsia="宋体" w:cs="Times New Roman"/>
          <w:b/>
          <w:color w:val="auto"/>
          <w:sz w:val="24"/>
          <w:szCs w:val="24"/>
        </w:rPr>
        <w:t>9.1.4</w:t>
      </w:r>
      <w:r>
        <w:rPr>
          <w:rFonts w:hint="default" w:ascii="Times New Roman" w:hAnsi="Times New Roman" w:eastAsia="宋体" w:cs="Times New Roman"/>
          <w:color w:val="auto"/>
          <w:sz w:val="24"/>
          <w:szCs w:val="24"/>
        </w:rPr>
        <w:t xml:space="preserve"> 建筑结构的平面、立面布置宜符合下列规定：</w:t>
      </w:r>
      <w:bookmarkEnd w:id="185"/>
    </w:p>
    <w:p w14:paraId="164D03F5">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snapToGrid/>
          <w:color w:val="auto"/>
          <w:kern w:val="2"/>
          <w:sz w:val="24"/>
          <w:szCs w:val="24"/>
          <w:lang w:eastAsia="zh-CN"/>
        </w:rPr>
        <w:t>1</w:t>
      </w:r>
      <w:r>
        <w:rPr>
          <w:rFonts w:hint="default" w:ascii="Times New Roman" w:hAnsi="Times New Roman" w:eastAsia="宋体" w:cs="Times New Roman"/>
          <w:color w:val="auto"/>
          <w:sz w:val="24"/>
          <w:szCs w:val="24"/>
          <w:lang w:eastAsia="zh-CN"/>
        </w:rPr>
        <w:t xml:space="preserve"> 建筑的平面布置宜规则、对称；平面内质量分布和刚度变化宜均匀；宜减小刚度中心与质量中心间的偏心距，避免产生过大的扭转。</w:t>
      </w:r>
    </w:p>
    <w:p w14:paraId="3A68B769">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snapToGrid/>
          <w:color w:val="auto"/>
          <w:kern w:val="2"/>
          <w:sz w:val="24"/>
          <w:szCs w:val="24"/>
          <w:lang w:eastAsia="zh-CN"/>
        </w:rPr>
        <w:t>2</w:t>
      </w:r>
      <w:r>
        <w:rPr>
          <w:rFonts w:hint="default" w:ascii="Times New Roman" w:hAnsi="Times New Roman" w:eastAsia="宋体" w:cs="Times New Roman"/>
          <w:color w:val="auto"/>
          <w:sz w:val="24"/>
          <w:szCs w:val="24"/>
          <w:lang w:eastAsia="zh-CN"/>
        </w:rPr>
        <w:t xml:space="preserve"> 建筑的立面布置宜规则；相邻层的楼层侧向刚度和质量不宜突变；相邻层的抗侧承载力不宜突变，平面内同类抗侧力构件的刚度和承载力宜均匀。</w:t>
      </w:r>
    </w:p>
    <w:p w14:paraId="583D787F">
      <w:pPr>
        <w:spacing w:line="360" w:lineRule="exact"/>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rPr>
        <w:t xml:space="preserve">9.1.5 </w:t>
      </w:r>
      <w:r>
        <w:rPr>
          <w:rFonts w:hint="default" w:ascii="Times New Roman" w:hAnsi="Times New Roman" w:eastAsia="宋体" w:cs="Times New Roman"/>
          <w:color w:val="auto"/>
          <w:sz w:val="24"/>
          <w:szCs w:val="24"/>
        </w:rPr>
        <w:t>建筑结构的楼盖和屋盖系统应能保证地震作用传递的可靠性和结构稳定性。楼盖、屋盖应具有足够的刚度和整体性，采用装配整体式混凝土楼盖和屋盖系统时，应采取措施保证楼盖和屋盖系统的整体性及其与竖向抗侧力构件连接的可靠性。</w:t>
      </w:r>
    </w:p>
    <w:p w14:paraId="0A8091A4">
      <w:pPr>
        <w:spacing w:line="360" w:lineRule="exact"/>
        <w:rPr>
          <w:rFonts w:hint="default" w:ascii="Times New Roman" w:hAnsi="Times New Roman" w:eastAsia="宋体" w:cs="Times New Roman"/>
          <w:color w:val="auto"/>
          <w:sz w:val="24"/>
          <w:szCs w:val="24"/>
        </w:rPr>
      </w:pPr>
      <w:bookmarkStart w:id="186" w:name="OLE_LINK35"/>
      <w:bookmarkStart w:id="187" w:name="_Toc20528"/>
      <w:r>
        <w:rPr>
          <w:rFonts w:hint="default" w:ascii="Times New Roman" w:hAnsi="Times New Roman" w:eastAsia="宋体" w:cs="Times New Roman"/>
          <w:b/>
          <w:color w:val="auto"/>
          <w:sz w:val="24"/>
          <w:szCs w:val="24"/>
        </w:rPr>
        <w:t xml:space="preserve">9.1.6 </w:t>
      </w:r>
      <w:bookmarkEnd w:id="186"/>
      <w:r>
        <w:rPr>
          <w:rFonts w:hint="default" w:ascii="Times New Roman" w:hAnsi="Times New Roman" w:eastAsia="宋体" w:cs="Times New Roman"/>
          <w:color w:val="auto"/>
          <w:sz w:val="24"/>
          <w:szCs w:val="24"/>
        </w:rPr>
        <w:t>结构构件应符合下列规定：</w:t>
      </w:r>
      <w:bookmarkEnd w:id="187"/>
    </w:p>
    <w:p w14:paraId="0B92CAC2">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snapToGrid/>
          <w:color w:val="auto"/>
          <w:kern w:val="2"/>
          <w:sz w:val="24"/>
          <w:szCs w:val="24"/>
          <w:lang w:eastAsia="zh-CN"/>
        </w:rPr>
        <w:t xml:space="preserve">1 </w:t>
      </w:r>
      <w:r>
        <w:rPr>
          <w:rFonts w:hint="default" w:ascii="Times New Roman" w:hAnsi="Times New Roman" w:eastAsia="宋体" w:cs="Times New Roman"/>
          <w:color w:val="auto"/>
          <w:sz w:val="24"/>
          <w:szCs w:val="24"/>
          <w:lang w:eastAsia="zh-CN"/>
        </w:rPr>
        <w:t>应控制混凝土结构构件的截面尺寸、受力钢筋和箍筋的配置，防止剪切破坏先于弯曲破坏、混凝土压溃先于钢筋屈服、钢筋的锚固粘结破坏先于钢筋屈服。</w:t>
      </w:r>
    </w:p>
    <w:p w14:paraId="6C22253A">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snapToGrid/>
          <w:color w:val="auto"/>
          <w:kern w:val="2"/>
          <w:sz w:val="24"/>
          <w:szCs w:val="24"/>
          <w:lang w:eastAsia="zh-CN"/>
        </w:rPr>
        <w:t xml:space="preserve">2 </w:t>
      </w:r>
      <w:r>
        <w:rPr>
          <w:rFonts w:hint="default" w:ascii="Times New Roman" w:hAnsi="Times New Roman" w:eastAsia="宋体" w:cs="Times New Roman"/>
          <w:color w:val="auto"/>
          <w:sz w:val="24"/>
          <w:szCs w:val="24"/>
          <w:lang w:eastAsia="zh-CN"/>
        </w:rPr>
        <w:t>钢结构体系应保证不发生整体失稳，局部构件的失稳不应导致整体失稳破坏。</w:t>
      </w:r>
    </w:p>
    <w:p w14:paraId="1230F572">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snapToGrid/>
          <w:color w:val="auto"/>
          <w:kern w:val="2"/>
          <w:sz w:val="24"/>
          <w:szCs w:val="24"/>
          <w:lang w:eastAsia="zh-CN"/>
        </w:rPr>
        <w:t xml:space="preserve">3 </w:t>
      </w:r>
      <w:r>
        <w:rPr>
          <w:rFonts w:hint="default" w:ascii="Times New Roman" w:hAnsi="Times New Roman" w:eastAsia="宋体" w:cs="Times New Roman"/>
          <w:color w:val="auto"/>
          <w:sz w:val="24"/>
          <w:szCs w:val="24"/>
          <w:lang w:eastAsia="zh-CN"/>
        </w:rPr>
        <w:t>预应力混凝土结构抗震等级为一级的框架应采用有粘结预应力筋或缓粘结预应力筋，并应按现行国家标准《混凝土结构设计标准》GB/T50010的要求配置普通钢筋。</w:t>
      </w:r>
    </w:p>
    <w:p w14:paraId="026C0ECF">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snapToGrid/>
          <w:color w:val="auto"/>
          <w:kern w:val="2"/>
          <w:sz w:val="24"/>
          <w:szCs w:val="24"/>
          <w:lang w:eastAsia="zh-CN"/>
        </w:rPr>
        <w:t>4</w:t>
      </w:r>
      <w:r>
        <w:rPr>
          <w:rFonts w:hint="default" w:ascii="Times New Roman" w:hAnsi="Times New Roman" w:eastAsia="宋体" w:cs="Times New Roman"/>
          <w:b/>
          <w:snapToGrid/>
          <w:color w:val="auto"/>
          <w:kern w:val="2"/>
          <w:sz w:val="24"/>
          <w:szCs w:val="24"/>
          <w:lang w:val="en-US" w:eastAsia="zh-CN"/>
        </w:rPr>
        <w:t xml:space="preserve"> </w:t>
      </w:r>
      <w:r>
        <w:rPr>
          <w:rFonts w:hint="default" w:ascii="Times New Roman" w:hAnsi="Times New Roman" w:eastAsia="宋体" w:cs="Times New Roman"/>
          <w:color w:val="auto"/>
          <w:sz w:val="24"/>
          <w:szCs w:val="24"/>
          <w:lang w:eastAsia="zh-CN"/>
        </w:rPr>
        <w:t>与竖向构件相关的地下室竖向构件、基础及地基不先于上部竖向构件破坏。</w:t>
      </w:r>
    </w:p>
    <w:p w14:paraId="5E7DABC5">
      <w:pPr>
        <w:spacing w:line="360" w:lineRule="exact"/>
        <w:rPr>
          <w:rFonts w:hint="default" w:ascii="Times New Roman" w:hAnsi="Times New Roman" w:eastAsia="宋体" w:cs="Times New Roman"/>
          <w:color w:val="auto"/>
          <w:sz w:val="24"/>
          <w:szCs w:val="24"/>
        </w:rPr>
      </w:pPr>
      <w:bookmarkStart w:id="188" w:name="_Toc5221"/>
      <w:r>
        <w:rPr>
          <w:rFonts w:hint="default" w:ascii="Times New Roman" w:hAnsi="Times New Roman" w:eastAsia="宋体" w:cs="Times New Roman"/>
          <w:b/>
          <w:color w:val="auto"/>
          <w:sz w:val="24"/>
          <w:szCs w:val="24"/>
        </w:rPr>
        <w:t xml:space="preserve">9.1.7 </w:t>
      </w:r>
      <w:r>
        <w:rPr>
          <w:rFonts w:hint="default" w:ascii="Times New Roman" w:hAnsi="Times New Roman" w:eastAsia="宋体" w:cs="Times New Roman"/>
          <w:color w:val="auto"/>
          <w:sz w:val="24"/>
          <w:szCs w:val="24"/>
        </w:rPr>
        <w:t>抗震结构的连接应符合下列规定：</w:t>
      </w:r>
      <w:bookmarkEnd w:id="188"/>
    </w:p>
    <w:p w14:paraId="4A2F75CF">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snapToGrid/>
          <w:color w:val="auto"/>
          <w:kern w:val="2"/>
          <w:sz w:val="24"/>
          <w:szCs w:val="24"/>
          <w:lang w:eastAsia="zh-CN"/>
        </w:rPr>
        <w:t xml:space="preserve">1 </w:t>
      </w:r>
      <w:r>
        <w:rPr>
          <w:rFonts w:hint="default" w:ascii="Times New Roman" w:hAnsi="Times New Roman" w:eastAsia="宋体" w:cs="Times New Roman"/>
          <w:color w:val="auto"/>
          <w:sz w:val="24"/>
          <w:szCs w:val="24"/>
          <w:lang w:eastAsia="zh-CN"/>
        </w:rPr>
        <w:t>构件节点的破坏不应先于与其连接的构件。</w:t>
      </w:r>
    </w:p>
    <w:p w14:paraId="0B775B87">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snapToGrid/>
          <w:color w:val="auto"/>
          <w:kern w:val="2"/>
          <w:sz w:val="24"/>
          <w:szCs w:val="24"/>
          <w:lang w:eastAsia="zh-CN"/>
        </w:rPr>
        <w:t>2</w:t>
      </w:r>
      <w:r>
        <w:rPr>
          <w:rFonts w:hint="default" w:ascii="Times New Roman" w:hAnsi="Times New Roman" w:eastAsia="宋体" w:cs="Times New Roman"/>
          <w:color w:val="auto"/>
          <w:sz w:val="24"/>
          <w:szCs w:val="24"/>
          <w:lang w:eastAsia="zh-CN"/>
        </w:rPr>
        <w:t xml:space="preserve"> 构件连接节点应有足够的承载力、刚度。</w:t>
      </w:r>
    </w:p>
    <w:p w14:paraId="19F01920">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snapToGrid/>
          <w:color w:val="auto"/>
          <w:kern w:val="2"/>
          <w:sz w:val="24"/>
          <w:szCs w:val="24"/>
          <w:lang w:eastAsia="zh-CN"/>
        </w:rPr>
        <w:t xml:space="preserve">3 </w:t>
      </w:r>
      <w:r>
        <w:rPr>
          <w:rFonts w:hint="default" w:ascii="Times New Roman" w:hAnsi="Times New Roman" w:eastAsia="宋体" w:cs="Times New Roman"/>
          <w:color w:val="auto"/>
          <w:sz w:val="24"/>
          <w:szCs w:val="24"/>
          <w:lang w:eastAsia="zh-CN"/>
        </w:rPr>
        <w:t>预埋件的锚固破坏不应先于与其连接的构件。</w:t>
      </w:r>
    </w:p>
    <w:p w14:paraId="0D798CB5">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snapToGrid/>
          <w:color w:val="auto"/>
          <w:kern w:val="2"/>
          <w:sz w:val="24"/>
          <w:szCs w:val="24"/>
          <w:lang w:eastAsia="zh-CN"/>
        </w:rPr>
        <w:t xml:space="preserve">4 </w:t>
      </w:r>
      <w:r>
        <w:rPr>
          <w:rFonts w:hint="default" w:ascii="Times New Roman" w:hAnsi="Times New Roman" w:eastAsia="宋体" w:cs="Times New Roman"/>
          <w:color w:val="auto"/>
          <w:sz w:val="24"/>
          <w:szCs w:val="24"/>
          <w:lang w:eastAsia="zh-CN"/>
        </w:rPr>
        <w:t>装配式结构的连接，应能保证结构的整体性。</w:t>
      </w:r>
    </w:p>
    <w:p w14:paraId="0CBD43A3">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snapToGrid/>
          <w:color w:val="auto"/>
          <w:kern w:val="2"/>
          <w:sz w:val="24"/>
          <w:szCs w:val="24"/>
          <w:lang w:eastAsia="zh-CN"/>
        </w:rPr>
        <w:t>5</w:t>
      </w:r>
      <w:r>
        <w:rPr>
          <w:rFonts w:hint="default" w:ascii="Times New Roman" w:hAnsi="Times New Roman" w:eastAsia="宋体" w:cs="Times New Roman"/>
          <w:color w:val="auto"/>
          <w:sz w:val="24"/>
          <w:szCs w:val="24"/>
          <w:lang w:eastAsia="zh-CN"/>
        </w:rPr>
        <w:t xml:space="preserve"> 预应力混凝土构件的预应力筋应在节点核心区外锚固。</w:t>
      </w:r>
    </w:p>
    <w:p w14:paraId="308C6141">
      <w:pPr>
        <w:pStyle w:val="12"/>
        <w:ind w:firstLine="0" w:firstLineChars="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eastAsia="zh-CN"/>
        </w:rPr>
        <w:t>9.1.</w:t>
      </w:r>
      <w:r>
        <w:rPr>
          <w:rFonts w:hint="default" w:ascii="Times New Roman" w:hAnsi="Times New Roman" w:eastAsia="宋体" w:cs="Times New Roman"/>
          <w:b/>
          <w:color w:val="auto"/>
          <w:sz w:val="24"/>
          <w:szCs w:val="24"/>
          <w:lang w:val="en-US" w:eastAsia="zh-CN"/>
        </w:rPr>
        <w:t>8</w:t>
      </w:r>
      <w:r>
        <w:rPr>
          <w:rFonts w:hint="default" w:ascii="Times New Roman" w:hAnsi="Times New Roman" w:eastAsia="宋体" w:cs="Times New Roman"/>
          <w:b/>
          <w:color w:val="auto"/>
          <w:sz w:val="24"/>
          <w:szCs w:val="24"/>
          <w:lang w:eastAsia="zh-CN"/>
        </w:rPr>
        <w:t xml:space="preserve"> </w:t>
      </w:r>
      <w:r>
        <w:rPr>
          <w:rFonts w:hint="default" w:ascii="Times New Roman" w:hAnsi="Times New Roman" w:eastAsia="宋体" w:cs="Times New Roman"/>
          <w:color w:val="auto"/>
          <w:sz w:val="24"/>
          <w:szCs w:val="24"/>
          <w:lang w:eastAsia="zh-CN"/>
        </w:rPr>
        <w:t>既有建筑抗震加固应满足抗连续倒塌概念设计要求；有特殊要求时，可采用拆除构件法进行抗连续倒塌设计。</w:t>
      </w:r>
    </w:p>
    <w:p w14:paraId="70FA7BEC">
      <w:pPr>
        <w:pStyle w:val="12"/>
        <w:ind w:firstLine="0" w:firstLineChars="0"/>
        <w:rPr>
          <w:rFonts w:hint="default" w:ascii="Times New Roman" w:hAnsi="Times New Roman" w:eastAsia="宋体" w:cs="Times New Roman"/>
          <w:color w:val="auto"/>
          <w:sz w:val="24"/>
          <w:szCs w:val="24"/>
          <w:lang w:eastAsia="zh-CN"/>
        </w:rPr>
      </w:pPr>
    </w:p>
    <w:p w14:paraId="2302B6A0">
      <w:pPr>
        <w:spacing w:line="360" w:lineRule="exact"/>
        <w:rPr>
          <w:rFonts w:hint="default" w:ascii="Times New Roman" w:hAnsi="Times New Roman" w:eastAsia="宋体" w:cs="Times New Roman"/>
          <w:color w:val="auto"/>
          <w:sz w:val="24"/>
          <w:szCs w:val="24"/>
        </w:rPr>
      </w:pPr>
      <w:bookmarkStart w:id="189" w:name="OLE_LINK37"/>
      <w:bookmarkStart w:id="190" w:name="OLE_LINK36"/>
      <w:r>
        <w:rPr>
          <w:rFonts w:hint="default" w:ascii="Times New Roman" w:hAnsi="Times New Roman" w:eastAsia="宋体" w:cs="Times New Roman"/>
          <w:b/>
          <w:color w:val="auto"/>
          <w:sz w:val="24"/>
          <w:szCs w:val="24"/>
        </w:rPr>
        <w:t>9.1.</w:t>
      </w:r>
      <w:r>
        <w:rPr>
          <w:rFonts w:hint="default" w:ascii="Times New Roman" w:hAnsi="Times New Roman" w:eastAsia="宋体" w:cs="Times New Roman"/>
          <w:b/>
          <w:color w:val="auto"/>
          <w:sz w:val="24"/>
          <w:szCs w:val="24"/>
          <w:lang w:val="en-US" w:eastAsia="zh-CN"/>
        </w:rPr>
        <w:t>9</w:t>
      </w:r>
      <w:r>
        <w:rPr>
          <w:rFonts w:hint="default" w:ascii="Times New Roman" w:hAnsi="Times New Roman" w:eastAsia="宋体" w:cs="Times New Roman"/>
          <w:color w:val="auto"/>
          <w:sz w:val="24"/>
          <w:szCs w:val="24"/>
        </w:rPr>
        <w:t xml:space="preserve"> </w:t>
      </w:r>
      <w:bookmarkEnd w:id="189"/>
      <w:bookmarkEnd w:id="190"/>
      <w:r>
        <w:rPr>
          <w:rFonts w:hint="default" w:ascii="Times New Roman" w:hAnsi="Times New Roman" w:eastAsia="宋体" w:cs="Times New Roman"/>
          <w:color w:val="auto"/>
          <w:sz w:val="24"/>
          <w:szCs w:val="24"/>
        </w:rPr>
        <w:t>既有建筑抗震加固应按设计文件的要求和国家现行有关标准的规定进行施工，竣工后应定期进行运维管理，以保证结构满足预期的设计性能目标。</w:t>
      </w:r>
    </w:p>
    <w:p w14:paraId="4211BA73">
      <w:pPr>
        <w:spacing w:line="360" w:lineRule="exact"/>
        <w:rPr>
          <w:rFonts w:hint="default" w:ascii="Times New Roman" w:hAnsi="Times New Roman" w:eastAsia="宋体" w:cs="Times New Roman"/>
          <w:color w:val="auto"/>
          <w:sz w:val="24"/>
          <w:szCs w:val="24"/>
        </w:rPr>
      </w:pPr>
    </w:p>
    <w:p w14:paraId="2B2FAF2B">
      <w:pPr>
        <w:spacing w:before="120" w:after="120"/>
        <w:jc w:val="center"/>
        <w:rPr>
          <w:rFonts w:hint="default" w:ascii="Times New Roman" w:hAnsi="Times New Roman" w:eastAsia="宋体" w:cs="Times New Roman"/>
          <w:color w:val="auto"/>
          <w:sz w:val="24"/>
          <w:szCs w:val="24"/>
        </w:rPr>
      </w:pPr>
      <w:bookmarkStart w:id="191" w:name="OLE_LINK38"/>
      <w:bookmarkStart w:id="192" w:name="OLE_LINK39"/>
      <w:bookmarkStart w:id="193" w:name="_Toc30271"/>
      <w:r>
        <w:rPr>
          <w:rFonts w:hint="default" w:ascii="Times New Roman" w:hAnsi="Times New Roman" w:eastAsia="宋体" w:cs="Times New Roman"/>
          <w:b/>
          <w:color w:val="auto"/>
          <w:sz w:val="24"/>
          <w:szCs w:val="24"/>
        </w:rPr>
        <w:t>I</w:t>
      </w:r>
      <w:bookmarkEnd w:id="191"/>
      <w:bookmarkEnd w:id="192"/>
      <w:r>
        <w:rPr>
          <w:rFonts w:hint="default" w:ascii="Times New Roman" w:hAnsi="Times New Roman" w:eastAsia="宋体" w:cs="Times New Roman"/>
          <w:b/>
          <w:color w:val="auto"/>
          <w:sz w:val="24"/>
          <w:szCs w:val="24"/>
        </w:rPr>
        <w:t>I</w:t>
      </w:r>
      <w:r>
        <w:rPr>
          <w:rFonts w:hint="default" w:ascii="Times New Roman" w:hAnsi="Times New Roman" w:eastAsia="宋体" w:cs="Times New Roman"/>
          <w:color w:val="auto"/>
          <w:sz w:val="24"/>
          <w:szCs w:val="24"/>
        </w:rPr>
        <w:t xml:space="preserve"> 性能化设计流程</w:t>
      </w:r>
      <w:bookmarkEnd w:id="193"/>
    </w:p>
    <w:p w14:paraId="2C84BE4B">
      <w:pPr>
        <w:rPr>
          <w:rFonts w:hint="default" w:ascii="Times New Roman" w:hAnsi="Times New Roman" w:eastAsia="宋体" w:cs="Times New Roman"/>
          <w:color w:val="auto"/>
          <w:sz w:val="24"/>
          <w:szCs w:val="24"/>
        </w:rPr>
      </w:pPr>
      <w:bookmarkStart w:id="194" w:name="_Toc14421"/>
      <w:r>
        <w:rPr>
          <w:rFonts w:hint="default" w:ascii="Times New Roman" w:hAnsi="Times New Roman" w:eastAsia="宋体" w:cs="Times New Roman"/>
          <w:b/>
          <w:color w:val="auto"/>
          <w:sz w:val="24"/>
          <w:szCs w:val="24"/>
        </w:rPr>
        <w:t>9.1.1</w:t>
      </w:r>
      <w:r>
        <w:rPr>
          <w:rFonts w:hint="default" w:ascii="Times New Roman" w:hAnsi="Times New Roman" w:eastAsia="宋体" w:cs="Times New Roman"/>
          <w:b/>
          <w:color w:val="auto"/>
          <w:sz w:val="24"/>
          <w:szCs w:val="24"/>
          <w:lang w:val="en-US" w:eastAsia="zh-CN"/>
        </w:rPr>
        <w:t>0</w:t>
      </w:r>
      <w:r>
        <w:rPr>
          <w:rFonts w:hint="default" w:ascii="Times New Roman" w:hAnsi="Times New Roman" w:eastAsia="宋体" w:cs="Times New Roman"/>
          <w:b/>
          <w:color w:val="auto"/>
          <w:sz w:val="24"/>
          <w:szCs w:val="24"/>
        </w:rPr>
        <w:t xml:space="preserve"> </w:t>
      </w:r>
      <w:r>
        <w:rPr>
          <w:rFonts w:hint="default" w:ascii="Times New Roman" w:hAnsi="Times New Roman" w:eastAsia="宋体" w:cs="Times New Roman"/>
          <w:color w:val="auto"/>
          <w:sz w:val="24"/>
          <w:szCs w:val="24"/>
        </w:rPr>
        <w:t>既有建筑加固改造抗震性能化设计流程应符合下列规定：</w:t>
      </w:r>
      <w:bookmarkEnd w:id="194"/>
    </w:p>
    <w:p w14:paraId="5A2CA994">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snapToGrid/>
          <w:color w:val="auto"/>
          <w:kern w:val="2"/>
          <w:sz w:val="24"/>
          <w:szCs w:val="24"/>
          <w:lang w:eastAsia="zh-CN"/>
        </w:rPr>
        <w:t>1</w:t>
      </w:r>
      <w:r>
        <w:rPr>
          <w:rFonts w:hint="default" w:ascii="Times New Roman" w:hAnsi="Times New Roman" w:eastAsia="宋体" w:cs="Times New Roman"/>
          <w:color w:val="auto"/>
          <w:sz w:val="24"/>
          <w:szCs w:val="24"/>
          <w:lang w:eastAsia="zh-CN"/>
        </w:rPr>
        <w:t xml:space="preserve"> 确定既有建筑结构加固改造的性能目标。</w:t>
      </w:r>
    </w:p>
    <w:p w14:paraId="54AF0E29">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snapToGrid/>
          <w:color w:val="auto"/>
          <w:kern w:val="2"/>
          <w:sz w:val="24"/>
          <w:szCs w:val="24"/>
          <w:lang w:eastAsia="zh-CN"/>
        </w:rPr>
        <w:t>2</w:t>
      </w:r>
      <w:r>
        <w:rPr>
          <w:rFonts w:hint="default" w:ascii="Times New Roman" w:hAnsi="Times New Roman" w:eastAsia="宋体" w:cs="Times New Roman"/>
          <w:color w:val="auto"/>
          <w:sz w:val="24"/>
          <w:szCs w:val="24"/>
          <w:lang w:eastAsia="zh-CN"/>
        </w:rPr>
        <w:t xml:space="preserve"> 进行多遇地震和罕遇地震作用下的结构变形验算。</w:t>
      </w:r>
    </w:p>
    <w:p w14:paraId="56E74392">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snapToGrid/>
          <w:color w:val="auto"/>
          <w:kern w:val="2"/>
          <w:sz w:val="24"/>
          <w:szCs w:val="24"/>
          <w:lang w:eastAsia="zh-CN"/>
        </w:rPr>
        <w:t>3</w:t>
      </w:r>
      <w:r>
        <w:rPr>
          <w:rFonts w:hint="default" w:ascii="Times New Roman" w:hAnsi="Times New Roman" w:eastAsia="宋体" w:cs="Times New Roman"/>
          <w:color w:val="auto"/>
          <w:sz w:val="24"/>
          <w:szCs w:val="24"/>
          <w:lang w:eastAsia="zh-CN"/>
        </w:rPr>
        <w:t xml:space="preserve"> 当结构变形不满足本规程第9.4节的规定时，应采取提高结构侧向刚度或设置消能减震装置的整体加固措施。</w:t>
      </w:r>
    </w:p>
    <w:p w14:paraId="70164534">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snapToGrid/>
          <w:color w:val="auto"/>
          <w:kern w:val="2"/>
          <w:sz w:val="24"/>
          <w:szCs w:val="24"/>
          <w:lang w:eastAsia="zh-CN"/>
        </w:rPr>
        <w:t>4</w:t>
      </w:r>
      <w:r>
        <w:rPr>
          <w:rFonts w:hint="default" w:ascii="Times New Roman" w:hAnsi="Times New Roman" w:eastAsia="宋体" w:cs="Times New Roman"/>
          <w:color w:val="auto"/>
          <w:sz w:val="24"/>
          <w:szCs w:val="24"/>
          <w:lang w:eastAsia="zh-CN"/>
        </w:rPr>
        <w:t xml:space="preserve"> 进行多遇地震、设防烈度地震和罕遇地震作用下的构件抗震承载力复核。</w:t>
      </w:r>
    </w:p>
    <w:p w14:paraId="31B470FD">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snapToGrid/>
          <w:color w:val="auto"/>
          <w:kern w:val="2"/>
          <w:sz w:val="24"/>
          <w:szCs w:val="24"/>
          <w:lang w:eastAsia="zh-CN"/>
        </w:rPr>
        <w:t>5</w:t>
      </w:r>
      <w:r>
        <w:rPr>
          <w:rFonts w:hint="default" w:ascii="Times New Roman" w:hAnsi="Times New Roman" w:eastAsia="宋体" w:cs="Times New Roman"/>
          <w:color w:val="auto"/>
          <w:sz w:val="24"/>
          <w:szCs w:val="24"/>
          <w:lang w:eastAsia="zh-CN"/>
        </w:rPr>
        <w:t xml:space="preserve"> 当存在抗震承载力不满足要求的结构构件时，应对不满足承载力要求的构件采取加固措施。</w:t>
      </w:r>
    </w:p>
    <w:p w14:paraId="42952CD8">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snapToGrid/>
          <w:color w:val="auto"/>
          <w:kern w:val="2"/>
          <w:sz w:val="24"/>
          <w:szCs w:val="24"/>
          <w:lang w:eastAsia="zh-CN"/>
        </w:rPr>
        <w:t xml:space="preserve">6 </w:t>
      </w:r>
      <w:r>
        <w:rPr>
          <w:rFonts w:hint="default" w:ascii="Times New Roman" w:hAnsi="Times New Roman" w:eastAsia="宋体" w:cs="Times New Roman"/>
          <w:color w:val="auto"/>
          <w:sz w:val="24"/>
          <w:szCs w:val="24"/>
          <w:lang w:eastAsia="zh-CN"/>
        </w:rPr>
        <w:t>计算罕遇地震作用下结构构件的弹塑性变形、材料应变或损伤变量。</w:t>
      </w:r>
    </w:p>
    <w:p w14:paraId="0A8C9D96">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snapToGrid/>
          <w:color w:val="auto"/>
          <w:kern w:val="2"/>
          <w:sz w:val="24"/>
          <w:szCs w:val="24"/>
          <w:lang w:eastAsia="zh-CN"/>
        </w:rPr>
        <w:t>7</w:t>
      </w:r>
      <w:r>
        <w:rPr>
          <w:rFonts w:hint="default" w:ascii="Times New Roman" w:hAnsi="Times New Roman" w:eastAsia="宋体" w:cs="Times New Roman"/>
          <w:b/>
          <w:snapToGrid/>
          <w:color w:val="auto"/>
          <w:kern w:val="2"/>
          <w:sz w:val="24"/>
          <w:szCs w:val="24"/>
          <w:lang w:val="en-US" w:eastAsia="zh-CN"/>
        </w:rPr>
        <w:t xml:space="preserve"> </w:t>
      </w:r>
      <w:r>
        <w:rPr>
          <w:rFonts w:hint="default" w:ascii="Times New Roman" w:hAnsi="Times New Roman" w:eastAsia="宋体" w:cs="Times New Roman"/>
          <w:color w:val="auto"/>
          <w:sz w:val="24"/>
          <w:szCs w:val="24"/>
          <w:lang w:eastAsia="zh-CN"/>
        </w:rPr>
        <w:t>复核结构构件的抗震构造措施；对抗震构造措施不满足要求的构件进行罕遇地震作用下的损坏等级评价；损坏等级评价不满足要求时应采取相应的抗震构造加固措施。</w:t>
      </w:r>
    </w:p>
    <w:p w14:paraId="2CAD4E77">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条文说明：抗震性能化设计首先应确定既有建筑结构的抗震性能目标，并采取能满足预期抗震性能目标的措施；其次应确定结构中的关键构件、普通竖向构件和耗能构件及其不同地震设防水准下的性能设计指标；验算不同地震设防水准下结构整体和构件是否满足预定的性能设计指标；对于复杂的部位、节点进行专项分析，必要时还应进行温度应力、楼盖舒适度等的计算。</w:t>
      </w:r>
    </w:p>
    <w:p w14:paraId="29084745">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当结构变形不满足要求时，说明结构整体刚度偏弱，此时不应再进一步放松抗震构造措施，应先采取提高结构侧向刚度的整体加固措施。</w:t>
      </w:r>
    </w:p>
    <w:p w14:paraId="5B8B928C">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当构件抗震承载力复核不满足要求时，如需进行承载力加固的构件数量不多，可对不满足承载力要求的构件采取加固措施；如需进行承载力加固的构件数量非常多，此时应采取提高结构侧向刚度的整体加固措施，以减少加固构件的数量。</w:t>
      </w:r>
    </w:p>
    <w:p w14:paraId="2DCA79F7">
      <w:pPr>
        <w:keepNext w:val="0"/>
        <w:keepLines w:val="0"/>
        <w:pageBreakBefore w:val="0"/>
        <w:widowControl w:val="0"/>
        <w:kinsoku/>
        <w:wordWrap/>
        <w:overflowPunct/>
        <w:topLinePunct w:val="0"/>
        <w:autoSpaceDE/>
        <w:autoSpaceDN/>
        <w:bidi w:val="0"/>
        <w:adjustRightInd/>
        <w:snapToGrid/>
        <w:spacing w:line="360" w:lineRule="exact"/>
        <w:ind w:right="0" w:firstLine="480" w:firstLineChars="20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在结构变形验算和构件承载力验算满足要求的前提下，可对抗震构造措施不满足要求的构件进行罕遇地震作用下的损坏等级评价，如损坏等级不超过允许损坏等级，可不采取加固措施，否则应采取相应的抗震构造加固措施。同样，当需进行构造加固的构件数量非常多时，宜采取提高结构侧向刚度的整体加固措施以减少加固构件数量，提高加固效率。</w:t>
      </w:r>
    </w:p>
    <w:p w14:paraId="0251B082">
      <w:pPr>
        <w:spacing w:line="360" w:lineRule="exact"/>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rPr>
        <w:t>9.1.1</w:t>
      </w:r>
      <w:r>
        <w:rPr>
          <w:rFonts w:hint="default" w:ascii="Times New Roman" w:hAnsi="Times New Roman" w:eastAsia="宋体" w:cs="Times New Roman"/>
          <w:b/>
          <w:color w:val="auto"/>
          <w:sz w:val="24"/>
          <w:szCs w:val="24"/>
          <w:lang w:val="en-US" w:eastAsia="zh-CN"/>
        </w:rPr>
        <w:t>1</w:t>
      </w:r>
      <w:r>
        <w:rPr>
          <w:rFonts w:hint="default" w:ascii="Times New Roman" w:hAnsi="Times New Roman" w:eastAsia="宋体" w:cs="Times New Roman"/>
          <w:b/>
          <w:color w:val="auto"/>
          <w:sz w:val="24"/>
          <w:szCs w:val="24"/>
        </w:rPr>
        <w:t xml:space="preserve"> </w:t>
      </w:r>
      <w:r>
        <w:rPr>
          <w:rFonts w:hint="default" w:ascii="Times New Roman" w:hAnsi="Times New Roman" w:eastAsia="宋体" w:cs="Times New Roman"/>
          <w:color w:val="auto"/>
          <w:sz w:val="24"/>
          <w:szCs w:val="24"/>
        </w:rPr>
        <w:t>结构构件承载力复核应符合本规程第9.4节的规定；结构构件的抗震构造措施复核和罕遇地震作用下损坏程度评价应符合本规程第9.4节的规定。</w:t>
      </w:r>
    </w:p>
    <w:p w14:paraId="2E324F29">
      <w:pPr>
        <w:spacing w:line="360" w:lineRule="exact"/>
        <w:rPr>
          <w:rFonts w:hint="default" w:ascii="Times New Roman" w:hAnsi="Times New Roman" w:eastAsia="宋体" w:cs="Times New Roman"/>
          <w:color w:val="auto"/>
          <w:sz w:val="24"/>
          <w:szCs w:val="24"/>
        </w:rPr>
      </w:pPr>
      <w:bookmarkStart w:id="195" w:name="OLE_LINK41"/>
      <w:bookmarkStart w:id="196" w:name="OLE_LINK40"/>
      <w:r>
        <w:rPr>
          <w:rFonts w:hint="default" w:ascii="Times New Roman" w:hAnsi="Times New Roman" w:eastAsia="宋体" w:cs="Times New Roman"/>
          <w:b/>
          <w:color w:val="auto"/>
          <w:sz w:val="24"/>
          <w:szCs w:val="24"/>
        </w:rPr>
        <w:t>9.1.1</w:t>
      </w:r>
      <w:r>
        <w:rPr>
          <w:rFonts w:hint="default" w:ascii="Times New Roman" w:hAnsi="Times New Roman" w:eastAsia="宋体" w:cs="Times New Roman"/>
          <w:b/>
          <w:color w:val="auto"/>
          <w:sz w:val="24"/>
          <w:szCs w:val="24"/>
          <w:lang w:val="en-US" w:eastAsia="zh-CN"/>
        </w:rPr>
        <w:t>2</w:t>
      </w:r>
      <w:r>
        <w:rPr>
          <w:rFonts w:hint="default" w:ascii="Times New Roman" w:hAnsi="Times New Roman" w:eastAsia="宋体" w:cs="Times New Roman"/>
          <w:color w:val="auto"/>
          <w:sz w:val="24"/>
          <w:szCs w:val="24"/>
        </w:rPr>
        <w:t xml:space="preserve"> </w:t>
      </w:r>
      <w:bookmarkEnd w:id="195"/>
      <w:bookmarkEnd w:id="196"/>
      <w:r>
        <w:rPr>
          <w:rFonts w:hint="default" w:ascii="Times New Roman" w:hAnsi="Times New Roman" w:eastAsia="宋体" w:cs="Times New Roman"/>
          <w:color w:val="auto"/>
          <w:sz w:val="24"/>
          <w:szCs w:val="24"/>
        </w:rPr>
        <w:t>抗震性能化设计过程中，当需进行承载力加固或构造加固的构件数量较多时，宜采取结构整体加固措施，并重新验算构件承载力和变形，直至满足预设的抗震性能目标。</w:t>
      </w:r>
    </w:p>
    <w:p w14:paraId="36B92CA1">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eastAsia" w:ascii="仿宋" w:hAnsi="仿宋" w:eastAsia="仿宋" w:cs="仿宋"/>
          <w:b w:val="0"/>
          <w:bCs w:val="0"/>
          <w:color w:val="0070C0"/>
          <w:spacing w:val="0"/>
          <w:sz w:val="24"/>
          <w:szCs w:val="24"/>
          <w:lang w:val="en-US" w:eastAsia="zh-CN"/>
        </w:rPr>
      </w:pPr>
      <w:r>
        <w:rPr>
          <w:rFonts w:hint="eastAsia" w:ascii="仿宋" w:hAnsi="仿宋" w:eastAsia="仿宋" w:cs="仿宋"/>
          <w:b w:val="0"/>
          <w:bCs w:val="0"/>
          <w:color w:val="0070C0"/>
          <w:spacing w:val="0"/>
          <w:sz w:val="24"/>
          <w:szCs w:val="24"/>
          <w:lang w:val="en-US" w:eastAsia="zh-CN"/>
        </w:rPr>
        <w:t>条文说明：当需采取整体加固措施时，可采用改变结构体系、局部增设剪力墙、支撑或者增设消能减震装置等方法；当需进行构件截面抗震承载力的加固时，可采用增大截面、粘贴纤维复合材料、外包型钢、粘贴钢板、置换构件或施加体外预应力等方法；当需进行构件的抗震构造加固时，可采用粘贴纤维复合材料、钢板等形成环形箍或U形箍等方法。</w:t>
      </w:r>
    </w:p>
    <w:p w14:paraId="6463B765">
      <w:pPr>
        <w:pStyle w:val="3"/>
        <w:bidi w:val="0"/>
        <w:rPr>
          <w:rFonts w:hint="default"/>
        </w:rPr>
      </w:pPr>
      <w:bookmarkStart w:id="197" w:name="_Toc198667604"/>
      <w:bookmarkStart w:id="198" w:name="_Toc30319"/>
      <w:bookmarkStart w:id="199" w:name="_Toc14386"/>
      <w:r>
        <w:rPr>
          <w:rFonts w:hint="default"/>
        </w:rPr>
        <w:t>9.2 性能目标和性能设计指标</w:t>
      </w:r>
      <w:bookmarkEnd w:id="197"/>
      <w:bookmarkEnd w:id="198"/>
      <w:bookmarkEnd w:id="199"/>
    </w:p>
    <w:p w14:paraId="512A2DD4">
      <w:pPr>
        <w:spacing w:before="120" w:after="120"/>
        <w:jc w:val="center"/>
        <w:rPr>
          <w:rFonts w:hint="default" w:ascii="Times New Roman" w:hAnsi="Times New Roman" w:eastAsia="宋体" w:cs="Times New Roman"/>
          <w:b/>
          <w:color w:val="auto"/>
          <w:sz w:val="24"/>
          <w:szCs w:val="24"/>
        </w:rPr>
      </w:pPr>
      <w:bookmarkStart w:id="200" w:name="_Toc750"/>
      <w:r>
        <w:rPr>
          <w:rFonts w:hint="default" w:ascii="Times New Roman" w:hAnsi="Times New Roman" w:eastAsia="宋体" w:cs="Times New Roman"/>
          <w:b/>
          <w:color w:val="auto"/>
          <w:sz w:val="24"/>
          <w:szCs w:val="24"/>
        </w:rPr>
        <w:t xml:space="preserve">I </w:t>
      </w:r>
      <w:r>
        <w:rPr>
          <w:rFonts w:hint="default" w:ascii="Times New Roman" w:hAnsi="Times New Roman" w:eastAsia="宋体" w:cs="Times New Roman"/>
          <w:color w:val="auto"/>
          <w:sz w:val="24"/>
          <w:szCs w:val="24"/>
        </w:rPr>
        <w:t>一般规定</w:t>
      </w:r>
      <w:bookmarkEnd w:id="200"/>
    </w:p>
    <w:p w14:paraId="16099A41">
      <w:pPr>
        <w:spacing w:line="360" w:lineRule="exact"/>
        <w:rPr>
          <w:rFonts w:hint="default" w:ascii="Times New Roman" w:hAnsi="Times New Roman" w:eastAsia="宋体" w:cs="Times New Roman"/>
          <w:color w:val="auto"/>
          <w:sz w:val="24"/>
          <w:szCs w:val="24"/>
        </w:rPr>
      </w:pPr>
      <w:bookmarkStart w:id="201" w:name="OLE_LINK42"/>
      <w:r>
        <w:rPr>
          <w:rFonts w:hint="default" w:ascii="Times New Roman" w:hAnsi="Times New Roman" w:eastAsia="宋体" w:cs="Times New Roman"/>
          <w:b/>
          <w:color w:val="auto"/>
          <w:sz w:val="24"/>
          <w:szCs w:val="24"/>
        </w:rPr>
        <w:t xml:space="preserve">9.2.1 </w:t>
      </w:r>
      <w:bookmarkEnd w:id="201"/>
      <w:r>
        <w:rPr>
          <w:rFonts w:hint="default" w:ascii="Times New Roman" w:hAnsi="Times New Roman" w:eastAsia="宋体" w:cs="Times New Roman"/>
          <w:color w:val="auto"/>
          <w:sz w:val="24"/>
          <w:szCs w:val="24"/>
        </w:rPr>
        <w:t>抗震性能化加固设计应根据既有建筑的重要性和结构的复杂程度等因素，确定结构的抗震性能目标和构件的性能设计指标，通过定量分析，评价在不同地震水准作用下构件的屈服次序、损坏程度和结构的破坏机制。</w:t>
      </w:r>
    </w:p>
    <w:p w14:paraId="61C49FCB">
      <w:pPr>
        <w:spacing w:line="360" w:lineRule="exact"/>
        <w:rPr>
          <w:rFonts w:hint="default" w:ascii="Times New Roman" w:hAnsi="Times New Roman" w:eastAsia="宋体" w:cs="Times New Roman"/>
          <w:color w:val="auto"/>
          <w:sz w:val="24"/>
          <w:szCs w:val="24"/>
        </w:rPr>
      </w:pPr>
      <w:bookmarkStart w:id="202" w:name="OLE_LINK43"/>
      <w:bookmarkStart w:id="203" w:name="OLE_LINK44"/>
      <w:r>
        <w:rPr>
          <w:rFonts w:hint="default" w:ascii="Times New Roman" w:hAnsi="Times New Roman" w:eastAsia="宋体" w:cs="Times New Roman"/>
          <w:b/>
          <w:color w:val="auto"/>
          <w:sz w:val="24"/>
          <w:szCs w:val="24"/>
        </w:rPr>
        <w:t xml:space="preserve">9.2.2 </w:t>
      </w:r>
      <w:bookmarkEnd w:id="202"/>
      <w:bookmarkEnd w:id="203"/>
      <w:r>
        <w:rPr>
          <w:rFonts w:hint="default" w:ascii="Times New Roman" w:hAnsi="Times New Roman" w:eastAsia="宋体" w:cs="Times New Roman"/>
          <w:color w:val="auto"/>
          <w:sz w:val="24"/>
          <w:szCs w:val="24"/>
        </w:rPr>
        <w:t>既有建筑结构抗震性能化设计时，应根据竖向荷载传递和抗侧力的重要性，将结构中的构件划分为关键构件、普通竖向构件和耗能构件。失效可能引起结构连续破坏或危及生命安全的构件，应划为关键构件；剪力墙连梁、耗能支撑、框架梁等构件，宜划为耗能构件；关键构件以外的竖向构件可划为普通竖向构件。</w:t>
      </w:r>
    </w:p>
    <w:p w14:paraId="3741D2FC">
      <w:pPr>
        <w:spacing w:line="360" w:lineRule="exact"/>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rPr>
        <w:t xml:space="preserve">9.2.3 </w:t>
      </w:r>
      <w:r>
        <w:rPr>
          <w:rFonts w:hint="default" w:ascii="Times New Roman" w:hAnsi="Times New Roman" w:eastAsia="宋体" w:cs="Times New Roman"/>
          <w:color w:val="auto"/>
          <w:sz w:val="24"/>
          <w:szCs w:val="24"/>
        </w:rPr>
        <w:t>既有建筑结构应具有合理的屈服机制和良好的耗能能力，弹塑性耗能应发生在预设的区域和构件上，罕遇地震作用下应具有合适的承载能力和足够的变形能力，避免因局部构件或节点的破坏导致整个结构丧失承载力。</w:t>
      </w:r>
    </w:p>
    <w:p w14:paraId="0000E153">
      <w:pPr>
        <w:spacing w:before="120" w:after="120"/>
        <w:jc w:val="center"/>
        <w:rPr>
          <w:rFonts w:hint="default" w:ascii="Times New Roman" w:hAnsi="Times New Roman" w:eastAsia="宋体" w:cs="Times New Roman"/>
          <w:b/>
          <w:color w:val="auto"/>
          <w:sz w:val="24"/>
          <w:szCs w:val="24"/>
        </w:rPr>
      </w:pPr>
      <w:bookmarkStart w:id="204" w:name="_Toc11701"/>
      <w:r>
        <w:rPr>
          <w:rFonts w:hint="default" w:ascii="Times New Roman" w:hAnsi="Times New Roman" w:eastAsia="宋体" w:cs="Times New Roman"/>
          <w:b/>
          <w:color w:val="auto"/>
          <w:sz w:val="24"/>
          <w:szCs w:val="24"/>
        </w:rPr>
        <w:t>II</w:t>
      </w:r>
      <w:r>
        <w:rPr>
          <w:rFonts w:hint="default" w:ascii="Times New Roman" w:hAnsi="Times New Roman" w:eastAsia="宋体" w:cs="Times New Roman"/>
          <w:color w:val="auto"/>
          <w:sz w:val="24"/>
          <w:szCs w:val="24"/>
        </w:rPr>
        <w:t xml:space="preserve"> 抗震性能水准和性能目标</w:t>
      </w:r>
      <w:bookmarkEnd w:id="204"/>
    </w:p>
    <w:p w14:paraId="1BB11576">
      <w:pPr>
        <w:spacing w:line="360" w:lineRule="exact"/>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rPr>
        <w:t xml:space="preserve">9.2.4 </w:t>
      </w:r>
      <w:r>
        <w:rPr>
          <w:rFonts w:hint="default" w:ascii="Times New Roman" w:hAnsi="Times New Roman" w:eastAsia="宋体" w:cs="Times New Roman"/>
          <w:color w:val="auto"/>
          <w:sz w:val="24"/>
          <w:szCs w:val="24"/>
        </w:rPr>
        <w:t>既有建筑结构的抗震性能水准可根据地震作用下结构和构件的损坏程度及继续使用的可能性分为1、2、3、4、5五个等级。结构和构件在不同抗震性能水准下的预期震后性能状况和损坏等级可按表9.2.4确定。</w:t>
      </w:r>
    </w:p>
    <w:p w14:paraId="0EBE3B46">
      <w:pPr>
        <w:pStyle w:val="65"/>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表9.2.4 结构的抗震性能水准</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1134"/>
        <w:gridCol w:w="1134"/>
        <w:gridCol w:w="1701"/>
        <w:gridCol w:w="1701"/>
        <w:gridCol w:w="1497"/>
      </w:tblGrid>
      <w:tr w14:paraId="1AB2E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restart"/>
            <w:vAlign w:val="center"/>
          </w:tcPr>
          <w:p w14:paraId="59E2DB1E">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结构抗震</w:t>
            </w:r>
          </w:p>
          <w:p w14:paraId="27B9D802">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性能水准</w:t>
            </w:r>
          </w:p>
        </w:tc>
        <w:tc>
          <w:tcPr>
            <w:tcW w:w="1134" w:type="dxa"/>
            <w:vMerge w:val="restart"/>
            <w:vAlign w:val="center"/>
          </w:tcPr>
          <w:p w14:paraId="435A9768">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结构宏观</w:t>
            </w:r>
          </w:p>
          <w:p w14:paraId="30759F4A">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损坏程度</w:t>
            </w:r>
          </w:p>
        </w:tc>
        <w:tc>
          <w:tcPr>
            <w:tcW w:w="4536" w:type="dxa"/>
            <w:gridSpan w:val="3"/>
            <w:vAlign w:val="center"/>
          </w:tcPr>
          <w:p w14:paraId="3A98FB44">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构件损坏程度</w:t>
            </w:r>
          </w:p>
        </w:tc>
        <w:tc>
          <w:tcPr>
            <w:tcW w:w="1497" w:type="dxa"/>
            <w:vMerge w:val="restart"/>
            <w:vAlign w:val="center"/>
          </w:tcPr>
          <w:p w14:paraId="7F4C0D14">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继续使用</w:t>
            </w:r>
          </w:p>
          <w:p w14:paraId="6F86A2D1">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的可能性</w:t>
            </w:r>
          </w:p>
        </w:tc>
      </w:tr>
      <w:tr w14:paraId="2DB5E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14:paraId="3E16CF89">
            <w:pPr>
              <w:pStyle w:val="57"/>
              <w:rPr>
                <w:rFonts w:hint="default" w:ascii="Times New Roman" w:hAnsi="Times New Roman" w:eastAsia="宋体" w:cs="Times New Roman"/>
                <w:color w:val="auto"/>
                <w:sz w:val="24"/>
                <w:szCs w:val="24"/>
              </w:rPr>
            </w:pPr>
          </w:p>
        </w:tc>
        <w:tc>
          <w:tcPr>
            <w:tcW w:w="1134" w:type="dxa"/>
            <w:vMerge w:val="continue"/>
            <w:vAlign w:val="center"/>
          </w:tcPr>
          <w:p w14:paraId="5249EB80">
            <w:pPr>
              <w:pStyle w:val="57"/>
              <w:rPr>
                <w:rFonts w:hint="default" w:ascii="Times New Roman" w:hAnsi="Times New Roman" w:eastAsia="宋体" w:cs="Times New Roman"/>
                <w:color w:val="auto"/>
                <w:sz w:val="24"/>
                <w:szCs w:val="24"/>
              </w:rPr>
            </w:pPr>
          </w:p>
        </w:tc>
        <w:tc>
          <w:tcPr>
            <w:tcW w:w="1134" w:type="dxa"/>
            <w:vAlign w:val="center"/>
          </w:tcPr>
          <w:p w14:paraId="48FEDC88">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关键构件</w:t>
            </w:r>
          </w:p>
        </w:tc>
        <w:tc>
          <w:tcPr>
            <w:tcW w:w="1701" w:type="dxa"/>
            <w:vAlign w:val="center"/>
          </w:tcPr>
          <w:p w14:paraId="48087477">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普通竖向构件</w:t>
            </w:r>
          </w:p>
        </w:tc>
        <w:tc>
          <w:tcPr>
            <w:tcW w:w="1701" w:type="dxa"/>
            <w:vAlign w:val="center"/>
          </w:tcPr>
          <w:p w14:paraId="281C81BF">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耗能构件</w:t>
            </w:r>
          </w:p>
        </w:tc>
        <w:tc>
          <w:tcPr>
            <w:tcW w:w="1497" w:type="dxa"/>
            <w:vMerge w:val="continue"/>
            <w:vAlign w:val="center"/>
          </w:tcPr>
          <w:p w14:paraId="6E521F13">
            <w:pPr>
              <w:pStyle w:val="57"/>
              <w:rPr>
                <w:rFonts w:hint="default" w:ascii="Times New Roman" w:hAnsi="Times New Roman" w:eastAsia="宋体" w:cs="Times New Roman"/>
                <w:color w:val="auto"/>
                <w:sz w:val="24"/>
                <w:szCs w:val="24"/>
              </w:rPr>
            </w:pPr>
          </w:p>
        </w:tc>
      </w:tr>
      <w:tr w14:paraId="3487B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334FFC44">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p>
        </w:tc>
        <w:tc>
          <w:tcPr>
            <w:tcW w:w="1134" w:type="dxa"/>
            <w:vAlign w:val="center"/>
          </w:tcPr>
          <w:p w14:paraId="3F49F080">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完好、</w:t>
            </w:r>
          </w:p>
          <w:p w14:paraId="19743209">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无损坏</w:t>
            </w:r>
          </w:p>
        </w:tc>
        <w:tc>
          <w:tcPr>
            <w:tcW w:w="1134" w:type="dxa"/>
            <w:vAlign w:val="center"/>
          </w:tcPr>
          <w:p w14:paraId="78A63CFF">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无损坏</w:t>
            </w:r>
          </w:p>
        </w:tc>
        <w:tc>
          <w:tcPr>
            <w:tcW w:w="1701" w:type="dxa"/>
            <w:vAlign w:val="center"/>
          </w:tcPr>
          <w:p w14:paraId="504225B5">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无损坏</w:t>
            </w:r>
          </w:p>
        </w:tc>
        <w:tc>
          <w:tcPr>
            <w:tcW w:w="1701" w:type="dxa"/>
            <w:vAlign w:val="center"/>
          </w:tcPr>
          <w:p w14:paraId="288CA4A5">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无损坏</w:t>
            </w:r>
          </w:p>
        </w:tc>
        <w:tc>
          <w:tcPr>
            <w:tcW w:w="1497" w:type="dxa"/>
            <w:vAlign w:val="center"/>
          </w:tcPr>
          <w:p w14:paraId="15515D33">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不需修理即</w:t>
            </w:r>
          </w:p>
          <w:p w14:paraId="64792C54">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可继续使用</w:t>
            </w:r>
          </w:p>
        </w:tc>
      </w:tr>
      <w:tr w14:paraId="0BD04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6ACAFB57">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w:t>
            </w:r>
          </w:p>
        </w:tc>
        <w:tc>
          <w:tcPr>
            <w:tcW w:w="1134" w:type="dxa"/>
            <w:vAlign w:val="center"/>
          </w:tcPr>
          <w:p w14:paraId="2D7B8F36">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基本完好、</w:t>
            </w:r>
          </w:p>
          <w:p w14:paraId="172F3344">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轻微损坏</w:t>
            </w:r>
          </w:p>
        </w:tc>
        <w:tc>
          <w:tcPr>
            <w:tcW w:w="1134" w:type="dxa"/>
            <w:vAlign w:val="center"/>
          </w:tcPr>
          <w:p w14:paraId="4B5C6244">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无损坏</w:t>
            </w:r>
          </w:p>
        </w:tc>
        <w:tc>
          <w:tcPr>
            <w:tcW w:w="1701" w:type="dxa"/>
            <w:vAlign w:val="center"/>
          </w:tcPr>
          <w:p w14:paraId="0F8C53C2">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无损坏</w:t>
            </w:r>
          </w:p>
        </w:tc>
        <w:tc>
          <w:tcPr>
            <w:tcW w:w="1701" w:type="dxa"/>
            <w:vAlign w:val="center"/>
          </w:tcPr>
          <w:p w14:paraId="780727DE">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轻微损坏</w:t>
            </w:r>
          </w:p>
        </w:tc>
        <w:tc>
          <w:tcPr>
            <w:tcW w:w="1497" w:type="dxa"/>
            <w:vAlign w:val="center"/>
          </w:tcPr>
          <w:p w14:paraId="36AFE8DF">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稍加修理即</w:t>
            </w:r>
          </w:p>
          <w:p w14:paraId="60D5993F">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可继续使用</w:t>
            </w:r>
          </w:p>
        </w:tc>
      </w:tr>
      <w:tr w14:paraId="4BC80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745CDCD3">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w:t>
            </w:r>
          </w:p>
        </w:tc>
        <w:tc>
          <w:tcPr>
            <w:tcW w:w="1134" w:type="dxa"/>
            <w:vAlign w:val="center"/>
          </w:tcPr>
          <w:p w14:paraId="10A85AE2">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轻微损坏</w:t>
            </w:r>
          </w:p>
        </w:tc>
        <w:tc>
          <w:tcPr>
            <w:tcW w:w="1134" w:type="dxa"/>
            <w:vAlign w:val="center"/>
          </w:tcPr>
          <w:p w14:paraId="677F43FC">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轻微损坏</w:t>
            </w:r>
          </w:p>
        </w:tc>
        <w:tc>
          <w:tcPr>
            <w:tcW w:w="1701" w:type="dxa"/>
            <w:vAlign w:val="center"/>
          </w:tcPr>
          <w:p w14:paraId="2B58A968">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轻微损坏</w:t>
            </w:r>
          </w:p>
        </w:tc>
        <w:tc>
          <w:tcPr>
            <w:tcW w:w="1701" w:type="dxa"/>
            <w:vAlign w:val="center"/>
          </w:tcPr>
          <w:p w14:paraId="6AE4ABB4">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轻度损坏、</w:t>
            </w:r>
          </w:p>
          <w:p w14:paraId="693ED909">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部分中度损坏</w:t>
            </w:r>
          </w:p>
        </w:tc>
        <w:tc>
          <w:tcPr>
            <w:tcW w:w="1497" w:type="dxa"/>
            <w:vAlign w:val="center"/>
          </w:tcPr>
          <w:p w14:paraId="73437657">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一般修理后</w:t>
            </w:r>
          </w:p>
          <w:p w14:paraId="0EDF50BB">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可继续使用</w:t>
            </w:r>
          </w:p>
        </w:tc>
      </w:tr>
      <w:tr w14:paraId="4314E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15EE749A">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w:t>
            </w:r>
          </w:p>
        </w:tc>
        <w:tc>
          <w:tcPr>
            <w:tcW w:w="1134" w:type="dxa"/>
            <w:vAlign w:val="center"/>
          </w:tcPr>
          <w:p w14:paraId="0A949CCC">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中度损坏</w:t>
            </w:r>
          </w:p>
        </w:tc>
        <w:tc>
          <w:tcPr>
            <w:tcW w:w="1134" w:type="dxa"/>
            <w:vAlign w:val="center"/>
          </w:tcPr>
          <w:p w14:paraId="38FBD1A7">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轻度损坏</w:t>
            </w:r>
          </w:p>
        </w:tc>
        <w:tc>
          <w:tcPr>
            <w:tcW w:w="1701" w:type="dxa"/>
            <w:vAlign w:val="center"/>
          </w:tcPr>
          <w:p w14:paraId="64FF0B9B">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部分构件</w:t>
            </w:r>
          </w:p>
          <w:p w14:paraId="3930E718">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中度损坏</w:t>
            </w:r>
          </w:p>
        </w:tc>
        <w:tc>
          <w:tcPr>
            <w:tcW w:w="1701" w:type="dxa"/>
            <w:vAlign w:val="center"/>
          </w:tcPr>
          <w:p w14:paraId="2354DBF0">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中度损坏、部分比较严重损坏</w:t>
            </w:r>
          </w:p>
        </w:tc>
        <w:tc>
          <w:tcPr>
            <w:tcW w:w="1497" w:type="dxa"/>
            <w:vAlign w:val="center"/>
          </w:tcPr>
          <w:p w14:paraId="2BF099DF">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修复或加固后可继续使用</w:t>
            </w:r>
          </w:p>
        </w:tc>
      </w:tr>
      <w:tr w14:paraId="538DB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1E9A16FF">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w:t>
            </w:r>
          </w:p>
        </w:tc>
        <w:tc>
          <w:tcPr>
            <w:tcW w:w="1134" w:type="dxa"/>
            <w:vAlign w:val="center"/>
          </w:tcPr>
          <w:p w14:paraId="62F554E4">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比较严重</w:t>
            </w:r>
          </w:p>
          <w:p w14:paraId="7516602D">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损坏</w:t>
            </w:r>
          </w:p>
        </w:tc>
        <w:tc>
          <w:tcPr>
            <w:tcW w:w="1134" w:type="dxa"/>
            <w:vAlign w:val="center"/>
          </w:tcPr>
          <w:p w14:paraId="7D831CF0">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中度损坏</w:t>
            </w:r>
          </w:p>
        </w:tc>
        <w:tc>
          <w:tcPr>
            <w:tcW w:w="1701" w:type="dxa"/>
            <w:vAlign w:val="center"/>
          </w:tcPr>
          <w:p w14:paraId="7C8FE9DC">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中度损坏、部分比较严重损坏</w:t>
            </w:r>
          </w:p>
        </w:tc>
        <w:tc>
          <w:tcPr>
            <w:tcW w:w="1701" w:type="dxa"/>
            <w:vAlign w:val="center"/>
          </w:tcPr>
          <w:p w14:paraId="317D3D85">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比较严重损坏</w:t>
            </w:r>
          </w:p>
        </w:tc>
        <w:tc>
          <w:tcPr>
            <w:tcW w:w="1497" w:type="dxa"/>
            <w:vAlign w:val="center"/>
          </w:tcPr>
          <w:p w14:paraId="287F26B9">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需排险大修</w:t>
            </w:r>
          </w:p>
        </w:tc>
      </w:tr>
      <w:tr w14:paraId="2525C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gridSpan w:val="6"/>
            <w:vAlign w:val="center"/>
          </w:tcPr>
          <w:p w14:paraId="6E3FA119">
            <w:pPr>
              <w:pStyle w:val="57"/>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1"/>
                <w:szCs w:val="21"/>
              </w:rPr>
              <w:t>注：表中“部分”指同类构件中占比30%及以下。</w:t>
            </w:r>
          </w:p>
        </w:tc>
      </w:tr>
    </w:tbl>
    <w:p w14:paraId="378AC212">
      <w:pPr>
        <w:spacing w:line="360" w:lineRule="exact"/>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rPr>
        <w:t xml:space="preserve">9.2.5 </w:t>
      </w:r>
      <w:r>
        <w:rPr>
          <w:rFonts w:hint="default" w:ascii="Times New Roman" w:hAnsi="Times New Roman" w:eastAsia="宋体" w:cs="Times New Roman"/>
          <w:color w:val="auto"/>
          <w:sz w:val="24"/>
          <w:szCs w:val="24"/>
        </w:rPr>
        <w:t>既有建筑结构抗震性能目标可分为A、B、C</w:t>
      </w:r>
      <w:r>
        <w:rPr>
          <w:rFonts w:hint="default" w:ascii="Times New Roman" w:hAnsi="Times New Roman" w:eastAsia="宋体" w:cs="Times New Roman"/>
          <w:color w:val="auto"/>
          <w:sz w:val="24"/>
          <w:szCs w:val="24"/>
          <w:vertAlign w:val="superscript"/>
        </w:rPr>
        <w:t>+</w:t>
      </w:r>
      <w:r>
        <w:rPr>
          <w:rFonts w:hint="default" w:ascii="Times New Roman" w:hAnsi="Times New Roman" w:eastAsia="宋体" w:cs="Times New Roman"/>
          <w:color w:val="auto"/>
          <w:sz w:val="24"/>
          <w:szCs w:val="24"/>
        </w:rPr>
        <w:t>、C、D</w:t>
      </w:r>
      <w:r>
        <w:rPr>
          <w:rFonts w:hint="default" w:ascii="Times New Roman" w:hAnsi="Times New Roman" w:eastAsia="宋体" w:cs="Times New Roman"/>
          <w:color w:val="auto"/>
          <w:sz w:val="24"/>
          <w:szCs w:val="24"/>
          <w:vertAlign w:val="superscript"/>
        </w:rPr>
        <w:t>+</w:t>
      </w:r>
      <w:r>
        <w:rPr>
          <w:rFonts w:hint="default" w:ascii="Times New Roman" w:hAnsi="Times New Roman" w:eastAsia="宋体" w:cs="Times New Roman"/>
          <w:color w:val="auto"/>
          <w:sz w:val="24"/>
          <w:szCs w:val="24"/>
        </w:rPr>
        <w:t>、D六个等级，每个性能目标应与一组在指定地震水准下的结构抗震性能水准相对应。不同抗震性能目标对应的最低抗震性能水准应符合表9.2.5的规定。</w:t>
      </w:r>
    </w:p>
    <w:p w14:paraId="6987807C">
      <w:pPr>
        <w:pStyle w:val="65"/>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表</w:t>
      </w:r>
      <w:r>
        <w:rPr>
          <w:rFonts w:hint="default" w:ascii="Times New Roman" w:hAnsi="Times New Roman" w:eastAsia="宋体" w:cs="Times New Roman"/>
          <w:b/>
          <w:bCs w:val="0"/>
          <w:color w:val="auto"/>
          <w:sz w:val="28"/>
          <w:szCs w:val="28"/>
        </w:rPr>
        <w:t>9.2.5</w:t>
      </w:r>
      <w:r>
        <w:rPr>
          <w:rFonts w:hint="default" w:ascii="Times New Roman" w:hAnsi="Times New Roman" w:eastAsia="宋体" w:cs="Times New Roman"/>
          <w:color w:val="auto"/>
          <w:sz w:val="28"/>
          <w:szCs w:val="28"/>
        </w:rPr>
        <w:t xml:space="preserve"> 结构的抗震性能目标</w:t>
      </w:r>
    </w:p>
    <w:tbl>
      <w:tblPr>
        <w:tblStyle w:val="25"/>
        <w:tblW w:w="406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4"/>
        <w:gridCol w:w="878"/>
        <w:gridCol w:w="851"/>
        <w:gridCol w:w="1037"/>
        <w:gridCol w:w="851"/>
        <w:gridCol w:w="1063"/>
        <w:gridCol w:w="878"/>
      </w:tblGrid>
      <w:tr w14:paraId="1EC7F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2" w:type="pct"/>
            <w:vMerge w:val="restart"/>
            <w:vAlign w:val="center"/>
          </w:tcPr>
          <w:p w14:paraId="0826E765">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地震水准</w:t>
            </w:r>
          </w:p>
        </w:tc>
        <w:tc>
          <w:tcPr>
            <w:tcW w:w="3388" w:type="pct"/>
            <w:gridSpan w:val="6"/>
            <w:vAlign w:val="center"/>
          </w:tcPr>
          <w:p w14:paraId="000BE3F1">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性能目标</w:t>
            </w:r>
          </w:p>
        </w:tc>
      </w:tr>
      <w:tr w14:paraId="304FC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2" w:type="pct"/>
            <w:vMerge w:val="continue"/>
            <w:vAlign w:val="center"/>
          </w:tcPr>
          <w:p w14:paraId="1B814DDB">
            <w:pPr>
              <w:pStyle w:val="57"/>
              <w:rPr>
                <w:rFonts w:hint="default" w:ascii="Times New Roman" w:hAnsi="Times New Roman" w:eastAsia="宋体" w:cs="Times New Roman"/>
                <w:color w:val="auto"/>
                <w:sz w:val="24"/>
                <w:szCs w:val="24"/>
              </w:rPr>
            </w:pPr>
          </w:p>
        </w:tc>
        <w:tc>
          <w:tcPr>
            <w:tcW w:w="535" w:type="pct"/>
            <w:vAlign w:val="center"/>
          </w:tcPr>
          <w:p w14:paraId="1C9E99C1">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A</w:t>
            </w:r>
          </w:p>
        </w:tc>
        <w:tc>
          <w:tcPr>
            <w:tcW w:w="519" w:type="pct"/>
            <w:vAlign w:val="center"/>
          </w:tcPr>
          <w:p w14:paraId="022B529E">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B</w:t>
            </w:r>
          </w:p>
        </w:tc>
        <w:tc>
          <w:tcPr>
            <w:tcW w:w="632" w:type="pct"/>
            <w:vAlign w:val="center"/>
          </w:tcPr>
          <w:p w14:paraId="6F70C066">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C+</w:t>
            </w:r>
          </w:p>
        </w:tc>
        <w:tc>
          <w:tcPr>
            <w:tcW w:w="519" w:type="pct"/>
            <w:vAlign w:val="center"/>
          </w:tcPr>
          <w:p w14:paraId="483682D6">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C</w:t>
            </w:r>
          </w:p>
        </w:tc>
        <w:tc>
          <w:tcPr>
            <w:tcW w:w="648" w:type="pct"/>
            <w:vAlign w:val="center"/>
          </w:tcPr>
          <w:p w14:paraId="13000C6C">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D+</w:t>
            </w:r>
          </w:p>
        </w:tc>
        <w:tc>
          <w:tcPr>
            <w:tcW w:w="535" w:type="pct"/>
          </w:tcPr>
          <w:p w14:paraId="462E87B4">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D</w:t>
            </w:r>
          </w:p>
        </w:tc>
      </w:tr>
      <w:tr w14:paraId="7D860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2" w:type="pct"/>
            <w:vAlign w:val="center"/>
          </w:tcPr>
          <w:p w14:paraId="7024D40B">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多遇地震（小震）</w:t>
            </w:r>
          </w:p>
        </w:tc>
        <w:tc>
          <w:tcPr>
            <w:tcW w:w="535" w:type="pct"/>
            <w:vAlign w:val="center"/>
          </w:tcPr>
          <w:p w14:paraId="598AFEC3">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p>
        </w:tc>
        <w:tc>
          <w:tcPr>
            <w:tcW w:w="519" w:type="pct"/>
            <w:vAlign w:val="center"/>
          </w:tcPr>
          <w:p w14:paraId="0079B65A">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p>
        </w:tc>
        <w:tc>
          <w:tcPr>
            <w:tcW w:w="632" w:type="pct"/>
            <w:vAlign w:val="center"/>
          </w:tcPr>
          <w:p w14:paraId="1D82C446">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p>
        </w:tc>
        <w:tc>
          <w:tcPr>
            <w:tcW w:w="519" w:type="pct"/>
            <w:vAlign w:val="center"/>
          </w:tcPr>
          <w:p w14:paraId="1803E677">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p>
        </w:tc>
        <w:tc>
          <w:tcPr>
            <w:tcW w:w="648" w:type="pct"/>
            <w:vAlign w:val="center"/>
          </w:tcPr>
          <w:p w14:paraId="224EB6CA">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p>
        </w:tc>
        <w:tc>
          <w:tcPr>
            <w:tcW w:w="535" w:type="pct"/>
          </w:tcPr>
          <w:p w14:paraId="119D5376">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p>
        </w:tc>
      </w:tr>
      <w:tr w14:paraId="2D266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2" w:type="pct"/>
            <w:vAlign w:val="center"/>
          </w:tcPr>
          <w:p w14:paraId="7D209273">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设防地震（中震）</w:t>
            </w:r>
          </w:p>
        </w:tc>
        <w:tc>
          <w:tcPr>
            <w:tcW w:w="535" w:type="pct"/>
            <w:vAlign w:val="center"/>
          </w:tcPr>
          <w:p w14:paraId="3635FD4C">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p>
        </w:tc>
        <w:tc>
          <w:tcPr>
            <w:tcW w:w="519" w:type="pct"/>
            <w:vAlign w:val="center"/>
          </w:tcPr>
          <w:p w14:paraId="2569ED77">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w:t>
            </w:r>
          </w:p>
        </w:tc>
        <w:tc>
          <w:tcPr>
            <w:tcW w:w="632" w:type="pct"/>
            <w:vAlign w:val="center"/>
          </w:tcPr>
          <w:p w14:paraId="5787DE8D">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w:t>
            </w:r>
          </w:p>
        </w:tc>
        <w:tc>
          <w:tcPr>
            <w:tcW w:w="519" w:type="pct"/>
            <w:vAlign w:val="center"/>
          </w:tcPr>
          <w:p w14:paraId="2DC547F2">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w:t>
            </w:r>
          </w:p>
        </w:tc>
        <w:tc>
          <w:tcPr>
            <w:tcW w:w="648" w:type="pct"/>
            <w:vAlign w:val="center"/>
          </w:tcPr>
          <w:p w14:paraId="1E77B562">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w:t>
            </w:r>
          </w:p>
        </w:tc>
        <w:tc>
          <w:tcPr>
            <w:tcW w:w="535" w:type="pct"/>
          </w:tcPr>
          <w:p w14:paraId="5A9ABDCD">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w:t>
            </w:r>
          </w:p>
        </w:tc>
      </w:tr>
      <w:tr w14:paraId="5E867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2" w:type="pct"/>
            <w:vAlign w:val="center"/>
          </w:tcPr>
          <w:p w14:paraId="7FDC6EB2">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罕遇地震（大震）</w:t>
            </w:r>
          </w:p>
        </w:tc>
        <w:tc>
          <w:tcPr>
            <w:tcW w:w="535" w:type="pct"/>
            <w:vAlign w:val="center"/>
          </w:tcPr>
          <w:p w14:paraId="3263C461">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w:t>
            </w:r>
          </w:p>
        </w:tc>
        <w:tc>
          <w:tcPr>
            <w:tcW w:w="519" w:type="pct"/>
            <w:vAlign w:val="center"/>
          </w:tcPr>
          <w:p w14:paraId="5ADF2D51">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w:t>
            </w:r>
          </w:p>
        </w:tc>
        <w:tc>
          <w:tcPr>
            <w:tcW w:w="632" w:type="pct"/>
            <w:vAlign w:val="center"/>
          </w:tcPr>
          <w:p w14:paraId="4E77DE58">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w:t>
            </w:r>
          </w:p>
        </w:tc>
        <w:tc>
          <w:tcPr>
            <w:tcW w:w="519" w:type="pct"/>
            <w:vAlign w:val="center"/>
          </w:tcPr>
          <w:p w14:paraId="13A780AE">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w:t>
            </w:r>
          </w:p>
        </w:tc>
        <w:tc>
          <w:tcPr>
            <w:tcW w:w="648" w:type="pct"/>
            <w:vAlign w:val="center"/>
          </w:tcPr>
          <w:p w14:paraId="4E04F95C">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w:t>
            </w:r>
          </w:p>
        </w:tc>
        <w:tc>
          <w:tcPr>
            <w:tcW w:w="535" w:type="pct"/>
          </w:tcPr>
          <w:p w14:paraId="13BF71BC">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w:t>
            </w:r>
          </w:p>
        </w:tc>
      </w:tr>
    </w:tbl>
    <w:p w14:paraId="63AC4855">
      <w:pPr>
        <w:rPr>
          <w:rFonts w:hint="default" w:ascii="Times New Roman" w:hAnsi="Times New Roman" w:eastAsia="宋体" w:cs="Times New Roman"/>
          <w:b/>
          <w:color w:val="auto"/>
          <w:sz w:val="24"/>
          <w:szCs w:val="24"/>
        </w:rPr>
      </w:pPr>
    </w:p>
    <w:p w14:paraId="2AEC8F2A">
      <w:pPr>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rPr>
        <w:t>9.2.6</w:t>
      </w:r>
      <w:r>
        <w:rPr>
          <w:rFonts w:hint="default" w:ascii="Times New Roman" w:hAnsi="Times New Roman" w:eastAsia="宋体" w:cs="Times New Roman"/>
          <w:color w:val="auto"/>
          <w:sz w:val="24"/>
          <w:szCs w:val="24"/>
        </w:rPr>
        <w:t xml:space="preserve"> 既有建筑结构抗震加固设计的性能目标应根据下列因素，并经技术和经济可行性分析比较后确定：</w:t>
      </w:r>
    </w:p>
    <w:p w14:paraId="115CA7EF">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snapToGrid/>
          <w:color w:val="auto"/>
          <w:kern w:val="2"/>
          <w:sz w:val="24"/>
          <w:szCs w:val="24"/>
          <w:lang w:eastAsia="zh-CN"/>
        </w:rPr>
        <w:t>1</w:t>
      </w:r>
      <w:r>
        <w:rPr>
          <w:rFonts w:hint="default" w:ascii="Times New Roman" w:hAnsi="Times New Roman" w:eastAsia="宋体" w:cs="Times New Roman"/>
          <w:color w:val="auto"/>
          <w:sz w:val="24"/>
          <w:szCs w:val="24"/>
          <w:lang w:eastAsia="zh-CN"/>
        </w:rPr>
        <w:t xml:space="preserve"> 建筑功能、建造年代、后续工作年限和建筑类别。</w:t>
      </w:r>
    </w:p>
    <w:p w14:paraId="20927E9E">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snapToGrid/>
          <w:color w:val="auto"/>
          <w:kern w:val="2"/>
          <w:sz w:val="24"/>
          <w:szCs w:val="24"/>
          <w:lang w:eastAsia="zh-CN"/>
        </w:rPr>
        <w:t>2</w:t>
      </w:r>
      <w:r>
        <w:rPr>
          <w:rFonts w:hint="default" w:ascii="Times New Roman" w:hAnsi="Times New Roman" w:eastAsia="宋体" w:cs="Times New Roman"/>
          <w:color w:val="auto"/>
          <w:sz w:val="24"/>
          <w:szCs w:val="24"/>
          <w:lang w:eastAsia="zh-CN"/>
        </w:rPr>
        <w:t xml:space="preserve"> 设防烈度和场地条件。</w:t>
      </w:r>
    </w:p>
    <w:p w14:paraId="1359E037">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snapToGrid/>
          <w:color w:val="auto"/>
          <w:kern w:val="2"/>
          <w:sz w:val="24"/>
          <w:szCs w:val="24"/>
          <w:lang w:eastAsia="zh-CN"/>
        </w:rPr>
        <w:t>3</w:t>
      </w:r>
      <w:r>
        <w:rPr>
          <w:rFonts w:hint="default" w:ascii="Times New Roman" w:hAnsi="Times New Roman" w:eastAsia="宋体" w:cs="Times New Roman"/>
          <w:color w:val="auto"/>
          <w:sz w:val="24"/>
          <w:szCs w:val="24"/>
          <w:lang w:eastAsia="zh-CN"/>
        </w:rPr>
        <w:t xml:space="preserve"> 结构在高度、不规则指标、结构类型等方面的超限程度。</w:t>
      </w:r>
    </w:p>
    <w:p w14:paraId="1DAA4D6A">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snapToGrid/>
          <w:color w:val="auto"/>
          <w:kern w:val="2"/>
          <w:sz w:val="24"/>
          <w:szCs w:val="24"/>
          <w:lang w:eastAsia="zh-CN"/>
        </w:rPr>
        <w:t>4</w:t>
      </w:r>
      <w:r>
        <w:rPr>
          <w:rFonts w:hint="default" w:ascii="Times New Roman" w:hAnsi="Times New Roman" w:eastAsia="宋体" w:cs="Times New Roman"/>
          <w:color w:val="auto"/>
          <w:sz w:val="24"/>
          <w:szCs w:val="24"/>
          <w:lang w:eastAsia="zh-CN"/>
        </w:rPr>
        <w:t xml:space="preserve"> 结构的现有抗震性能、抗震加固的造价、遭受地震后的经济损失和修复难易程度。</w:t>
      </w:r>
    </w:p>
    <w:p w14:paraId="32DA838E">
      <w:pPr>
        <w:pStyle w:val="12"/>
        <w:ind w:firstLine="422"/>
        <w:rPr>
          <w:rFonts w:hint="default" w:ascii="Times New Roman" w:hAnsi="Times New Roman" w:eastAsia="宋体" w:cs="Times New Roman"/>
          <w:color w:val="auto"/>
          <w:sz w:val="24"/>
          <w:szCs w:val="24"/>
          <w:lang w:eastAsia="zh-CN"/>
        </w:rPr>
      </w:pPr>
      <w:bookmarkStart w:id="205" w:name="_Toc3744"/>
      <w:r>
        <w:rPr>
          <w:rFonts w:hint="default" w:ascii="Times New Roman" w:hAnsi="Times New Roman" w:eastAsia="宋体" w:cs="Times New Roman"/>
          <w:b/>
          <w:snapToGrid/>
          <w:color w:val="auto"/>
          <w:kern w:val="2"/>
          <w:sz w:val="24"/>
          <w:szCs w:val="24"/>
          <w:lang w:eastAsia="zh-CN"/>
        </w:rPr>
        <w:t>5</w:t>
      </w:r>
      <w:r>
        <w:rPr>
          <w:rFonts w:hint="default" w:ascii="Times New Roman" w:hAnsi="Times New Roman" w:eastAsia="宋体" w:cs="Times New Roman"/>
          <w:color w:val="auto"/>
          <w:sz w:val="24"/>
          <w:szCs w:val="24"/>
          <w:lang w:eastAsia="zh-CN"/>
        </w:rPr>
        <w:t xml:space="preserve"> 业主对设防标准等方面的特殊要求等。</w:t>
      </w:r>
      <w:bookmarkEnd w:id="205"/>
    </w:p>
    <w:p w14:paraId="323856AA">
      <w:pPr>
        <w:spacing w:line="360" w:lineRule="exact"/>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rPr>
        <w:t>9.2.7</w:t>
      </w:r>
      <w:r>
        <w:rPr>
          <w:rFonts w:hint="default" w:ascii="Times New Roman" w:hAnsi="Times New Roman" w:eastAsia="宋体" w:cs="Times New Roman"/>
          <w:color w:val="auto"/>
          <w:sz w:val="24"/>
          <w:szCs w:val="24"/>
        </w:rPr>
        <w:t xml:space="preserve"> A类建筑的抗震性能目标不宜低于D级，B类和C类建筑的抗震性能目标不应低于D级，且均不应低于建造时的抗震性能目标（或抗震设防目标）。</w:t>
      </w:r>
    </w:p>
    <w:p w14:paraId="64DC6F55">
      <w:pPr>
        <w:spacing w:line="360" w:lineRule="exact"/>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rPr>
        <w:t xml:space="preserve">9.2.8 </w:t>
      </w:r>
      <w:r>
        <w:rPr>
          <w:rFonts w:hint="default" w:ascii="Times New Roman" w:hAnsi="Times New Roman" w:eastAsia="宋体" w:cs="Times New Roman"/>
          <w:color w:val="auto"/>
          <w:sz w:val="24"/>
          <w:szCs w:val="24"/>
        </w:rPr>
        <w:t>对于甲类建筑和需满足震后特殊功能要求的建筑结构，应根据建筑物重要性以及使用功能在设防烈度地震或罕遇地震下的特殊要求，确定结构的抗震性能目标。对于设防烈度地震下需满足正常使用要求的既有建筑，后续工作年限50年时性能目标不宜低于C</w:t>
      </w:r>
      <w:r>
        <w:rPr>
          <w:rFonts w:hint="default" w:ascii="Times New Roman" w:hAnsi="Times New Roman" w:eastAsia="宋体" w:cs="Times New Roman"/>
          <w:color w:val="auto"/>
          <w:sz w:val="24"/>
          <w:szCs w:val="24"/>
          <w:vertAlign w:val="superscript"/>
        </w:rPr>
        <w:t>+</w:t>
      </w:r>
      <w:r>
        <w:rPr>
          <w:rFonts w:hint="default" w:ascii="Times New Roman" w:hAnsi="Times New Roman" w:eastAsia="宋体" w:cs="Times New Roman"/>
          <w:color w:val="auto"/>
          <w:sz w:val="24"/>
          <w:szCs w:val="24"/>
        </w:rPr>
        <w:t>级，后续工作年限小于50年时性能目标不宜低于C级。</w:t>
      </w:r>
    </w:p>
    <w:p w14:paraId="415B8B40">
      <w:pPr>
        <w:spacing w:line="360" w:lineRule="exact"/>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rPr>
        <w:t xml:space="preserve">9.2.9 </w:t>
      </w:r>
      <w:r>
        <w:rPr>
          <w:rFonts w:hint="default" w:ascii="Times New Roman" w:hAnsi="Times New Roman" w:eastAsia="宋体" w:cs="Times New Roman"/>
          <w:color w:val="auto"/>
          <w:sz w:val="24"/>
          <w:szCs w:val="24"/>
        </w:rPr>
        <w:t>当C类建筑属于超限高层建筑且符合下列条件之一时，其抗震性能目标不宜低于D</w:t>
      </w:r>
      <w:r>
        <w:rPr>
          <w:rFonts w:hint="default" w:ascii="Times New Roman" w:hAnsi="Times New Roman" w:eastAsia="宋体" w:cs="Times New Roman"/>
          <w:color w:val="auto"/>
          <w:sz w:val="24"/>
          <w:szCs w:val="24"/>
          <w:vertAlign w:val="superscript"/>
        </w:rPr>
        <w:t>+</w:t>
      </w:r>
      <w:r>
        <w:rPr>
          <w:rFonts w:hint="default" w:ascii="Times New Roman" w:hAnsi="Times New Roman" w:eastAsia="宋体" w:cs="Times New Roman"/>
          <w:color w:val="auto"/>
          <w:sz w:val="24"/>
          <w:szCs w:val="24"/>
        </w:rPr>
        <w:t>级：</w:t>
      </w:r>
    </w:p>
    <w:p w14:paraId="38D4FBFC">
      <w:pPr>
        <w:pStyle w:val="12"/>
        <w:ind w:firstLine="422"/>
        <w:rPr>
          <w:rFonts w:hint="default" w:ascii="Times New Roman" w:hAnsi="Times New Roman" w:eastAsia="宋体" w:cs="Times New Roman"/>
          <w:color w:val="auto"/>
          <w:sz w:val="24"/>
          <w:szCs w:val="24"/>
          <w:lang w:eastAsia="zh-CN"/>
        </w:rPr>
      </w:pPr>
      <w:bookmarkStart w:id="206" w:name="_Toc399"/>
      <w:r>
        <w:rPr>
          <w:rFonts w:hint="default" w:ascii="Times New Roman" w:hAnsi="Times New Roman" w:eastAsia="宋体" w:cs="Times New Roman"/>
          <w:b/>
          <w:snapToGrid/>
          <w:color w:val="auto"/>
          <w:kern w:val="2"/>
          <w:sz w:val="24"/>
          <w:szCs w:val="24"/>
          <w:lang w:eastAsia="zh-CN"/>
        </w:rPr>
        <w:t xml:space="preserve">1 </w:t>
      </w:r>
      <w:r>
        <w:rPr>
          <w:rFonts w:hint="default" w:ascii="Times New Roman" w:hAnsi="Times New Roman" w:eastAsia="宋体" w:cs="Times New Roman"/>
          <w:color w:val="auto"/>
          <w:sz w:val="24"/>
          <w:szCs w:val="24"/>
          <w:lang w:eastAsia="zh-CN"/>
        </w:rPr>
        <w:t>结构高度超过最大适用高度的50%及以上。</w:t>
      </w:r>
      <w:bookmarkEnd w:id="206"/>
    </w:p>
    <w:p w14:paraId="4C262502">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snapToGrid/>
          <w:color w:val="auto"/>
          <w:kern w:val="2"/>
          <w:sz w:val="24"/>
          <w:szCs w:val="24"/>
          <w:lang w:eastAsia="zh-CN"/>
        </w:rPr>
        <w:t>2</w:t>
      </w:r>
      <w:r>
        <w:rPr>
          <w:rFonts w:hint="default" w:ascii="Times New Roman" w:hAnsi="Times New Roman" w:eastAsia="宋体" w:cs="Times New Roman"/>
          <w:color w:val="auto"/>
          <w:sz w:val="24"/>
          <w:szCs w:val="24"/>
          <w:lang w:eastAsia="zh-CN"/>
        </w:rPr>
        <w:t xml:space="preserve"> 存在5项及以上不规则类型或某一项不规则类型的指标远超规定限值。</w:t>
      </w:r>
    </w:p>
    <w:p w14:paraId="48BAAA6F">
      <w:pPr>
        <w:pStyle w:val="12"/>
        <w:ind w:firstLine="422"/>
        <w:rPr>
          <w:rFonts w:hint="default" w:ascii="Times New Roman" w:hAnsi="Times New Roman" w:eastAsia="宋体" w:cs="Times New Roman"/>
          <w:color w:val="auto"/>
          <w:sz w:val="24"/>
          <w:szCs w:val="24"/>
          <w:lang w:eastAsia="zh-CN"/>
        </w:rPr>
      </w:pPr>
      <w:bookmarkStart w:id="207" w:name="_Toc31583"/>
      <w:r>
        <w:rPr>
          <w:rFonts w:hint="default" w:ascii="Times New Roman" w:hAnsi="Times New Roman" w:eastAsia="宋体" w:cs="Times New Roman"/>
          <w:b/>
          <w:snapToGrid/>
          <w:color w:val="auto"/>
          <w:kern w:val="2"/>
          <w:sz w:val="24"/>
          <w:szCs w:val="24"/>
          <w:lang w:eastAsia="zh-CN"/>
        </w:rPr>
        <w:t>3</w:t>
      </w:r>
      <w:r>
        <w:rPr>
          <w:rFonts w:hint="default" w:ascii="Times New Roman" w:hAnsi="Times New Roman" w:eastAsia="宋体" w:cs="Times New Roman"/>
          <w:color w:val="auto"/>
          <w:sz w:val="24"/>
          <w:szCs w:val="24"/>
          <w:lang w:eastAsia="zh-CN"/>
        </w:rPr>
        <w:t xml:space="preserve"> 6度抗震设防。</w:t>
      </w:r>
      <w:bookmarkEnd w:id="207"/>
    </w:p>
    <w:p w14:paraId="6CA5BB04">
      <w:pPr>
        <w:spacing w:line="360" w:lineRule="exact"/>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rPr>
        <w:t>9.2.10</w:t>
      </w:r>
      <w:r>
        <w:rPr>
          <w:rFonts w:hint="default" w:ascii="Times New Roman" w:hAnsi="Times New Roman" w:eastAsia="宋体" w:cs="Times New Roman"/>
          <w:color w:val="auto"/>
          <w:sz w:val="24"/>
          <w:szCs w:val="24"/>
        </w:rPr>
        <w:t xml:space="preserve"> 当C类建筑属于超限高层建筑且符合下列条件之一时，其抗震性能目标不宜低于C级：</w:t>
      </w:r>
    </w:p>
    <w:p w14:paraId="3AF2EEC5">
      <w:pPr>
        <w:pStyle w:val="12"/>
        <w:ind w:firstLine="422"/>
        <w:rPr>
          <w:rFonts w:hint="default" w:ascii="Times New Roman" w:hAnsi="Times New Roman" w:eastAsia="宋体" w:cs="Times New Roman"/>
          <w:color w:val="auto"/>
          <w:sz w:val="24"/>
          <w:szCs w:val="24"/>
          <w:lang w:eastAsia="zh-CN"/>
        </w:rPr>
      </w:pPr>
      <w:bookmarkStart w:id="208" w:name="_Toc6920"/>
      <w:r>
        <w:rPr>
          <w:rFonts w:hint="default" w:ascii="Times New Roman" w:hAnsi="Times New Roman" w:eastAsia="宋体" w:cs="Times New Roman"/>
          <w:b/>
          <w:snapToGrid/>
          <w:color w:val="auto"/>
          <w:kern w:val="2"/>
          <w:sz w:val="24"/>
          <w:szCs w:val="24"/>
          <w:lang w:eastAsia="zh-CN"/>
        </w:rPr>
        <w:t>1</w:t>
      </w:r>
      <w:r>
        <w:rPr>
          <w:rFonts w:hint="default" w:ascii="Times New Roman" w:hAnsi="Times New Roman" w:eastAsia="宋体" w:cs="Times New Roman"/>
          <w:color w:val="auto"/>
          <w:sz w:val="24"/>
          <w:szCs w:val="24"/>
          <w:lang w:eastAsia="zh-CN"/>
        </w:rPr>
        <w:t xml:space="preserve"> 结构高度超过最大适用高度的100%及以上。</w:t>
      </w:r>
      <w:bookmarkEnd w:id="208"/>
    </w:p>
    <w:p w14:paraId="774D519A">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snapToGrid/>
          <w:color w:val="auto"/>
          <w:kern w:val="2"/>
          <w:sz w:val="24"/>
          <w:szCs w:val="24"/>
          <w:lang w:eastAsia="zh-CN"/>
        </w:rPr>
        <w:t>2</w:t>
      </w:r>
      <w:r>
        <w:rPr>
          <w:rFonts w:hint="default" w:ascii="Times New Roman" w:hAnsi="Times New Roman" w:eastAsia="宋体" w:cs="Times New Roman"/>
          <w:color w:val="auto"/>
          <w:sz w:val="24"/>
          <w:szCs w:val="24"/>
          <w:lang w:eastAsia="zh-CN"/>
        </w:rPr>
        <w:t xml:space="preserve"> 同时具有转换层、加强层、错层、连体、多塔等复杂类型中的3种及以上。</w:t>
      </w:r>
    </w:p>
    <w:p w14:paraId="7814A8B2">
      <w:pPr>
        <w:spacing w:line="360" w:lineRule="exact"/>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rPr>
        <w:t>9.2.11</w:t>
      </w:r>
      <w:r>
        <w:rPr>
          <w:rFonts w:hint="default" w:ascii="Times New Roman" w:hAnsi="Times New Roman" w:eastAsia="宋体" w:cs="Times New Roman"/>
          <w:color w:val="auto"/>
          <w:sz w:val="24"/>
          <w:szCs w:val="24"/>
        </w:rPr>
        <w:t xml:space="preserve"> 当既有建筑采用钢筋混凝土单跨框架结构时，其抗震性能目标应符合下列规定：</w:t>
      </w:r>
    </w:p>
    <w:p w14:paraId="40C54F12">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snapToGrid/>
          <w:color w:val="auto"/>
          <w:kern w:val="2"/>
          <w:sz w:val="24"/>
          <w:szCs w:val="24"/>
          <w:lang w:eastAsia="zh-CN"/>
        </w:rPr>
        <w:t xml:space="preserve">1 </w:t>
      </w:r>
      <w:r>
        <w:rPr>
          <w:rFonts w:hint="default" w:ascii="Times New Roman" w:hAnsi="Times New Roman" w:eastAsia="宋体" w:cs="Times New Roman"/>
          <w:color w:val="auto"/>
          <w:sz w:val="24"/>
          <w:szCs w:val="24"/>
          <w:lang w:eastAsia="zh-CN"/>
        </w:rPr>
        <w:t>A类和B类多层建筑的抗震性能目标不宜低于C级，C类多层建筑的抗震性能目标不应低于C级。</w:t>
      </w:r>
    </w:p>
    <w:p w14:paraId="0007F4BE">
      <w:pPr>
        <w:pStyle w:val="12"/>
        <w:ind w:firstLine="422"/>
        <w:rPr>
          <w:rFonts w:hint="default" w:ascii="Times New Roman" w:hAnsi="Times New Roman" w:eastAsia="宋体" w:cs="Times New Roman"/>
          <w:color w:val="auto"/>
          <w:sz w:val="24"/>
          <w:szCs w:val="24"/>
          <w:lang w:eastAsia="zh-CN"/>
        </w:rPr>
      </w:pPr>
      <w:bookmarkStart w:id="209" w:name="_Toc17902"/>
      <w:r>
        <w:rPr>
          <w:rFonts w:hint="default" w:ascii="Times New Roman" w:hAnsi="Times New Roman" w:eastAsia="宋体" w:cs="Times New Roman"/>
          <w:b/>
          <w:snapToGrid/>
          <w:color w:val="auto"/>
          <w:kern w:val="2"/>
          <w:sz w:val="24"/>
          <w:szCs w:val="24"/>
          <w:lang w:eastAsia="zh-CN"/>
        </w:rPr>
        <w:t>2</w:t>
      </w:r>
      <w:bookmarkStart w:id="210" w:name="OLE_LINK10"/>
      <w:bookmarkStart w:id="211" w:name="OLE_LINK11"/>
      <w:r>
        <w:rPr>
          <w:rFonts w:hint="default" w:ascii="Times New Roman" w:hAnsi="Times New Roman" w:eastAsia="宋体" w:cs="Times New Roman"/>
          <w:b/>
          <w:snapToGrid/>
          <w:color w:val="auto"/>
          <w:kern w:val="2"/>
          <w:sz w:val="24"/>
          <w:szCs w:val="24"/>
          <w:lang w:eastAsia="zh-CN"/>
        </w:rPr>
        <w:t xml:space="preserve"> </w:t>
      </w:r>
      <w:bookmarkEnd w:id="210"/>
      <w:bookmarkEnd w:id="211"/>
      <w:r>
        <w:rPr>
          <w:rFonts w:hint="default" w:ascii="Times New Roman" w:hAnsi="Times New Roman" w:eastAsia="宋体" w:cs="Times New Roman"/>
          <w:color w:val="auto"/>
          <w:sz w:val="24"/>
          <w:szCs w:val="24"/>
          <w:lang w:eastAsia="zh-CN"/>
        </w:rPr>
        <w:t>高层钢筋混凝土单跨框架结构的抗震性能目标不应低于C</w:t>
      </w:r>
      <w:r>
        <w:rPr>
          <w:rFonts w:hint="default" w:ascii="Times New Roman" w:hAnsi="Times New Roman" w:eastAsia="宋体" w:cs="Times New Roman"/>
          <w:color w:val="auto"/>
          <w:sz w:val="24"/>
          <w:szCs w:val="24"/>
          <w:vertAlign w:val="superscript"/>
          <w:lang w:eastAsia="zh-CN"/>
        </w:rPr>
        <w:t>+</w:t>
      </w:r>
      <w:r>
        <w:rPr>
          <w:rFonts w:hint="default" w:ascii="Times New Roman" w:hAnsi="Times New Roman" w:eastAsia="宋体" w:cs="Times New Roman"/>
          <w:color w:val="auto"/>
          <w:sz w:val="24"/>
          <w:szCs w:val="24"/>
          <w:lang w:eastAsia="zh-CN"/>
        </w:rPr>
        <w:t>级。</w:t>
      </w:r>
      <w:bookmarkEnd w:id="209"/>
    </w:p>
    <w:p w14:paraId="4E0D961B">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snapToGrid/>
          <w:color w:val="auto"/>
          <w:kern w:val="2"/>
          <w:sz w:val="24"/>
          <w:szCs w:val="24"/>
          <w:lang w:eastAsia="zh-CN"/>
        </w:rPr>
        <w:t>3</w:t>
      </w:r>
      <w:r>
        <w:rPr>
          <w:rFonts w:hint="default" w:ascii="Times New Roman" w:hAnsi="Times New Roman" w:eastAsia="宋体" w:cs="Times New Roman"/>
          <w:color w:val="auto"/>
          <w:sz w:val="24"/>
          <w:szCs w:val="24"/>
          <w:lang w:eastAsia="zh-CN"/>
        </w:rPr>
        <w:t xml:space="preserve"> 框架梁和框架柱应满足强柱弱梁的要求，强柱弱梁验算时应采用截面实际配筋并应计入楼板钢筋的影响。</w:t>
      </w:r>
    </w:p>
    <w:p w14:paraId="350FCC5A">
      <w:pPr>
        <w:rPr>
          <w:rFonts w:hint="default" w:ascii="Times New Roman" w:hAnsi="Times New Roman" w:eastAsia="宋体" w:cs="Times New Roman"/>
          <w:color w:val="auto"/>
          <w:sz w:val="24"/>
          <w:szCs w:val="24"/>
        </w:rPr>
      </w:pPr>
      <w:bookmarkStart w:id="212" w:name="OLE_LINK45"/>
      <w:r>
        <w:rPr>
          <w:rFonts w:hint="default" w:ascii="Times New Roman" w:hAnsi="Times New Roman" w:eastAsia="宋体" w:cs="Times New Roman"/>
          <w:b/>
          <w:color w:val="auto"/>
          <w:sz w:val="24"/>
          <w:szCs w:val="24"/>
        </w:rPr>
        <w:t>9.2.12</w:t>
      </w:r>
      <w:bookmarkEnd w:id="212"/>
      <w:r>
        <w:rPr>
          <w:rFonts w:hint="default" w:ascii="Times New Roman" w:hAnsi="Times New Roman" w:eastAsia="宋体" w:cs="Times New Roman"/>
          <w:b/>
          <w:color w:val="auto"/>
          <w:sz w:val="24"/>
          <w:szCs w:val="24"/>
        </w:rPr>
        <w:t xml:space="preserve"> </w:t>
      </w:r>
      <w:r>
        <w:rPr>
          <w:rFonts w:hint="default" w:ascii="Times New Roman" w:hAnsi="Times New Roman" w:eastAsia="宋体" w:cs="Times New Roman"/>
          <w:color w:val="auto"/>
          <w:sz w:val="24"/>
          <w:szCs w:val="24"/>
        </w:rPr>
        <w:t>既有建筑结构的关键构件、普通竖向构件和耗能构件的抗震性能应满足下列要求：</w:t>
      </w:r>
    </w:p>
    <w:p w14:paraId="76EEB9AE">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snapToGrid/>
          <w:color w:val="auto"/>
          <w:kern w:val="2"/>
          <w:sz w:val="24"/>
          <w:szCs w:val="24"/>
          <w:lang w:eastAsia="zh-CN"/>
        </w:rPr>
        <w:t xml:space="preserve">1 </w:t>
      </w:r>
      <w:r>
        <w:rPr>
          <w:rFonts w:hint="default" w:ascii="Times New Roman" w:hAnsi="Times New Roman" w:eastAsia="宋体" w:cs="Times New Roman"/>
          <w:color w:val="auto"/>
          <w:sz w:val="24"/>
          <w:szCs w:val="24"/>
          <w:lang w:eastAsia="zh-CN"/>
        </w:rPr>
        <w:t>关键构件的抗震性能不应低于普通竖向构件。</w:t>
      </w:r>
    </w:p>
    <w:p w14:paraId="52CAD24D">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snapToGrid/>
          <w:color w:val="auto"/>
          <w:kern w:val="2"/>
          <w:sz w:val="24"/>
          <w:szCs w:val="24"/>
          <w:lang w:eastAsia="zh-CN"/>
        </w:rPr>
        <w:t xml:space="preserve">2 </w:t>
      </w:r>
      <w:r>
        <w:rPr>
          <w:rFonts w:hint="default" w:ascii="Times New Roman" w:hAnsi="Times New Roman" w:eastAsia="宋体" w:cs="Times New Roman"/>
          <w:color w:val="auto"/>
          <w:sz w:val="24"/>
          <w:szCs w:val="24"/>
          <w:lang w:eastAsia="zh-CN"/>
        </w:rPr>
        <w:t>普通竖向构件的抗震性能不应低于耗能构件。</w:t>
      </w:r>
    </w:p>
    <w:p w14:paraId="1198228C">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snapToGrid/>
          <w:color w:val="auto"/>
          <w:kern w:val="2"/>
          <w:sz w:val="24"/>
          <w:szCs w:val="24"/>
          <w:lang w:eastAsia="zh-CN"/>
        </w:rPr>
        <w:t>3</w:t>
      </w:r>
      <w:r>
        <w:rPr>
          <w:rFonts w:hint="default" w:ascii="Times New Roman" w:hAnsi="Times New Roman" w:eastAsia="宋体" w:cs="Times New Roman"/>
          <w:color w:val="auto"/>
          <w:sz w:val="24"/>
          <w:szCs w:val="24"/>
          <w:lang w:eastAsia="zh-CN"/>
        </w:rPr>
        <w:t xml:space="preserve"> 构件斜截面抗震性能不宜低于正截面性能目标。</w:t>
      </w:r>
    </w:p>
    <w:p w14:paraId="4146C8E0">
      <w:pPr>
        <w:spacing w:before="120" w:after="120"/>
        <w:jc w:val="center"/>
        <w:rPr>
          <w:rFonts w:hint="default" w:ascii="Times New Roman" w:hAnsi="Times New Roman" w:eastAsia="宋体" w:cs="Times New Roman"/>
          <w:color w:val="auto"/>
          <w:sz w:val="24"/>
          <w:szCs w:val="24"/>
        </w:rPr>
      </w:pPr>
      <w:bookmarkStart w:id="213" w:name="_Toc21516"/>
      <w:r>
        <w:rPr>
          <w:rFonts w:hint="default" w:ascii="Times New Roman" w:hAnsi="Times New Roman" w:eastAsia="宋体" w:cs="Times New Roman"/>
          <w:b/>
          <w:color w:val="auto"/>
          <w:sz w:val="24"/>
          <w:szCs w:val="24"/>
        </w:rPr>
        <w:t xml:space="preserve">III </w:t>
      </w:r>
      <w:r>
        <w:rPr>
          <w:rFonts w:hint="default" w:ascii="Times New Roman" w:hAnsi="Times New Roman" w:eastAsia="宋体" w:cs="Times New Roman"/>
          <w:color w:val="auto"/>
          <w:sz w:val="24"/>
          <w:szCs w:val="24"/>
        </w:rPr>
        <w:t>构件性能设计指标</w:t>
      </w:r>
      <w:bookmarkEnd w:id="213"/>
    </w:p>
    <w:p w14:paraId="1BF27214">
      <w:pPr>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rPr>
        <w:t xml:space="preserve">9.2.13 </w:t>
      </w:r>
      <w:r>
        <w:rPr>
          <w:rFonts w:hint="default" w:ascii="Times New Roman" w:hAnsi="Times New Roman" w:eastAsia="宋体" w:cs="Times New Roman"/>
          <w:color w:val="auto"/>
          <w:sz w:val="24"/>
          <w:szCs w:val="24"/>
        </w:rPr>
        <w:t>既有建筑结构各抗震性能水准对应的构件抗震承载力设计指标应满足表9.2.13的要求：</w:t>
      </w:r>
    </w:p>
    <w:p w14:paraId="22FFCCC6">
      <w:pPr>
        <w:pStyle w:val="65"/>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表</w:t>
      </w:r>
      <w:r>
        <w:rPr>
          <w:rFonts w:hint="default" w:ascii="Times New Roman" w:hAnsi="Times New Roman" w:eastAsia="宋体" w:cs="Times New Roman"/>
          <w:b/>
          <w:bCs w:val="0"/>
          <w:color w:val="auto"/>
          <w:sz w:val="28"/>
          <w:szCs w:val="28"/>
        </w:rPr>
        <w:t>9.2.13</w:t>
      </w:r>
      <w:r>
        <w:rPr>
          <w:rFonts w:hint="default" w:ascii="Times New Roman" w:hAnsi="Times New Roman" w:eastAsia="宋体" w:cs="Times New Roman"/>
          <w:color w:val="auto"/>
          <w:sz w:val="28"/>
          <w:szCs w:val="28"/>
        </w:rPr>
        <w:t xml:space="preserve"> 构件承载力性能设计指标</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850"/>
        <w:gridCol w:w="1985"/>
        <w:gridCol w:w="2410"/>
        <w:gridCol w:w="2205"/>
      </w:tblGrid>
      <w:tr w14:paraId="4EFB7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6" w:type="dxa"/>
            <w:vMerge w:val="restart"/>
            <w:vAlign w:val="center"/>
          </w:tcPr>
          <w:p w14:paraId="61F6E193">
            <w:pPr>
              <w:pStyle w:val="57"/>
              <w:spacing w:line="276" w:lineRule="auto"/>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结构性</w:t>
            </w:r>
          </w:p>
          <w:p w14:paraId="5CD2868B">
            <w:pPr>
              <w:pStyle w:val="57"/>
              <w:spacing w:line="276" w:lineRule="auto"/>
              <w:ind w:left="52" w:leftChars="-54" w:hanging="182" w:hangingChars="76"/>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能水准</w:t>
            </w:r>
          </w:p>
        </w:tc>
        <w:tc>
          <w:tcPr>
            <w:tcW w:w="850" w:type="dxa"/>
            <w:vMerge w:val="restart"/>
            <w:vAlign w:val="center"/>
          </w:tcPr>
          <w:p w14:paraId="675898CF">
            <w:pPr>
              <w:pStyle w:val="57"/>
              <w:spacing w:line="276"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构件截</w:t>
            </w:r>
          </w:p>
          <w:p w14:paraId="17DB1047">
            <w:pPr>
              <w:pStyle w:val="57"/>
              <w:spacing w:line="276"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面类型</w:t>
            </w:r>
          </w:p>
        </w:tc>
        <w:tc>
          <w:tcPr>
            <w:tcW w:w="6600" w:type="dxa"/>
            <w:gridSpan w:val="3"/>
            <w:vAlign w:val="center"/>
          </w:tcPr>
          <w:p w14:paraId="02287222">
            <w:pPr>
              <w:pStyle w:val="57"/>
              <w:spacing w:line="276"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构件类型</w:t>
            </w:r>
          </w:p>
        </w:tc>
      </w:tr>
      <w:tr w14:paraId="08F1F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6" w:type="dxa"/>
            <w:vMerge w:val="continue"/>
            <w:vAlign w:val="center"/>
          </w:tcPr>
          <w:p w14:paraId="695A1691">
            <w:pPr>
              <w:pStyle w:val="57"/>
              <w:spacing w:line="276" w:lineRule="auto"/>
              <w:rPr>
                <w:rFonts w:hint="default" w:ascii="Times New Roman" w:hAnsi="Times New Roman" w:eastAsia="宋体" w:cs="Times New Roman"/>
                <w:color w:val="auto"/>
                <w:sz w:val="24"/>
                <w:szCs w:val="24"/>
              </w:rPr>
            </w:pPr>
          </w:p>
        </w:tc>
        <w:tc>
          <w:tcPr>
            <w:tcW w:w="850" w:type="dxa"/>
            <w:vMerge w:val="continue"/>
            <w:vAlign w:val="center"/>
          </w:tcPr>
          <w:p w14:paraId="10BC1239">
            <w:pPr>
              <w:pStyle w:val="57"/>
              <w:spacing w:line="276" w:lineRule="auto"/>
              <w:rPr>
                <w:rFonts w:hint="default" w:ascii="Times New Roman" w:hAnsi="Times New Roman" w:eastAsia="宋体" w:cs="Times New Roman"/>
                <w:color w:val="auto"/>
                <w:sz w:val="24"/>
                <w:szCs w:val="24"/>
              </w:rPr>
            </w:pPr>
          </w:p>
        </w:tc>
        <w:tc>
          <w:tcPr>
            <w:tcW w:w="1985" w:type="dxa"/>
            <w:vAlign w:val="center"/>
          </w:tcPr>
          <w:p w14:paraId="5A775F78">
            <w:pPr>
              <w:pStyle w:val="57"/>
              <w:spacing w:line="276"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关键构件</w:t>
            </w:r>
          </w:p>
        </w:tc>
        <w:tc>
          <w:tcPr>
            <w:tcW w:w="2410" w:type="dxa"/>
            <w:vAlign w:val="center"/>
          </w:tcPr>
          <w:p w14:paraId="5C90D932">
            <w:pPr>
              <w:pStyle w:val="57"/>
              <w:spacing w:line="276"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普通竖向构件</w:t>
            </w:r>
          </w:p>
        </w:tc>
        <w:tc>
          <w:tcPr>
            <w:tcW w:w="2205" w:type="dxa"/>
            <w:vAlign w:val="center"/>
          </w:tcPr>
          <w:p w14:paraId="0DD59003">
            <w:pPr>
              <w:pStyle w:val="57"/>
              <w:spacing w:line="276"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耗能构件</w:t>
            </w:r>
          </w:p>
        </w:tc>
      </w:tr>
      <w:tr w14:paraId="4B325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6" w:type="dxa"/>
            <w:vMerge w:val="restart"/>
            <w:vAlign w:val="center"/>
          </w:tcPr>
          <w:p w14:paraId="18AC6DDD">
            <w:pPr>
              <w:pStyle w:val="57"/>
              <w:spacing w:line="276"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p>
        </w:tc>
        <w:tc>
          <w:tcPr>
            <w:tcW w:w="850" w:type="dxa"/>
            <w:vAlign w:val="center"/>
          </w:tcPr>
          <w:p w14:paraId="6C1823DB">
            <w:pPr>
              <w:pStyle w:val="57"/>
              <w:spacing w:line="276"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正截面</w:t>
            </w:r>
          </w:p>
        </w:tc>
        <w:tc>
          <w:tcPr>
            <w:tcW w:w="1985" w:type="dxa"/>
            <w:vAlign w:val="center"/>
          </w:tcPr>
          <w:p w14:paraId="32844CB7">
            <w:pPr>
              <w:pStyle w:val="57"/>
              <w:spacing w:line="276"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应满足弹性设计</w:t>
            </w:r>
          </w:p>
        </w:tc>
        <w:tc>
          <w:tcPr>
            <w:tcW w:w="2410" w:type="dxa"/>
            <w:vAlign w:val="center"/>
          </w:tcPr>
          <w:p w14:paraId="219759DA">
            <w:pPr>
              <w:pStyle w:val="57"/>
              <w:spacing w:line="276"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应满足弹性设计</w:t>
            </w:r>
          </w:p>
        </w:tc>
        <w:tc>
          <w:tcPr>
            <w:tcW w:w="2205" w:type="dxa"/>
            <w:vAlign w:val="center"/>
          </w:tcPr>
          <w:p w14:paraId="0CB62622">
            <w:pPr>
              <w:pStyle w:val="57"/>
              <w:spacing w:line="276"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应满足弹性设计</w:t>
            </w:r>
          </w:p>
        </w:tc>
      </w:tr>
      <w:tr w14:paraId="444E6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6" w:type="dxa"/>
            <w:vMerge w:val="continue"/>
            <w:vAlign w:val="center"/>
          </w:tcPr>
          <w:p w14:paraId="1768A18E">
            <w:pPr>
              <w:pStyle w:val="57"/>
              <w:spacing w:line="276" w:lineRule="auto"/>
              <w:rPr>
                <w:rFonts w:hint="default" w:ascii="Times New Roman" w:hAnsi="Times New Roman" w:eastAsia="宋体" w:cs="Times New Roman"/>
                <w:color w:val="auto"/>
                <w:sz w:val="24"/>
                <w:szCs w:val="24"/>
              </w:rPr>
            </w:pPr>
          </w:p>
        </w:tc>
        <w:tc>
          <w:tcPr>
            <w:tcW w:w="850" w:type="dxa"/>
            <w:vAlign w:val="center"/>
          </w:tcPr>
          <w:p w14:paraId="5FA520ED">
            <w:pPr>
              <w:pStyle w:val="57"/>
              <w:spacing w:line="276"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斜截面</w:t>
            </w:r>
          </w:p>
        </w:tc>
        <w:tc>
          <w:tcPr>
            <w:tcW w:w="1985" w:type="dxa"/>
            <w:vAlign w:val="center"/>
          </w:tcPr>
          <w:p w14:paraId="24FBF396">
            <w:pPr>
              <w:pStyle w:val="57"/>
              <w:spacing w:line="276"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应满足弹性设计</w:t>
            </w:r>
          </w:p>
        </w:tc>
        <w:tc>
          <w:tcPr>
            <w:tcW w:w="2410" w:type="dxa"/>
            <w:vAlign w:val="center"/>
          </w:tcPr>
          <w:p w14:paraId="443E3606">
            <w:pPr>
              <w:pStyle w:val="57"/>
              <w:spacing w:line="276"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应满足弹性设计</w:t>
            </w:r>
          </w:p>
        </w:tc>
        <w:tc>
          <w:tcPr>
            <w:tcW w:w="2205" w:type="dxa"/>
            <w:vAlign w:val="center"/>
          </w:tcPr>
          <w:p w14:paraId="47B3F3DD">
            <w:pPr>
              <w:pStyle w:val="57"/>
              <w:spacing w:line="276"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应满足弹性设计</w:t>
            </w:r>
          </w:p>
        </w:tc>
      </w:tr>
      <w:tr w14:paraId="2EF2B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6" w:type="dxa"/>
            <w:vMerge w:val="restart"/>
            <w:vAlign w:val="center"/>
          </w:tcPr>
          <w:p w14:paraId="25858D32">
            <w:pPr>
              <w:pStyle w:val="57"/>
              <w:spacing w:line="276"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w:t>
            </w:r>
          </w:p>
        </w:tc>
        <w:tc>
          <w:tcPr>
            <w:tcW w:w="850" w:type="dxa"/>
            <w:vAlign w:val="center"/>
          </w:tcPr>
          <w:p w14:paraId="1F972E71">
            <w:pPr>
              <w:pStyle w:val="57"/>
              <w:spacing w:line="276"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正截面</w:t>
            </w:r>
          </w:p>
        </w:tc>
        <w:tc>
          <w:tcPr>
            <w:tcW w:w="1985" w:type="dxa"/>
            <w:vAlign w:val="center"/>
          </w:tcPr>
          <w:p w14:paraId="26F938EB">
            <w:pPr>
              <w:pStyle w:val="57"/>
              <w:spacing w:line="276"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应满足弹性设计</w:t>
            </w:r>
          </w:p>
        </w:tc>
        <w:tc>
          <w:tcPr>
            <w:tcW w:w="2410" w:type="dxa"/>
            <w:vAlign w:val="center"/>
          </w:tcPr>
          <w:p w14:paraId="108D86D9">
            <w:pPr>
              <w:pStyle w:val="57"/>
              <w:spacing w:line="276"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宜满足弹性设计</w:t>
            </w:r>
          </w:p>
        </w:tc>
        <w:tc>
          <w:tcPr>
            <w:tcW w:w="2205" w:type="dxa"/>
            <w:vAlign w:val="center"/>
          </w:tcPr>
          <w:p w14:paraId="7755D96E">
            <w:pPr>
              <w:pStyle w:val="57"/>
              <w:spacing w:line="276"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宜满足不屈服设计，</w:t>
            </w:r>
          </w:p>
          <w:p w14:paraId="403CE5D3">
            <w:pPr>
              <w:pStyle w:val="57"/>
              <w:spacing w:line="276"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允许个别屈服</w:t>
            </w:r>
          </w:p>
        </w:tc>
      </w:tr>
      <w:tr w14:paraId="276F0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6" w:type="dxa"/>
            <w:vMerge w:val="continue"/>
            <w:vAlign w:val="center"/>
          </w:tcPr>
          <w:p w14:paraId="337347DF">
            <w:pPr>
              <w:pStyle w:val="57"/>
              <w:spacing w:line="276" w:lineRule="auto"/>
              <w:rPr>
                <w:rFonts w:hint="default" w:ascii="Times New Roman" w:hAnsi="Times New Roman" w:eastAsia="宋体" w:cs="Times New Roman"/>
                <w:color w:val="auto"/>
                <w:sz w:val="24"/>
                <w:szCs w:val="24"/>
              </w:rPr>
            </w:pPr>
          </w:p>
        </w:tc>
        <w:tc>
          <w:tcPr>
            <w:tcW w:w="850" w:type="dxa"/>
            <w:vAlign w:val="center"/>
          </w:tcPr>
          <w:p w14:paraId="331BED61">
            <w:pPr>
              <w:pStyle w:val="57"/>
              <w:spacing w:line="276"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斜截面</w:t>
            </w:r>
          </w:p>
        </w:tc>
        <w:tc>
          <w:tcPr>
            <w:tcW w:w="1985" w:type="dxa"/>
            <w:vAlign w:val="center"/>
          </w:tcPr>
          <w:p w14:paraId="104492B6">
            <w:pPr>
              <w:pStyle w:val="57"/>
              <w:spacing w:line="276"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应满足弹性设计</w:t>
            </w:r>
          </w:p>
        </w:tc>
        <w:tc>
          <w:tcPr>
            <w:tcW w:w="2410" w:type="dxa"/>
            <w:vAlign w:val="center"/>
          </w:tcPr>
          <w:p w14:paraId="17437DD6">
            <w:pPr>
              <w:pStyle w:val="57"/>
              <w:spacing w:line="276"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应满足弹性设计</w:t>
            </w:r>
          </w:p>
        </w:tc>
        <w:tc>
          <w:tcPr>
            <w:tcW w:w="2205" w:type="dxa"/>
            <w:vAlign w:val="center"/>
          </w:tcPr>
          <w:p w14:paraId="6827B550">
            <w:pPr>
              <w:pStyle w:val="57"/>
              <w:spacing w:line="276"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宜满足弹性设计</w:t>
            </w:r>
          </w:p>
        </w:tc>
      </w:tr>
      <w:tr w14:paraId="4CB11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6" w:type="dxa"/>
            <w:vMerge w:val="restart"/>
            <w:vAlign w:val="center"/>
          </w:tcPr>
          <w:p w14:paraId="1C38D75D">
            <w:pPr>
              <w:pStyle w:val="57"/>
              <w:spacing w:line="276"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w:t>
            </w:r>
          </w:p>
        </w:tc>
        <w:tc>
          <w:tcPr>
            <w:tcW w:w="850" w:type="dxa"/>
            <w:vAlign w:val="center"/>
          </w:tcPr>
          <w:p w14:paraId="2E480935">
            <w:pPr>
              <w:pStyle w:val="57"/>
              <w:spacing w:line="276"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正截面</w:t>
            </w:r>
          </w:p>
        </w:tc>
        <w:tc>
          <w:tcPr>
            <w:tcW w:w="1985" w:type="dxa"/>
            <w:vAlign w:val="center"/>
          </w:tcPr>
          <w:p w14:paraId="3144AAC3">
            <w:pPr>
              <w:pStyle w:val="57"/>
              <w:spacing w:line="276"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应满足不屈服设计</w:t>
            </w:r>
          </w:p>
        </w:tc>
        <w:tc>
          <w:tcPr>
            <w:tcW w:w="2410" w:type="dxa"/>
            <w:vAlign w:val="center"/>
          </w:tcPr>
          <w:p w14:paraId="6E8DDA1B">
            <w:pPr>
              <w:pStyle w:val="57"/>
              <w:spacing w:line="276"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宜满足不屈服设计，</w:t>
            </w:r>
          </w:p>
          <w:p w14:paraId="1B010863">
            <w:pPr>
              <w:pStyle w:val="57"/>
              <w:spacing w:line="276"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允许个别屈服</w:t>
            </w:r>
          </w:p>
        </w:tc>
        <w:tc>
          <w:tcPr>
            <w:tcW w:w="2205" w:type="dxa"/>
            <w:vAlign w:val="center"/>
          </w:tcPr>
          <w:p w14:paraId="590B1D6E">
            <w:pPr>
              <w:pStyle w:val="57"/>
              <w:spacing w:line="276"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允许部分屈服</w:t>
            </w:r>
          </w:p>
        </w:tc>
      </w:tr>
      <w:tr w14:paraId="65C39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6" w:type="dxa"/>
            <w:vMerge w:val="continue"/>
            <w:vAlign w:val="center"/>
          </w:tcPr>
          <w:p w14:paraId="68081858">
            <w:pPr>
              <w:pStyle w:val="57"/>
              <w:spacing w:line="276" w:lineRule="auto"/>
              <w:rPr>
                <w:rFonts w:hint="default" w:ascii="Times New Roman" w:hAnsi="Times New Roman" w:eastAsia="宋体" w:cs="Times New Roman"/>
                <w:color w:val="auto"/>
                <w:sz w:val="24"/>
                <w:szCs w:val="24"/>
              </w:rPr>
            </w:pPr>
          </w:p>
        </w:tc>
        <w:tc>
          <w:tcPr>
            <w:tcW w:w="850" w:type="dxa"/>
            <w:vAlign w:val="center"/>
          </w:tcPr>
          <w:p w14:paraId="7378AF40">
            <w:pPr>
              <w:pStyle w:val="57"/>
              <w:spacing w:line="276"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斜截面</w:t>
            </w:r>
          </w:p>
        </w:tc>
        <w:tc>
          <w:tcPr>
            <w:tcW w:w="1985" w:type="dxa"/>
            <w:vAlign w:val="center"/>
          </w:tcPr>
          <w:p w14:paraId="03859FCC">
            <w:pPr>
              <w:pStyle w:val="57"/>
              <w:spacing w:line="276"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应满足弹性设计</w:t>
            </w:r>
          </w:p>
        </w:tc>
        <w:tc>
          <w:tcPr>
            <w:tcW w:w="2410" w:type="dxa"/>
            <w:vAlign w:val="center"/>
          </w:tcPr>
          <w:p w14:paraId="54C4B832">
            <w:pPr>
              <w:pStyle w:val="57"/>
              <w:spacing w:line="276"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宜满足弹性设计</w:t>
            </w:r>
          </w:p>
        </w:tc>
        <w:tc>
          <w:tcPr>
            <w:tcW w:w="2205" w:type="dxa"/>
            <w:vAlign w:val="center"/>
          </w:tcPr>
          <w:p w14:paraId="1A789737">
            <w:pPr>
              <w:pStyle w:val="57"/>
              <w:spacing w:line="276"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应满足不屈服设计</w:t>
            </w:r>
          </w:p>
        </w:tc>
      </w:tr>
      <w:tr w14:paraId="2E8CC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6" w:type="dxa"/>
            <w:vMerge w:val="restart"/>
            <w:vAlign w:val="center"/>
          </w:tcPr>
          <w:p w14:paraId="14C3EC9E">
            <w:pPr>
              <w:pStyle w:val="57"/>
              <w:spacing w:line="276"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w:t>
            </w:r>
          </w:p>
        </w:tc>
        <w:tc>
          <w:tcPr>
            <w:tcW w:w="850" w:type="dxa"/>
            <w:vAlign w:val="center"/>
          </w:tcPr>
          <w:p w14:paraId="5B1B823C">
            <w:pPr>
              <w:pStyle w:val="57"/>
              <w:spacing w:line="276"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正截面</w:t>
            </w:r>
          </w:p>
        </w:tc>
        <w:tc>
          <w:tcPr>
            <w:tcW w:w="1985" w:type="dxa"/>
            <w:vAlign w:val="center"/>
          </w:tcPr>
          <w:p w14:paraId="1D72A3A6">
            <w:pPr>
              <w:pStyle w:val="57"/>
              <w:spacing w:line="276"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应满足不屈服设计</w:t>
            </w:r>
          </w:p>
        </w:tc>
        <w:tc>
          <w:tcPr>
            <w:tcW w:w="2410" w:type="dxa"/>
            <w:vAlign w:val="center"/>
          </w:tcPr>
          <w:p w14:paraId="4D8DF7F5">
            <w:pPr>
              <w:pStyle w:val="57"/>
              <w:spacing w:line="276"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允许部分屈服，但应满足极限承载力设计</w:t>
            </w:r>
          </w:p>
        </w:tc>
        <w:tc>
          <w:tcPr>
            <w:tcW w:w="2205" w:type="dxa"/>
            <w:vAlign w:val="center"/>
          </w:tcPr>
          <w:p w14:paraId="4996120E">
            <w:pPr>
              <w:pStyle w:val="57"/>
              <w:spacing w:line="276"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允许大部分屈服</w:t>
            </w:r>
          </w:p>
        </w:tc>
      </w:tr>
      <w:tr w14:paraId="37D6E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6" w:type="dxa"/>
            <w:vMerge w:val="continue"/>
            <w:vAlign w:val="center"/>
          </w:tcPr>
          <w:p w14:paraId="41679E80">
            <w:pPr>
              <w:pStyle w:val="57"/>
              <w:spacing w:line="276" w:lineRule="auto"/>
              <w:rPr>
                <w:rFonts w:hint="default" w:ascii="Times New Roman" w:hAnsi="Times New Roman" w:eastAsia="宋体" w:cs="Times New Roman"/>
                <w:color w:val="auto"/>
                <w:sz w:val="24"/>
                <w:szCs w:val="24"/>
              </w:rPr>
            </w:pPr>
          </w:p>
        </w:tc>
        <w:tc>
          <w:tcPr>
            <w:tcW w:w="850" w:type="dxa"/>
            <w:vAlign w:val="center"/>
          </w:tcPr>
          <w:p w14:paraId="5F495E8A">
            <w:pPr>
              <w:pStyle w:val="57"/>
              <w:spacing w:line="276"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斜截面</w:t>
            </w:r>
          </w:p>
        </w:tc>
        <w:tc>
          <w:tcPr>
            <w:tcW w:w="1985" w:type="dxa"/>
            <w:vAlign w:val="center"/>
          </w:tcPr>
          <w:p w14:paraId="75D0B0CF">
            <w:pPr>
              <w:pStyle w:val="57"/>
              <w:spacing w:line="276"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应满足不屈服设计</w:t>
            </w:r>
          </w:p>
        </w:tc>
        <w:tc>
          <w:tcPr>
            <w:tcW w:w="2410" w:type="dxa"/>
            <w:vAlign w:val="center"/>
          </w:tcPr>
          <w:p w14:paraId="542AC646">
            <w:pPr>
              <w:pStyle w:val="57"/>
              <w:spacing w:line="276"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应满足极限承载力设计，并满足最小受剪截面条件</w:t>
            </w:r>
          </w:p>
        </w:tc>
        <w:tc>
          <w:tcPr>
            <w:tcW w:w="2205" w:type="dxa"/>
            <w:vAlign w:val="center"/>
          </w:tcPr>
          <w:p w14:paraId="01F64C64">
            <w:pPr>
              <w:pStyle w:val="57"/>
              <w:spacing w:line="276"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应满足最小受</w:t>
            </w:r>
          </w:p>
          <w:p w14:paraId="48EEC53C">
            <w:pPr>
              <w:pStyle w:val="57"/>
              <w:spacing w:line="276"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剪截面条件</w:t>
            </w:r>
          </w:p>
        </w:tc>
      </w:tr>
      <w:tr w14:paraId="79689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6" w:type="dxa"/>
            <w:vMerge w:val="restart"/>
            <w:vAlign w:val="center"/>
          </w:tcPr>
          <w:p w14:paraId="634F51B4">
            <w:pPr>
              <w:pStyle w:val="57"/>
              <w:spacing w:line="276"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w:t>
            </w:r>
          </w:p>
        </w:tc>
        <w:tc>
          <w:tcPr>
            <w:tcW w:w="850" w:type="dxa"/>
            <w:vAlign w:val="center"/>
          </w:tcPr>
          <w:p w14:paraId="5C7F7E76">
            <w:pPr>
              <w:pStyle w:val="57"/>
              <w:spacing w:line="276"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正截而</w:t>
            </w:r>
          </w:p>
        </w:tc>
        <w:tc>
          <w:tcPr>
            <w:tcW w:w="1985" w:type="dxa"/>
            <w:vAlign w:val="center"/>
          </w:tcPr>
          <w:p w14:paraId="2BE72191">
            <w:pPr>
              <w:pStyle w:val="57"/>
              <w:spacing w:line="276"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宜满足不屈服设计，允许个别屈服</w:t>
            </w:r>
          </w:p>
        </w:tc>
        <w:tc>
          <w:tcPr>
            <w:tcW w:w="2410" w:type="dxa"/>
            <w:vAlign w:val="center"/>
          </w:tcPr>
          <w:p w14:paraId="182B196E">
            <w:pPr>
              <w:pStyle w:val="57"/>
              <w:spacing w:line="276"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允许部分屈服</w:t>
            </w:r>
          </w:p>
        </w:tc>
        <w:tc>
          <w:tcPr>
            <w:tcW w:w="2205" w:type="dxa"/>
            <w:vAlign w:val="center"/>
          </w:tcPr>
          <w:p w14:paraId="3200571A">
            <w:pPr>
              <w:pStyle w:val="57"/>
              <w:spacing w:line="276"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允许大部分屈服</w:t>
            </w:r>
          </w:p>
        </w:tc>
      </w:tr>
      <w:tr w14:paraId="25090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6" w:type="dxa"/>
            <w:vMerge w:val="continue"/>
            <w:vAlign w:val="center"/>
          </w:tcPr>
          <w:p w14:paraId="68589ACD">
            <w:pPr>
              <w:pStyle w:val="57"/>
              <w:spacing w:line="276" w:lineRule="auto"/>
              <w:rPr>
                <w:rFonts w:hint="default" w:ascii="Times New Roman" w:hAnsi="Times New Roman" w:eastAsia="宋体" w:cs="Times New Roman"/>
                <w:color w:val="auto"/>
                <w:sz w:val="24"/>
                <w:szCs w:val="24"/>
              </w:rPr>
            </w:pPr>
          </w:p>
        </w:tc>
        <w:tc>
          <w:tcPr>
            <w:tcW w:w="850" w:type="dxa"/>
            <w:vAlign w:val="center"/>
          </w:tcPr>
          <w:p w14:paraId="3A07EFF9">
            <w:pPr>
              <w:pStyle w:val="57"/>
              <w:spacing w:line="276"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斜截面</w:t>
            </w:r>
          </w:p>
        </w:tc>
        <w:tc>
          <w:tcPr>
            <w:tcW w:w="1985" w:type="dxa"/>
            <w:vAlign w:val="center"/>
          </w:tcPr>
          <w:p w14:paraId="273C04F5">
            <w:pPr>
              <w:pStyle w:val="57"/>
              <w:spacing w:line="276"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宜满足不屈服设计</w:t>
            </w:r>
          </w:p>
        </w:tc>
        <w:tc>
          <w:tcPr>
            <w:tcW w:w="2410" w:type="dxa"/>
            <w:vAlign w:val="center"/>
          </w:tcPr>
          <w:p w14:paraId="76877305">
            <w:pPr>
              <w:pStyle w:val="57"/>
              <w:spacing w:line="276"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应满足最小受</w:t>
            </w:r>
          </w:p>
          <w:p w14:paraId="5750E247">
            <w:pPr>
              <w:pStyle w:val="57"/>
              <w:spacing w:line="276"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剪截面条件</w:t>
            </w:r>
          </w:p>
        </w:tc>
        <w:tc>
          <w:tcPr>
            <w:tcW w:w="2205" w:type="dxa"/>
            <w:vAlign w:val="center"/>
          </w:tcPr>
          <w:p w14:paraId="007BF20B">
            <w:pPr>
              <w:pStyle w:val="57"/>
              <w:spacing w:line="276"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宜满足最小受</w:t>
            </w:r>
          </w:p>
          <w:p w14:paraId="7E6167AF">
            <w:pPr>
              <w:pStyle w:val="57"/>
              <w:spacing w:line="276"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剪截面条件</w:t>
            </w:r>
          </w:p>
        </w:tc>
      </w:tr>
      <w:tr w14:paraId="704D1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96" w:type="dxa"/>
            <w:gridSpan w:val="5"/>
            <w:vAlign w:val="center"/>
          </w:tcPr>
          <w:p w14:paraId="59B3B0D7">
            <w:pPr>
              <w:pStyle w:val="57"/>
              <w:spacing w:line="276"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注：1表中“弹性”“不屈服”“极限承载力”“最小受剪截面”的构件承载力设计指标应按本规程第9.3节的规定进行验算；</w:t>
            </w:r>
          </w:p>
          <w:p w14:paraId="48CECB7E">
            <w:pPr>
              <w:pStyle w:val="57"/>
              <w:spacing w:line="276" w:lineRule="auto"/>
              <w:ind w:firstLine="42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1"/>
                <w:szCs w:val="21"/>
              </w:rPr>
              <w:t>2表中“个别”指同类构件中占比5%及以下；“部分”指同类构件中占比30%及以下；“大部分”指同类构件中占比50%及以上。</w:t>
            </w:r>
          </w:p>
        </w:tc>
      </w:tr>
    </w:tbl>
    <w:p w14:paraId="22D80350">
      <w:pPr>
        <w:spacing w:before="120" w:beforeLines="50"/>
        <w:rPr>
          <w:rFonts w:hint="default" w:ascii="Times New Roman" w:hAnsi="Times New Roman" w:eastAsia="宋体" w:cs="Times New Roman"/>
          <w:color w:val="auto"/>
          <w:sz w:val="24"/>
          <w:szCs w:val="24"/>
        </w:rPr>
      </w:pPr>
      <w:bookmarkStart w:id="214" w:name="OLE_LINK46"/>
      <w:bookmarkStart w:id="215" w:name="OLE_LINK47"/>
      <w:r>
        <w:rPr>
          <w:rFonts w:hint="default" w:ascii="Times New Roman" w:hAnsi="Times New Roman" w:eastAsia="宋体" w:cs="Times New Roman"/>
          <w:b/>
          <w:color w:val="auto"/>
          <w:sz w:val="24"/>
          <w:szCs w:val="24"/>
        </w:rPr>
        <w:t xml:space="preserve">9.2.14 </w:t>
      </w:r>
      <w:bookmarkEnd w:id="214"/>
      <w:bookmarkEnd w:id="215"/>
      <w:r>
        <w:rPr>
          <w:rFonts w:hint="default" w:ascii="Times New Roman" w:hAnsi="Times New Roman" w:eastAsia="宋体" w:cs="Times New Roman"/>
          <w:color w:val="auto"/>
          <w:sz w:val="24"/>
          <w:szCs w:val="24"/>
        </w:rPr>
        <w:t>对于本规程第9.2.13条允许进入屈服的构件，应控制其进入屈服后的损坏等级，并应符合下列规定：</w:t>
      </w:r>
    </w:p>
    <w:p w14:paraId="05971D33">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snapToGrid/>
          <w:color w:val="auto"/>
          <w:kern w:val="2"/>
          <w:sz w:val="24"/>
          <w:szCs w:val="24"/>
          <w:lang w:eastAsia="zh-CN"/>
        </w:rPr>
        <w:t xml:space="preserve">1 </w:t>
      </w:r>
      <w:r>
        <w:rPr>
          <w:rFonts w:hint="default" w:ascii="Times New Roman" w:hAnsi="Times New Roman" w:eastAsia="宋体" w:cs="Times New Roman"/>
          <w:color w:val="auto"/>
          <w:sz w:val="24"/>
          <w:szCs w:val="24"/>
          <w:lang w:eastAsia="zh-CN"/>
        </w:rPr>
        <w:t>构件损坏等级应根据其宏观损坏程度、塑性变形和承载力退化等特征划分为无损坏、轻微损坏、轻度损坏、中度损坏、比较严重损坏和严重损坏等6个等级，并应按表9.2.14-1进行定义。</w:t>
      </w:r>
    </w:p>
    <w:p w14:paraId="7686485C">
      <w:pPr>
        <w:pStyle w:val="65"/>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表</w:t>
      </w:r>
      <w:r>
        <w:rPr>
          <w:rFonts w:hint="default" w:ascii="Times New Roman" w:hAnsi="Times New Roman" w:eastAsia="宋体" w:cs="Times New Roman"/>
          <w:b/>
          <w:bCs w:val="0"/>
          <w:color w:val="auto"/>
          <w:sz w:val="28"/>
          <w:szCs w:val="28"/>
        </w:rPr>
        <w:t>9.2.14-1</w:t>
      </w:r>
      <w:r>
        <w:rPr>
          <w:rFonts w:hint="default" w:ascii="Times New Roman" w:hAnsi="Times New Roman" w:eastAsia="宋体" w:cs="Times New Roman"/>
          <w:color w:val="auto"/>
          <w:sz w:val="28"/>
          <w:szCs w:val="28"/>
        </w:rPr>
        <w:t xml:space="preserve"> 构件损坏等级</w:t>
      </w:r>
    </w:p>
    <w:tbl>
      <w:tblPr>
        <w:tblStyle w:val="74"/>
        <w:tblW w:w="4171" w:type="pct"/>
        <w:jc w:val="center"/>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40"/>
        <w:gridCol w:w="1883"/>
        <w:gridCol w:w="4785"/>
      </w:tblGrid>
      <w:tr w14:paraId="7152CF66">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035"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tcBorders>
            <w:vAlign w:val="center"/>
          </w:tcPr>
          <w:p w14:paraId="11B0457C">
            <w:pPr>
              <w:pStyle w:val="57"/>
              <w:rPr>
                <w:rFonts w:hint="default" w:ascii="Times New Roman" w:hAnsi="Times New Roman" w:eastAsia="宋体" w:cs="Times New Roman"/>
                <w:b/>
                <w:bCs/>
                <w:color w:val="auto"/>
                <w:sz w:val="24"/>
                <w:szCs w:val="24"/>
              </w:rPr>
            </w:pPr>
            <w:r>
              <w:rPr>
                <w:rFonts w:hint="default" w:ascii="Times New Roman" w:hAnsi="Times New Roman" w:eastAsia="宋体" w:cs="Times New Roman"/>
                <w:b w:val="0"/>
                <w:bCs w:val="0"/>
                <w:color w:val="auto"/>
                <w:sz w:val="24"/>
                <w:szCs w:val="24"/>
              </w:rPr>
              <w:t>损坏等级</w:t>
            </w:r>
          </w:p>
        </w:tc>
        <w:tc>
          <w:tcPr>
            <w:tcW w:w="1120"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tcBorders>
            <w:vAlign w:val="center"/>
          </w:tcPr>
          <w:p w14:paraId="25A4E760">
            <w:pPr>
              <w:pStyle w:val="57"/>
              <w:rPr>
                <w:rFonts w:hint="default" w:ascii="Times New Roman" w:hAnsi="Times New Roman" w:eastAsia="宋体" w:cs="Times New Roman"/>
                <w:b/>
                <w:bCs/>
                <w:color w:val="auto"/>
                <w:sz w:val="24"/>
                <w:szCs w:val="24"/>
              </w:rPr>
            </w:pPr>
            <w:r>
              <w:rPr>
                <w:rFonts w:hint="default" w:ascii="Times New Roman" w:hAnsi="Times New Roman" w:eastAsia="宋体" w:cs="Times New Roman"/>
                <w:b w:val="0"/>
                <w:bCs w:val="0"/>
                <w:color w:val="auto"/>
                <w:sz w:val="24"/>
                <w:szCs w:val="24"/>
              </w:rPr>
              <w:t>损坏程度</w:t>
            </w:r>
          </w:p>
        </w:tc>
        <w:tc>
          <w:tcPr>
            <w:tcW w:w="2845"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tcBorders>
            <w:vAlign w:val="center"/>
          </w:tcPr>
          <w:p w14:paraId="5CA81194">
            <w:pPr>
              <w:pStyle w:val="57"/>
              <w:rPr>
                <w:rFonts w:hint="default" w:ascii="Times New Roman" w:hAnsi="Times New Roman" w:eastAsia="宋体" w:cs="Times New Roman"/>
                <w:b/>
                <w:bCs/>
                <w:color w:val="auto"/>
                <w:sz w:val="24"/>
                <w:szCs w:val="24"/>
              </w:rPr>
            </w:pPr>
            <w:r>
              <w:rPr>
                <w:rFonts w:hint="default" w:ascii="Times New Roman" w:hAnsi="Times New Roman" w:eastAsia="宋体" w:cs="Times New Roman"/>
                <w:b w:val="0"/>
                <w:bCs w:val="0"/>
                <w:color w:val="auto"/>
                <w:sz w:val="24"/>
                <w:szCs w:val="24"/>
              </w:rPr>
              <w:t>力-变形特征描述</w:t>
            </w:r>
          </w:p>
        </w:tc>
      </w:tr>
      <w:tr w14:paraId="672F1D91">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035" w:type="pct"/>
            <w:tcBorders>
              <w:left w:val="single" w:color="7E7E7E" w:themeColor="text1" w:themeTint="80" w:sz="4" w:space="0"/>
              <w:right w:val="single" w:color="7E7E7E" w:themeColor="text1" w:themeTint="80" w:sz="4" w:space="0"/>
            </w:tcBorders>
            <w:vAlign w:val="center"/>
          </w:tcPr>
          <w:p w14:paraId="2B7D2C7D">
            <w:pPr>
              <w:pStyle w:val="57"/>
              <w:rPr>
                <w:rFonts w:hint="default" w:ascii="Times New Roman" w:hAnsi="Times New Roman" w:eastAsia="宋体" w:cs="Times New Roman"/>
                <w:b/>
                <w:bCs/>
                <w:color w:val="auto"/>
                <w:sz w:val="24"/>
                <w:szCs w:val="24"/>
              </w:rPr>
            </w:pPr>
            <w:r>
              <w:rPr>
                <w:rFonts w:hint="default" w:ascii="Times New Roman" w:hAnsi="Times New Roman" w:eastAsia="宋体" w:cs="Times New Roman"/>
                <w:b w:val="0"/>
                <w:bCs w:val="0"/>
                <w:color w:val="auto"/>
                <w:sz w:val="24"/>
                <w:szCs w:val="24"/>
              </w:rPr>
              <w:t>Ll</w:t>
            </w:r>
          </w:p>
        </w:tc>
        <w:tc>
          <w:tcPr>
            <w:tcW w:w="1120" w:type="pct"/>
            <w:tcBorders>
              <w:left w:val="single" w:color="7E7E7E" w:themeColor="text1" w:themeTint="80" w:sz="4" w:space="0"/>
              <w:right w:val="single" w:color="7E7E7E" w:themeColor="text1" w:themeTint="80" w:sz="4" w:space="0"/>
            </w:tcBorders>
            <w:vAlign w:val="center"/>
          </w:tcPr>
          <w:p w14:paraId="3798BCA3">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无损坏</w:t>
            </w:r>
          </w:p>
        </w:tc>
        <w:tc>
          <w:tcPr>
            <w:tcW w:w="2845" w:type="pct"/>
            <w:tcBorders>
              <w:left w:val="single" w:color="7E7E7E" w:themeColor="text1" w:themeTint="80" w:sz="4" w:space="0"/>
              <w:right w:val="single" w:color="7E7E7E" w:themeColor="text1" w:themeTint="80" w:sz="4" w:space="0"/>
            </w:tcBorders>
            <w:vAlign w:val="center"/>
          </w:tcPr>
          <w:p w14:paraId="46862453">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构件未屈服或无明显塑性变形</w:t>
            </w:r>
          </w:p>
        </w:tc>
      </w:tr>
      <w:tr w14:paraId="22DC01A6">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035"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tcBorders>
            <w:vAlign w:val="center"/>
          </w:tcPr>
          <w:p w14:paraId="140832EA">
            <w:pPr>
              <w:pStyle w:val="57"/>
              <w:rPr>
                <w:rFonts w:hint="default" w:ascii="Times New Roman" w:hAnsi="Times New Roman" w:eastAsia="宋体" w:cs="Times New Roman"/>
                <w:b/>
                <w:bCs/>
                <w:color w:val="auto"/>
                <w:sz w:val="24"/>
                <w:szCs w:val="24"/>
              </w:rPr>
            </w:pPr>
            <w:r>
              <w:rPr>
                <w:rFonts w:hint="default" w:ascii="Times New Roman" w:hAnsi="Times New Roman" w:eastAsia="宋体" w:cs="Times New Roman"/>
                <w:b w:val="0"/>
                <w:bCs w:val="0"/>
                <w:color w:val="auto"/>
                <w:sz w:val="24"/>
                <w:szCs w:val="24"/>
              </w:rPr>
              <w:t>L2</w:t>
            </w:r>
          </w:p>
        </w:tc>
        <w:tc>
          <w:tcPr>
            <w:tcW w:w="1120"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tcBorders>
            <w:vAlign w:val="center"/>
          </w:tcPr>
          <w:p w14:paraId="5118F0EB">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轻微损坏</w:t>
            </w:r>
          </w:p>
        </w:tc>
        <w:tc>
          <w:tcPr>
            <w:tcW w:w="2845"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tcBorders>
            <w:vAlign w:val="center"/>
          </w:tcPr>
          <w:p w14:paraId="468E4BCB">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构件出现较轻微的塑性变形</w:t>
            </w:r>
          </w:p>
        </w:tc>
      </w:tr>
      <w:tr w14:paraId="21B3E701">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035" w:type="pct"/>
            <w:tcBorders>
              <w:left w:val="single" w:color="7E7E7E" w:themeColor="text1" w:themeTint="80" w:sz="4" w:space="0"/>
              <w:right w:val="single" w:color="7E7E7E" w:themeColor="text1" w:themeTint="80" w:sz="4" w:space="0"/>
            </w:tcBorders>
            <w:vAlign w:val="center"/>
          </w:tcPr>
          <w:p w14:paraId="1A7EC74E">
            <w:pPr>
              <w:pStyle w:val="57"/>
              <w:rPr>
                <w:rFonts w:hint="default" w:ascii="Times New Roman" w:hAnsi="Times New Roman" w:eastAsia="宋体" w:cs="Times New Roman"/>
                <w:b/>
                <w:bCs/>
                <w:color w:val="auto"/>
                <w:sz w:val="24"/>
                <w:szCs w:val="24"/>
              </w:rPr>
            </w:pPr>
            <w:r>
              <w:rPr>
                <w:rFonts w:hint="default" w:ascii="Times New Roman" w:hAnsi="Times New Roman" w:eastAsia="宋体" w:cs="Times New Roman"/>
                <w:b w:val="0"/>
                <w:bCs w:val="0"/>
                <w:color w:val="auto"/>
                <w:sz w:val="24"/>
                <w:szCs w:val="24"/>
              </w:rPr>
              <w:t>L3</w:t>
            </w:r>
          </w:p>
        </w:tc>
        <w:tc>
          <w:tcPr>
            <w:tcW w:w="1120" w:type="pct"/>
            <w:tcBorders>
              <w:left w:val="single" w:color="7E7E7E" w:themeColor="text1" w:themeTint="80" w:sz="4" w:space="0"/>
              <w:right w:val="single" w:color="7E7E7E" w:themeColor="text1" w:themeTint="80" w:sz="4" w:space="0"/>
            </w:tcBorders>
            <w:vAlign w:val="center"/>
          </w:tcPr>
          <w:p w14:paraId="3A10C302">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轻度损坏</w:t>
            </w:r>
          </w:p>
        </w:tc>
        <w:tc>
          <w:tcPr>
            <w:tcW w:w="2845" w:type="pct"/>
            <w:tcBorders>
              <w:left w:val="single" w:color="7E7E7E" w:themeColor="text1" w:themeTint="80" w:sz="4" w:space="0"/>
              <w:right w:val="single" w:color="7E7E7E" w:themeColor="text1" w:themeTint="80" w:sz="4" w:space="0"/>
            </w:tcBorders>
            <w:vAlign w:val="center"/>
          </w:tcPr>
          <w:p w14:paraId="45AFF332">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构件出现一定的塑性变形，并接近极限承载力</w:t>
            </w:r>
          </w:p>
        </w:tc>
      </w:tr>
      <w:tr w14:paraId="534ED74E">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035"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tcBorders>
            <w:vAlign w:val="center"/>
          </w:tcPr>
          <w:p w14:paraId="743C01C4">
            <w:pPr>
              <w:pStyle w:val="57"/>
              <w:rPr>
                <w:rFonts w:hint="default" w:ascii="Times New Roman" w:hAnsi="Times New Roman" w:eastAsia="宋体" w:cs="Times New Roman"/>
                <w:b/>
                <w:bCs/>
                <w:color w:val="auto"/>
                <w:sz w:val="24"/>
                <w:szCs w:val="24"/>
              </w:rPr>
            </w:pPr>
            <w:r>
              <w:rPr>
                <w:rFonts w:hint="default" w:ascii="Times New Roman" w:hAnsi="Times New Roman" w:eastAsia="宋体" w:cs="Times New Roman"/>
                <w:b w:val="0"/>
                <w:bCs w:val="0"/>
                <w:color w:val="auto"/>
                <w:sz w:val="24"/>
                <w:szCs w:val="24"/>
              </w:rPr>
              <w:t>L4</w:t>
            </w:r>
          </w:p>
        </w:tc>
        <w:tc>
          <w:tcPr>
            <w:tcW w:w="1120"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tcBorders>
            <w:vAlign w:val="center"/>
          </w:tcPr>
          <w:p w14:paraId="2CEE8289">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中度损坏</w:t>
            </w:r>
          </w:p>
        </w:tc>
        <w:tc>
          <w:tcPr>
            <w:tcW w:w="2845"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tcBorders>
            <w:vAlign w:val="center"/>
          </w:tcPr>
          <w:p w14:paraId="17F8C245">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构件超过极限承载力，但承载力无明显退化</w:t>
            </w:r>
          </w:p>
        </w:tc>
      </w:tr>
      <w:tr w14:paraId="31394E4A">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035" w:type="pct"/>
            <w:tcBorders>
              <w:left w:val="single" w:color="7E7E7E" w:themeColor="text1" w:themeTint="80" w:sz="4" w:space="0"/>
              <w:right w:val="single" w:color="7E7E7E" w:themeColor="text1" w:themeTint="80" w:sz="4" w:space="0"/>
            </w:tcBorders>
            <w:vAlign w:val="center"/>
          </w:tcPr>
          <w:p w14:paraId="1E64D8E6">
            <w:pPr>
              <w:pStyle w:val="57"/>
              <w:rPr>
                <w:rFonts w:hint="default" w:ascii="Times New Roman" w:hAnsi="Times New Roman" w:eastAsia="宋体" w:cs="Times New Roman"/>
                <w:b/>
                <w:bCs/>
                <w:color w:val="auto"/>
                <w:sz w:val="24"/>
                <w:szCs w:val="24"/>
              </w:rPr>
            </w:pPr>
            <w:r>
              <w:rPr>
                <w:rFonts w:hint="default" w:ascii="Times New Roman" w:hAnsi="Times New Roman" w:eastAsia="宋体" w:cs="Times New Roman"/>
                <w:b w:val="0"/>
                <w:bCs w:val="0"/>
                <w:color w:val="auto"/>
                <w:sz w:val="24"/>
                <w:szCs w:val="24"/>
              </w:rPr>
              <w:t>L5</w:t>
            </w:r>
          </w:p>
        </w:tc>
        <w:tc>
          <w:tcPr>
            <w:tcW w:w="1120" w:type="pct"/>
            <w:tcBorders>
              <w:left w:val="single" w:color="7E7E7E" w:themeColor="text1" w:themeTint="80" w:sz="4" w:space="0"/>
              <w:right w:val="single" w:color="7E7E7E" w:themeColor="text1" w:themeTint="80" w:sz="4" w:space="0"/>
            </w:tcBorders>
            <w:vAlign w:val="center"/>
          </w:tcPr>
          <w:p w14:paraId="3511FE3F">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比较严重损坏</w:t>
            </w:r>
          </w:p>
        </w:tc>
        <w:tc>
          <w:tcPr>
            <w:tcW w:w="2845" w:type="pct"/>
            <w:tcBorders>
              <w:left w:val="single" w:color="7E7E7E" w:themeColor="text1" w:themeTint="80" w:sz="4" w:space="0"/>
              <w:right w:val="single" w:color="7E7E7E" w:themeColor="text1" w:themeTint="80" w:sz="4" w:space="0"/>
            </w:tcBorders>
            <w:vAlign w:val="center"/>
          </w:tcPr>
          <w:p w14:paraId="15B94E09">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构件达到极限变形条件，有一定的承载力退化</w:t>
            </w:r>
          </w:p>
        </w:tc>
      </w:tr>
      <w:tr w14:paraId="4297961E">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035"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tcBorders>
            <w:vAlign w:val="center"/>
          </w:tcPr>
          <w:p w14:paraId="067013B8">
            <w:pPr>
              <w:pStyle w:val="57"/>
              <w:rPr>
                <w:rFonts w:hint="default" w:ascii="Times New Roman" w:hAnsi="Times New Roman" w:eastAsia="宋体" w:cs="Times New Roman"/>
                <w:b/>
                <w:bCs/>
                <w:color w:val="auto"/>
                <w:sz w:val="24"/>
                <w:szCs w:val="24"/>
              </w:rPr>
            </w:pPr>
            <w:r>
              <w:rPr>
                <w:rFonts w:hint="default" w:ascii="Times New Roman" w:hAnsi="Times New Roman" w:eastAsia="宋体" w:cs="Times New Roman"/>
                <w:b w:val="0"/>
                <w:bCs w:val="0"/>
                <w:color w:val="auto"/>
                <w:sz w:val="24"/>
                <w:szCs w:val="24"/>
              </w:rPr>
              <w:t>L6</w:t>
            </w:r>
          </w:p>
        </w:tc>
        <w:tc>
          <w:tcPr>
            <w:tcW w:w="1120"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tcBorders>
            <w:vAlign w:val="center"/>
          </w:tcPr>
          <w:p w14:paraId="197109BD">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严重损坏</w:t>
            </w:r>
          </w:p>
        </w:tc>
        <w:tc>
          <w:tcPr>
            <w:tcW w:w="2845"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tcBorders>
            <w:vAlign w:val="center"/>
          </w:tcPr>
          <w:p w14:paraId="0AC2859E">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构件出现显著的承载力退化，并可能引起坍塌</w:t>
            </w:r>
          </w:p>
        </w:tc>
      </w:tr>
    </w:tbl>
    <w:p w14:paraId="4FA4FEDC">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snapToGrid/>
          <w:color w:val="auto"/>
          <w:kern w:val="2"/>
          <w:sz w:val="24"/>
          <w:szCs w:val="24"/>
          <w:lang w:eastAsia="zh-CN"/>
        </w:rPr>
        <w:t xml:space="preserve">2 </w:t>
      </w:r>
      <w:r>
        <w:rPr>
          <w:rFonts w:hint="default" w:ascii="Times New Roman" w:hAnsi="Times New Roman" w:eastAsia="宋体" w:cs="Times New Roman"/>
          <w:color w:val="auto"/>
          <w:sz w:val="24"/>
          <w:szCs w:val="24"/>
          <w:lang w:eastAsia="zh-CN"/>
        </w:rPr>
        <w:t>构件屈服后的允许损坏等级应根据构件类型和受力特征，按表9.2.14-2确定。</w:t>
      </w:r>
    </w:p>
    <w:p w14:paraId="70619015">
      <w:pPr>
        <w:pStyle w:val="65"/>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表9.2.14-2 构件屈服后的允许损坏等级</w:t>
      </w:r>
    </w:p>
    <w:tbl>
      <w:tblPr>
        <w:tblStyle w:val="74"/>
        <w:tblW w:w="4310" w:type="pct"/>
        <w:jc w:val="center"/>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41"/>
        <w:gridCol w:w="2400"/>
        <w:gridCol w:w="2396"/>
        <w:gridCol w:w="2351"/>
      </w:tblGrid>
      <w:tr w14:paraId="131C94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 w:hRule="atLeast"/>
          <w:jc w:val="center"/>
        </w:trPr>
        <w:tc>
          <w:tcPr>
            <w:tcW w:w="887" w:type="pct"/>
            <w:vMerge w:val="restar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tcBorders>
            <w:vAlign w:val="center"/>
          </w:tcPr>
          <w:p w14:paraId="3C24AFEC">
            <w:pPr>
              <w:pStyle w:val="57"/>
              <w:rPr>
                <w:rFonts w:hint="default" w:ascii="Times New Roman" w:hAnsi="Times New Roman" w:eastAsia="宋体" w:cs="Times New Roman"/>
                <w:b/>
                <w:bCs w:val="0"/>
                <w:color w:val="auto"/>
                <w:sz w:val="24"/>
                <w:szCs w:val="24"/>
              </w:rPr>
            </w:pPr>
            <w:r>
              <w:rPr>
                <w:rFonts w:hint="default" w:ascii="Times New Roman" w:hAnsi="Times New Roman" w:eastAsia="宋体" w:cs="Times New Roman"/>
                <w:b w:val="0"/>
                <w:bCs/>
                <w:color w:val="auto"/>
                <w:sz w:val="24"/>
                <w:szCs w:val="24"/>
              </w:rPr>
              <w:t>结构性能水准</w:t>
            </w:r>
          </w:p>
        </w:tc>
        <w:tc>
          <w:tcPr>
            <w:tcW w:w="4113" w:type="pct"/>
            <w:gridSpan w:val="3"/>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tcBorders>
            <w:vAlign w:val="center"/>
          </w:tcPr>
          <w:p w14:paraId="7F39D036">
            <w:pPr>
              <w:pStyle w:val="57"/>
              <w:rPr>
                <w:rFonts w:hint="default" w:ascii="Times New Roman" w:hAnsi="Times New Roman" w:eastAsia="宋体" w:cs="Times New Roman"/>
                <w:b/>
                <w:bCs w:val="0"/>
                <w:color w:val="auto"/>
                <w:sz w:val="24"/>
                <w:szCs w:val="24"/>
              </w:rPr>
            </w:pPr>
            <w:r>
              <w:rPr>
                <w:rFonts w:hint="default" w:ascii="Times New Roman" w:hAnsi="Times New Roman" w:eastAsia="宋体" w:cs="Times New Roman"/>
                <w:b/>
                <w:bCs w:val="0"/>
                <w:color w:val="auto"/>
                <w:sz w:val="24"/>
                <w:szCs w:val="24"/>
              </w:rPr>
              <w:t>构件类型</w:t>
            </w:r>
          </w:p>
        </w:tc>
      </w:tr>
      <w:tr w14:paraId="1DA2D06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 w:hRule="atLeast"/>
          <w:jc w:val="center"/>
        </w:trPr>
        <w:tc>
          <w:tcPr>
            <w:tcW w:w="887" w:type="pct"/>
            <w:vMerge w:val="continue"/>
            <w:tcBorders>
              <w:left w:val="single" w:color="7E7E7E" w:themeColor="text1" w:themeTint="80" w:sz="4" w:space="0"/>
              <w:right w:val="single" w:color="7E7E7E" w:themeColor="text1" w:themeTint="80" w:sz="4" w:space="0"/>
            </w:tcBorders>
            <w:vAlign w:val="center"/>
          </w:tcPr>
          <w:p w14:paraId="2AC4CD21">
            <w:pPr>
              <w:pStyle w:val="57"/>
              <w:rPr>
                <w:rFonts w:hint="default" w:ascii="Times New Roman" w:hAnsi="Times New Roman" w:eastAsia="宋体" w:cs="Times New Roman"/>
                <w:b/>
                <w:bCs w:val="0"/>
                <w:color w:val="auto"/>
                <w:sz w:val="24"/>
                <w:szCs w:val="24"/>
              </w:rPr>
            </w:pPr>
          </w:p>
        </w:tc>
        <w:tc>
          <w:tcPr>
            <w:tcW w:w="1381" w:type="pct"/>
            <w:tcBorders>
              <w:left w:val="single" w:color="7E7E7E" w:themeColor="text1" w:themeTint="80" w:sz="4" w:space="0"/>
              <w:right w:val="single" w:color="7E7E7E" w:themeColor="text1" w:themeTint="80" w:sz="4" w:space="0"/>
            </w:tcBorders>
            <w:vAlign w:val="center"/>
          </w:tcPr>
          <w:p w14:paraId="7A948553">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关键构件</w:t>
            </w:r>
          </w:p>
        </w:tc>
        <w:tc>
          <w:tcPr>
            <w:tcW w:w="1379" w:type="pct"/>
            <w:tcBorders>
              <w:left w:val="single" w:color="7E7E7E" w:themeColor="text1" w:themeTint="80" w:sz="4" w:space="0"/>
              <w:right w:val="single" w:color="7E7E7E" w:themeColor="text1" w:themeTint="80" w:sz="4" w:space="0"/>
            </w:tcBorders>
            <w:vAlign w:val="center"/>
          </w:tcPr>
          <w:p w14:paraId="3EFA9B6F">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普通竖向构件</w:t>
            </w:r>
          </w:p>
        </w:tc>
        <w:tc>
          <w:tcPr>
            <w:tcW w:w="1353" w:type="pct"/>
            <w:tcBorders>
              <w:left w:val="single" w:color="7E7E7E" w:themeColor="text1" w:themeTint="80" w:sz="4" w:space="0"/>
              <w:right w:val="single" w:color="7E7E7E" w:themeColor="text1" w:themeTint="80" w:sz="4" w:space="0"/>
            </w:tcBorders>
            <w:vAlign w:val="center"/>
          </w:tcPr>
          <w:p w14:paraId="30DADAC1">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耗能构件</w:t>
            </w:r>
          </w:p>
        </w:tc>
      </w:tr>
      <w:tr w14:paraId="3AA5C732">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 w:hRule="atLeast"/>
          <w:jc w:val="center"/>
        </w:trPr>
        <w:tc>
          <w:tcPr>
            <w:tcW w:w="887"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tcBorders>
            <w:vAlign w:val="center"/>
          </w:tcPr>
          <w:p w14:paraId="5A979E40">
            <w:pPr>
              <w:pStyle w:val="57"/>
              <w:rPr>
                <w:rFonts w:hint="default" w:ascii="Times New Roman" w:hAnsi="Times New Roman" w:eastAsia="宋体" w:cs="Times New Roman"/>
                <w:b/>
                <w:bCs w:val="0"/>
                <w:color w:val="auto"/>
                <w:sz w:val="24"/>
                <w:szCs w:val="24"/>
              </w:rPr>
            </w:pPr>
            <w:r>
              <w:rPr>
                <w:rFonts w:hint="default" w:ascii="Times New Roman" w:hAnsi="Times New Roman" w:eastAsia="宋体" w:cs="Times New Roman"/>
                <w:b w:val="0"/>
                <w:bCs/>
                <w:color w:val="auto"/>
                <w:sz w:val="24"/>
                <w:szCs w:val="24"/>
              </w:rPr>
              <w:t>1</w:t>
            </w:r>
          </w:p>
        </w:tc>
        <w:tc>
          <w:tcPr>
            <w:tcW w:w="1381"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tcBorders>
            <w:vAlign w:val="center"/>
          </w:tcPr>
          <w:p w14:paraId="421823C3">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L1</w:t>
            </w:r>
          </w:p>
        </w:tc>
        <w:tc>
          <w:tcPr>
            <w:tcW w:w="1379"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tcBorders>
            <w:vAlign w:val="center"/>
          </w:tcPr>
          <w:p w14:paraId="2FBD99EB">
            <w:pPr>
              <w:pStyle w:val="57"/>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L</w:t>
            </w:r>
            <w:r>
              <w:rPr>
                <w:rFonts w:hint="default" w:ascii="Times New Roman" w:hAnsi="Times New Roman" w:eastAsia="宋体" w:cs="Times New Roman"/>
                <w:color w:val="auto"/>
                <w:sz w:val="24"/>
                <w:szCs w:val="24"/>
                <w:lang w:val="en-US" w:eastAsia="zh-CN"/>
              </w:rPr>
              <w:t>1</w:t>
            </w:r>
          </w:p>
        </w:tc>
        <w:tc>
          <w:tcPr>
            <w:tcW w:w="1353"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tcBorders>
            <w:vAlign w:val="center"/>
          </w:tcPr>
          <w:p w14:paraId="45802F1A">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L1</w:t>
            </w:r>
          </w:p>
        </w:tc>
      </w:tr>
      <w:tr w14:paraId="0C6A57A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 w:hRule="atLeast"/>
          <w:jc w:val="center"/>
        </w:trPr>
        <w:tc>
          <w:tcPr>
            <w:tcW w:w="887" w:type="pct"/>
            <w:tcBorders>
              <w:left w:val="single" w:color="7E7E7E" w:themeColor="text1" w:themeTint="80" w:sz="4" w:space="0"/>
              <w:right w:val="single" w:color="7E7E7E" w:themeColor="text1" w:themeTint="80" w:sz="4" w:space="0"/>
            </w:tcBorders>
            <w:vAlign w:val="center"/>
          </w:tcPr>
          <w:p w14:paraId="232B5C16">
            <w:pPr>
              <w:pStyle w:val="57"/>
              <w:rPr>
                <w:rFonts w:hint="default" w:ascii="Times New Roman" w:hAnsi="Times New Roman" w:eastAsia="宋体" w:cs="Times New Roman"/>
                <w:b/>
                <w:bCs w:val="0"/>
                <w:color w:val="auto"/>
                <w:sz w:val="24"/>
                <w:szCs w:val="24"/>
              </w:rPr>
            </w:pPr>
            <w:r>
              <w:rPr>
                <w:rFonts w:hint="default" w:ascii="Times New Roman" w:hAnsi="Times New Roman" w:eastAsia="宋体" w:cs="Times New Roman"/>
                <w:b w:val="0"/>
                <w:bCs/>
                <w:color w:val="auto"/>
                <w:sz w:val="24"/>
                <w:szCs w:val="24"/>
              </w:rPr>
              <w:t>2</w:t>
            </w:r>
          </w:p>
        </w:tc>
        <w:tc>
          <w:tcPr>
            <w:tcW w:w="1381" w:type="pct"/>
            <w:tcBorders>
              <w:left w:val="single" w:color="7E7E7E" w:themeColor="text1" w:themeTint="80" w:sz="4" w:space="0"/>
              <w:right w:val="single" w:color="7E7E7E" w:themeColor="text1" w:themeTint="80" w:sz="4" w:space="0"/>
            </w:tcBorders>
            <w:vAlign w:val="center"/>
          </w:tcPr>
          <w:p w14:paraId="6AFE1EB0">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L1</w:t>
            </w:r>
          </w:p>
        </w:tc>
        <w:tc>
          <w:tcPr>
            <w:tcW w:w="1379" w:type="pct"/>
            <w:tcBorders>
              <w:left w:val="single" w:color="7E7E7E" w:themeColor="text1" w:themeTint="80" w:sz="4" w:space="0"/>
              <w:right w:val="single" w:color="7E7E7E" w:themeColor="text1" w:themeTint="80" w:sz="4" w:space="0"/>
            </w:tcBorders>
            <w:vAlign w:val="center"/>
          </w:tcPr>
          <w:p w14:paraId="7F3EC84A">
            <w:pPr>
              <w:pStyle w:val="57"/>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L</w:t>
            </w:r>
            <w:r>
              <w:rPr>
                <w:rFonts w:hint="default" w:ascii="Times New Roman" w:hAnsi="Times New Roman" w:eastAsia="宋体" w:cs="Times New Roman"/>
                <w:color w:val="auto"/>
                <w:sz w:val="24"/>
                <w:szCs w:val="24"/>
                <w:lang w:val="en-US" w:eastAsia="zh-CN"/>
              </w:rPr>
              <w:t>1</w:t>
            </w:r>
          </w:p>
        </w:tc>
        <w:tc>
          <w:tcPr>
            <w:tcW w:w="1353" w:type="pct"/>
            <w:tcBorders>
              <w:left w:val="single" w:color="7E7E7E" w:themeColor="text1" w:themeTint="80" w:sz="4" w:space="0"/>
              <w:right w:val="single" w:color="7E7E7E" w:themeColor="text1" w:themeTint="80" w:sz="4" w:space="0"/>
            </w:tcBorders>
            <w:vAlign w:val="center"/>
          </w:tcPr>
          <w:p w14:paraId="28880D14">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个别L2</w:t>
            </w:r>
          </w:p>
        </w:tc>
      </w:tr>
      <w:tr w14:paraId="3A8D37E1">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 w:hRule="atLeast"/>
          <w:jc w:val="center"/>
        </w:trPr>
        <w:tc>
          <w:tcPr>
            <w:tcW w:w="887"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tcBorders>
            <w:vAlign w:val="center"/>
          </w:tcPr>
          <w:p w14:paraId="06F57A6C">
            <w:pPr>
              <w:pStyle w:val="57"/>
              <w:rPr>
                <w:rFonts w:hint="default" w:ascii="Times New Roman" w:hAnsi="Times New Roman" w:eastAsia="宋体" w:cs="Times New Roman"/>
                <w:b/>
                <w:bCs w:val="0"/>
                <w:color w:val="auto"/>
                <w:sz w:val="24"/>
                <w:szCs w:val="24"/>
              </w:rPr>
            </w:pPr>
            <w:r>
              <w:rPr>
                <w:rFonts w:hint="default" w:ascii="Times New Roman" w:hAnsi="Times New Roman" w:eastAsia="宋体" w:cs="Times New Roman"/>
                <w:b w:val="0"/>
                <w:bCs/>
                <w:color w:val="auto"/>
                <w:sz w:val="24"/>
                <w:szCs w:val="24"/>
              </w:rPr>
              <w:t>3</w:t>
            </w:r>
          </w:p>
        </w:tc>
        <w:tc>
          <w:tcPr>
            <w:tcW w:w="1381"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tcBorders>
            <w:vAlign w:val="center"/>
          </w:tcPr>
          <w:p w14:paraId="73C400E5">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个别L2</w:t>
            </w:r>
          </w:p>
        </w:tc>
        <w:tc>
          <w:tcPr>
            <w:tcW w:w="1379"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tcBorders>
            <w:vAlign w:val="center"/>
          </w:tcPr>
          <w:p w14:paraId="59CD894F">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部分L2</w:t>
            </w:r>
          </w:p>
        </w:tc>
        <w:tc>
          <w:tcPr>
            <w:tcW w:w="1353"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tcBorders>
            <w:vAlign w:val="center"/>
          </w:tcPr>
          <w:p w14:paraId="495AE94B">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部分L3，个别L4</w:t>
            </w:r>
          </w:p>
        </w:tc>
      </w:tr>
      <w:tr w14:paraId="44CD705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 w:hRule="atLeast"/>
          <w:jc w:val="center"/>
        </w:trPr>
        <w:tc>
          <w:tcPr>
            <w:tcW w:w="887" w:type="pct"/>
            <w:tcBorders>
              <w:left w:val="single" w:color="7E7E7E" w:themeColor="text1" w:themeTint="80" w:sz="4" w:space="0"/>
              <w:right w:val="single" w:color="7E7E7E" w:themeColor="text1" w:themeTint="80" w:sz="4" w:space="0"/>
            </w:tcBorders>
            <w:vAlign w:val="center"/>
          </w:tcPr>
          <w:p w14:paraId="722E83A5">
            <w:pPr>
              <w:pStyle w:val="57"/>
              <w:rPr>
                <w:rFonts w:hint="default" w:ascii="Times New Roman" w:hAnsi="Times New Roman" w:eastAsia="宋体" w:cs="Times New Roman"/>
                <w:b/>
                <w:bCs w:val="0"/>
                <w:color w:val="auto"/>
                <w:sz w:val="24"/>
                <w:szCs w:val="24"/>
              </w:rPr>
            </w:pPr>
            <w:r>
              <w:rPr>
                <w:rFonts w:hint="default" w:ascii="Times New Roman" w:hAnsi="Times New Roman" w:eastAsia="宋体" w:cs="Times New Roman"/>
                <w:b w:val="0"/>
                <w:bCs/>
                <w:color w:val="auto"/>
                <w:sz w:val="24"/>
                <w:szCs w:val="24"/>
              </w:rPr>
              <w:t>4</w:t>
            </w:r>
          </w:p>
        </w:tc>
        <w:tc>
          <w:tcPr>
            <w:tcW w:w="1381" w:type="pct"/>
            <w:tcBorders>
              <w:left w:val="single" w:color="7E7E7E" w:themeColor="text1" w:themeTint="80" w:sz="4" w:space="0"/>
              <w:right w:val="single" w:color="7E7E7E" w:themeColor="text1" w:themeTint="80" w:sz="4" w:space="0"/>
            </w:tcBorders>
            <w:vAlign w:val="center"/>
          </w:tcPr>
          <w:p w14:paraId="4B97A8B5">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部分L2，个别L3</w:t>
            </w:r>
          </w:p>
        </w:tc>
        <w:tc>
          <w:tcPr>
            <w:tcW w:w="1379" w:type="pct"/>
            <w:tcBorders>
              <w:left w:val="single" w:color="7E7E7E" w:themeColor="text1" w:themeTint="80" w:sz="4" w:space="0"/>
              <w:right w:val="single" w:color="7E7E7E" w:themeColor="text1" w:themeTint="80" w:sz="4" w:space="0"/>
            </w:tcBorders>
            <w:vAlign w:val="center"/>
          </w:tcPr>
          <w:p w14:paraId="33F38DCB">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部分L3，个别L4</w:t>
            </w:r>
          </w:p>
        </w:tc>
        <w:tc>
          <w:tcPr>
            <w:tcW w:w="1353" w:type="pct"/>
            <w:tcBorders>
              <w:left w:val="single" w:color="7E7E7E" w:themeColor="text1" w:themeTint="80" w:sz="4" w:space="0"/>
              <w:right w:val="single" w:color="7E7E7E" w:themeColor="text1" w:themeTint="80" w:sz="4" w:space="0"/>
            </w:tcBorders>
            <w:vAlign w:val="center"/>
          </w:tcPr>
          <w:p w14:paraId="4C175D7E">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部分L4，个别L5</w:t>
            </w:r>
          </w:p>
        </w:tc>
      </w:tr>
      <w:tr w14:paraId="2F50337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 w:hRule="atLeast"/>
          <w:jc w:val="center"/>
        </w:trPr>
        <w:tc>
          <w:tcPr>
            <w:tcW w:w="887"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tcBorders>
            <w:vAlign w:val="center"/>
          </w:tcPr>
          <w:p w14:paraId="119EE323">
            <w:pPr>
              <w:pStyle w:val="57"/>
              <w:rPr>
                <w:rFonts w:hint="default" w:ascii="Times New Roman" w:hAnsi="Times New Roman" w:eastAsia="宋体" w:cs="Times New Roman"/>
                <w:b/>
                <w:bCs w:val="0"/>
                <w:color w:val="auto"/>
                <w:sz w:val="24"/>
                <w:szCs w:val="24"/>
              </w:rPr>
            </w:pPr>
            <w:r>
              <w:rPr>
                <w:rFonts w:hint="default" w:ascii="Times New Roman" w:hAnsi="Times New Roman" w:eastAsia="宋体" w:cs="Times New Roman"/>
                <w:b w:val="0"/>
                <w:bCs/>
                <w:color w:val="auto"/>
                <w:sz w:val="24"/>
                <w:szCs w:val="24"/>
              </w:rPr>
              <w:t>5</w:t>
            </w:r>
          </w:p>
        </w:tc>
        <w:tc>
          <w:tcPr>
            <w:tcW w:w="1381"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tcBorders>
            <w:vAlign w:val="center"/>
          </w:tcPr>
          <w:p w14:paraId="533235CA">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部分L3，个别L4</w:t>
            </w:r>
          </w:p>
        </w:tc>
        <w:tc>
          <w:tcPr>
            <w:tcW w:w="1379"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tcBorders>
            <w:vAlign w:val="center"/>
          </w:tcPr>
          <w:p w14:paraId="6968DDF6">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部分L4，个别L5</w:t>
            </w:r>
          </w:p>
        </w:tc>
        <w:tc>
          <w:tcPr>
            <w:tcW w:w="1353" w:type="pct"/>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tcBorders>
            <w:vAlign w:val="center"/>
          </w:tcPr>
          <w:p w14:paraId="13AB1614">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部分L5，个别L6</w:t>
            </w:r>
          </w:p>
        </w:tc>
      </w:tr>
      <w:tr w14:paraId="394D199B">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 w:hRule="atLeast"/>
          <w:jc w:val="center"/>
        </w:trPr>
        <w:tc>
          <w:tcPr>
            <w:tcW w:w="5000" w:type="pct"/>
            <w:gridSpan w:val="4"/>
            <w:tcBorders>
              <w:left w:val="single" w:color="7E7E7E" w:themeColor="text1" w:themeTint="80" w:sz="4" w:space="0"/>
              <w:right w:val="single" w:color="7E7E7E" w:themeColor="text1" w:themeTint="80" w:sz="4" w:space="0"/>
            </w:tcBorders>
            <w:vAlign w:val="center"/>
          </w:tcPr>
          <w:p w14:paraId="5B3574ED">
            <w:pPr>
              <w:pStyle w:val="57"/>
              <w:jc w:val="left"/>
              <w:rPr>
                <w:rFonts w:hint="default" w:ascii="Times New Roman" w:hAnsi="Times New Roman" w:eastAsia="宋体" w:cs="Times New Roman"/>
                <w:b/>
                <w:bCs w:val="0"/>
                <w:color w:val="FF0000"/>
                <w:sz w:val="24"/>
                <w:szCs w:val="24"/>
              </w:rPr>
            </w:pPr>
          </w:p>
        </w:tc>
      </w:tr>
      <w:tr w14:paraId="01D1B501">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 w:hRule="atLeast"/>
          <w:jc w:val="center"/>
        </w:trPr>
        <w:tc>
          <w:tcPr>
            <w:tcW w:w="5000" w:type="pct"/>
            <w:gridSpan w:val="4"/>
            <w:tcBorders>
              <w:left w:val="single" w:color="7E7E7E" w:themeColor="text1" w:themeTint="80" w:sz="4" w:space="0"/>
              <w:right w:val="single" w:color="7E7E7E" w:themeColor="text1" w:themeTint="80" w:sz="4" w:space="0"/>
            </w:tcBorders>
            <w:vAlign w:val="center"/>
          </w:tcPr>
          <w:p w14:paraId="22B3EF39">
            <w:pPr>
              <w:pStyle w:val="57"/>
              <w:jc w:val="left"/>
              <w:rPr>
                <w:rFonts w:hint="default" w:ascii="Times New Roman" w:hAnsi="Times New Roman" w:eastAsia="宋体" w:cs="Times New Roman"/>
                <w:b w:val="0"/>
                <w:bCs/>
                <w:color w:val="FF0000"/>
                <w:sz w:val="21"/>
                <w:szCs w:val="21"/>
              </w:rPr>
            </w:pPr>
          </w:p>
        </w:tc>
      </w:tr>
    </w:tbl>
    <w:p w14:paraId="215147F5">
      <w:pPr>
        <w:pStyle w:val="12"/>
        <w:spacing w:before="120" w:beforeLines="50"/>
        <w:ind w:left="626" w:leftChars="261" w:firstLine="0" w:firstLineChars="0"/>
        <w:rPr>
          <w:rFonts w:hint="default" w:ascii="Times New Roman" w:hAnsi="Times New Roman" w:eastAsia="宋体" w:cs="Times New Roman"/>
          <w:b/>
          <w:snapToGrid/>
          <w:color w:val="auto"/>
          <w:kern w:val="2"/>
          <w:sz w:val="24"/>
          <w:szCs w:val="24"/>
          <w:lang w:eastAsia="zh-CN"/>
        </w:rPr>
      </w:pPr>
      <w:r>
        <w:rPr>
          <w:rFonts w:hint="default" w:ascii="Times New Roman" w:hAnsi="Times New Roman" w:eastAsia="宋体" w:cs="Times New Roman"/>
          <w:b w:val="0"/>
          <w:bCs/>
          <w:color w:val="FF0000"/>
          <w:sz w:val="21"/>
          <w:szCs w:val="21"/>
        </w:rPr>
        <w:t>注：表中“个别”指同类构件中占比5%及以下；“部分”指同类构件中占比30%及以下；“大部分”指同类构件中占比50%及以上。</w:t>
      </w:r>
    </w:p>
    <w:p w14:paraId="75AB4EB0">
      <w:pPr>
        <w:pStyle w:val="12"/>
        <w:spacing w:before="120" w:beforeLines="50"/>
        <w:ind w:firstLine="422"/>
        <w:rPr>
          <w:rFonts w:hint="default" w:ascii="Times New Roman" w:hAnsi="Times New Roman" w:eastAsia="宋体" w:cs="Times New Roman"/>
          <w:b/>
          <w:snapToGrid/>
          <w:color w:val="auto"/>
          <w:kern w:val="2"/>
          <w:sz w:val="24"/>
          <w:szCs w:val="24"/>
          <w:lang w:eastAsia="zh-CN"/>
        </w:rPr>
      </w:pPr>
    </w:p>
    <w:p w14:paraId="77050517">
      <w:pPr>
        <w:pStyle w:val="12"/>
        <w:spacing w:before="120" w:beforeLines="50"/>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snapToGrid/>
          <w:color w:val="auto"/>
          <w:kern w:val="2"/>
          <w:sz w:val="24"/>
          <w:szCs w:val="24"/>
          <w:lang w:eastAsia="zh-CN"/>
        </w:rPr>
        <w:t>3</w:t>
      </w:r>
      <w:r>
        <w:rPr>
          <w:rFonts w:hint="default" w:ascii="Times New Roman" w:hAnsi="Times New Roman" w:eastAsia="宋体" w:cs="Times New Roman"/>
          <w:color w:val="auto"/>
          <w:sz w:val="24"/>
          <w:szCs w:val="24"/>
          <w:lang w:eastAsia="zh-CN"/>
        </w:rPr>
        <w:t xml:space="preserve"> 构件进入屈服后的损坏等级可根据结构弹塑性分析结果中的构件变形进行评价；构件抗剪等弹性分量尚应补充承载力验算。当采用构件变形进行评价时，应符合本规程第9.4节的规定。</w:t>
      </w:r>
    </w:p>
    <w:p w14:paraId="68A4C421">
      <w:pPr>
        <w:spacing w:line="360" w:lineRule="exact"/>
        <w:rPr>
          <w:rFonts w:hint="default" w:ascii="Times New Roman" w:hAnsi="Times New Roman" w:eastAsia="宋体" w:cs="Times New Roman"/>
          <w:color w:val="auto"/>
          <w:sz w:val="24"/>
          <w:szCs w:val="24"/>
        </w:rPr>
      </w:pPr>
      <w:bookmarkStart w:id="216" w:name="OLE_LINK49"/>
      <w:bookmarkStart w:id="217" w:name="OLE_LINK48"/>
      <w:r>
        <w:rPr>
          <w:rFonts w:hint="default" w:ascii="Times New Roman" w:hAnsi="Times New Roman" w:eastAsia="宋体" w:cs="Times New Roman"/>
          <w:b/>
          <w:color w:val="auto"/>
          <w:sz w:val="24"/>
          <w:szCs w:val="24"/>
        </w:rPr>
        <w:t xml:space="preserve">9.2.15 </w:t>
      </w:r>
      <w:bookmarkEnd w:id="216"/>
      <w:bookmarkEnd w:id="217"/>
      <w:r>
        <w:rPr>
          <w:rFonts w:hint="default" w:ascii="Times New Roman" w:hAnsi="Times New Roman" w:eastAsia="宋体" w:cs="Times New Roman"/>
          <w:color w:val="auto"/>
          <w:sz w:val="24"/>
          <w:szCs w:val="24"/>
        </w:rPr>
        <w:t>罕遇地震作用下B类和C类建筑的下列关键构件的正截面应满足极限承载力要求、斜截面满足不屈服的性能要求，构件损坏等级不宜超过L2级，不应超过L3级。</w:t>
      </w:r>
    </w:p>
    <w:p w14:paraId="4B735E48">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snapToGrid/>
          <w:color w:val="auto"/>
          <w:kern w:val="2"/>
          <w:sz w:val="24"/>
          <w:szCs w:val="24"/>
          <w:lang w:eastAsia="zh-CN"/>
        </w:rPr>
        <w:t xml:space="preserve">1 </w:t>
      </w:r>
      <w:r>
        <w:rPr>
          <w:rFonts w:hint="default" w:ascii="Times New Roman" w:hAnsi="Times New Roman" w:eastAsia="宋体" w:cs="Times New Roman"/>
          <w:color w:val="auto"/>
          <w:sz w:val="24"/>
          <w:szCs w:val="24"/>
          <w:lang w:eastAsia="zh-CN"/>
        </w:rPr>
        <w:t>框支柱或转换柱。</w:t>
      </w:r>
    </w:p>
    <w:p w14:paraId="2BCBFFEB">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snapToGrid/>
          <w:color w:val="auto"/>
          <w:kern w:val="2"/>
          <w:sz w:val="24"/>
          <w:szCs w:val="24"/>
          <w:lang w:eastAsia="zh-CN"/>
        </w:rPr>
        <w:t xml:space="preserve">2 </w:t>
      </w:r>
      <w:r>
        <w:rPr>
          <w:rFonts w:hint="default" w:ascii="Times New Roman" w:hAnsi="Times New Roman" w:eastAsia="宋体" w:cs="Times New Roman"/>
          <w:color w:val="auto"/>
          <w:sz w:val="24"/>
          <w:szCs w:val="24"/>
          <w:lang w:eastAsia="zh-CN"/>
        </w:rPr>
        <w:t>框支梁、转换梁或转换桁架。</w:t>
      </w:r>
    </w:p>
    <w:p w14:paraId="2A8FD0A7">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snapToGrid/>
          <w:color w:val="auto"/>
          <w:kern w:val="2"/>
          <w:sz w:val="24"/>
          <w:szCs w:val="24"/>
          <w:lang w:eastAsia="zh-CN"/>
        </w:rPr>
        <w:t>3</w:t>
      </w:r>
      <w:r>
        <w:rPr>
          <w:rFonts w:hint="default" w:ascii="Times New Roman" w:hAnsi="Times New Roman" w:eastAsia="宋体" w:cs="Times New Roman"/>
          <w:color w:val="auto"/>
          <w:sz w:val="24"/>
          <w:szCs w:val="24"/>
          <w:lang w:eastAsia="zh-CN"/>
        </w:rPr>
        <w:t xml:space="preserve"> 高位连体结构的主要受力构件及支承连体结构的竖向构件。</w:t>
      </w:r>
    </w:p>
    <w:p w14:paraId="364F61A8">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snapToGrid/>
          <w:color w:val="auto"/>
          <w:kern w:val="2"/>
          <w:sz w:val="24"/>
          <w:szCs w:val="24"/>
          <w:lang w:eastAsia="zh-CN"/>
        </w:rPr>
        <w:t xml:space="preserve">4 </w:t>
      </w:r>
      <w:r>
        <w:rPr>
          <w:rFonts w:hint="default" w:ascii="Times New Roman" w:hAnsi="Times New Roman" w:eastAsia="宋体" w:cs="Times New Roman"/>
          <w:color w:val="auto"/>
          <w:sz w:val="24"/>
          <w:szCs w:val="24"/>
          <w:lang w:eastAsia="zh-CN"/>
        </w:rPr>
        <w:t>加强层处与伸臂桁架或环带桁架相连的外框柱、核心筒等竖向构件。</w:t>
      </w:r>
    </w:p>
    <w:p w14:paraId="61EC1CFE">
      <w:pPr>
        <w:pStyle w:val="12"/>
        <w:ind w:firstLine="422"/>
        <w:rPr>
          <w:rFonts w:hint="default" w:ascii="Times New Roman" w:hAnsi="Times New Roman" w:eastAsia="宋体" w:cs="Times New Roman"/>
          <w:color w:val="auto"/>
          <w:sz w:val="24"/>
          <w:szCs w:val="24"/>
          <w:lang w:eastAsia="zh-CN"/>
        </w:rPr>
      </w:pPr>
      <w:bookmarkStart w:id="218" w:name="_Toc14325"/>
      <w:r>
        <w:rPr>
          <w:rFonts w:hint="default" w:ascii="Times New Roman" w:hAnsi="Times New Roman" w:eastAsia="宋体" w:cs="Times New Roman"/>
          <w:b/>
          <w:snapToGrid/>
          <w:color w:val="auto"/>
          <w:kern w:val="2"/>
          <w:sz w:val="24"/>
          <w:szCs w:val="24"/>
          <w:lang w:eastAsia="zh-CN"/>
        </w:rPr>
        <w:t xml:space="preserve">5 </w:t>
      </w:r>
      <w:r>
        <w:rPr>
          <w:rFonts w:hint="default" w:ascii="Times New Roman" w:hAnsi="Times New Roman" w:eastAsia="宋体" w:cs="Times New Roman"/>
          <w:color w:val="auto"/>
          <w:sz w:val="24"/>
          <w:szCs w:val="24"/>
          <w:lang w:eastAsia="zh-CN"/>
        </w:rPr>
        <w:t>对结构整体刚度或局部承载具有显著影响的构件。</w:t>
      </w:r>
      <w:bookmarkEnd w:id="218"/>
    </w:p>
    <w:p w14:paraId="4604BE52">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snapToGrid/>
          <w:color w:val="auto"/>
          <w:kern w:val="2"/>
          <w:sz w:val="24"/>
          <w:szCs w:val="24"/>
          <w:lang w:eastAsia="zh-CN"/>
        </w:rPr>
        <w:t xml:space="preserve">6 </w:t>
      </w:r>
      <w:r>
        <w:rPr>
          <w:rFonts w:hint="default" w:ascii="Times New Roman" w:hAnsi="Times New Roman" w:eastAsia="宋体" w:cs="Times New Roman"/>
          <w:color w:val="auto"/>
          <w:sz w:val="24"/>
          <w:szCs w:val="24"/>
          <w:lang w:eastAsia="zh-CN"/>
        </w:rPr>
        <w:t>与斜柱直接相连的框架梁等对竖向抗侧力构件的受力有显著影响的重要水平构件。</w:t>
      </w:r>
    </w:p>
    <w:p w14:paraId="6C97A556">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snapToGrid/>
          <w:color w:val="auto"/>
          <w:kern w:val="2"/>
          <w:sz w:val="24"/>
          <w:szCs w:val="24"/>
          <w:lang w:eastAsia="zh-CN"/>
        </w:rPr>
        <w:t xml:space="preserve">7 </w:t>
      </w:r>
      <w:r>
        <w:rPr>
          <w:rFonts w:hint="default" w:ascii="Times New Roman" w:hAnsi="Times New Roman" w:eastAsia="宋体" w:cs="Times New Roman"/>
          <w:color w:val="auto"/>
          <w:sz w:val="24"/>
          <w:szCs w:val="24"/>
          <w:lang w:eastAsia="zh-CN"/>
        </w:rPr>
        <w:t>大悬挑结构的主要受力构件。</w:t>
      </w:r>
    </w:p>
    <w:p w14:paraId="1B2F3620">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snapToGrid/>
          <w:color w:val="auto"/>
          <w:kern w:val="2"/>
          <w:sz w:val="24"/>
          <w:szCs w:val="24"/>
          <w:lang w:eastAsia="zh-CN"/>
        </w:rPr>
        <w:t xml:space="preserve">8 </w:t>
      </w:r>
      <w:r>
        <w:rPr>
          <w:rFonts w:hint="default" w:ascii="Times New Roman" w:hAnsi="Times New Roman" w:eastAsia="宋体" w:cs="Times New Roman"/>
          <w:color w:val="auto"/>
          <w:sz w:val="24"/>
          <w:szCs w:val="24"/>
          <w:lang w:eastAsia="zh-CN"/>
        </w:rPr>
        <w:t>其他对整体刚度或局部承载具有显著影响的构件。</w:t>
      </w:r>
    </w:p>
    <w:p w14:paraId="3DE8D8FD">
      <w:pPr>
        <w:spacing w:line="360" w:lineRule="exact"/>
        <w:rPr>
          <w:rFonts w:hint="default" w:ascii="Times New Roman" w:hAnsi="Times New Roman" w:eastAsia="宋体" w:cs="Times New Roman"/>
          <w:color w:val="auto"/>
          <w:sz w:val="24"/>
          <w:szCs w:val="24"/>
        </w:rPr>
      </w:pPr>
      <w:bookmarkStart w:id="219" w:name="OLE_LINK50"/>
      <w:bookmarkStart w:id="220" w:name="_Toc29023"/>
      <w:r>
        <w:rPr>
          <w:rFonts w:hint="default" w:ascii="Times New Roman" w:hAnsi="Times New Roman" w:eastAsia="宋体" w:cs="Times New Roman"/>
          <w:b/>
          <w:color w:val="auto"/>
          <w:sz w:val="24"/>
          <w:szCs w:val="24"/>
        </w:rPr>
        <w:t>9.2.16</w:t>
      </w:r>
      <w:r>
        <w:rPr>
          <w:rFonts w:hint="default" w:ascii="Times New Roman" w:hAnsi="Times New Roman" w:eastAsia="宋体" w:cs="Times New Roman"/>
          <w:color w:val="auto"/>
          <w:sz w:val="24"/>
          <w:szCs w:val="24"/>
        </w:rPr>
        <w:t xml:space="preserve"> </w:t>
      </w:r>
      <w:bookmarkEnd w:id="219"/>
      <w:r>
        <w:rPr>
          <w:rFonts w:hint="default" w:ascii="Times New Roman" w:hAnsi="Times New Roman" w:eastAsia="宋体" w:cs="Times New Roman"/>
          <w:color w:val="auto"/>
          <w:sz w:val="24"/>
          <w:szCs w:val="24"/>
        </w:rPr>
        <w:t>构件的抗震构造措施应满足在罕遇地震下的构件变形要求。</w:t>
      </w:r>
      <w:bookmarkEnd w:id="220"/>
    </w:p>
    <w:p w14:paraId="5A319961">
      <w:pPr>
        <w:spacing w:line="360" w:lineRule="exact"/>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rPr>
        <w:t xml:space="preserve">9.2.17 </w:t>
      </w:r>
      <w:r>
        <w:rPr>
          <w:rFonts w:hint="default" w:ascii="Times New Roman" w:hAnsi="Times New Roman" w:eastAsia="宋体" w:cs="Times New Roman"/>
          <w:color w:val="auto"/>
          <w:sz w:val="24"/>
          <w:szCs w:val="24"/>
        </w:rPr>
        <w:t>在重力荷载代表值与罕遇地震标准值共同作用下，采用等效弹性方法计算的基础底面和地基之间零应力区面积不应超过基础底面面积的30%；采用桩基础时，单桩桩顶反力不应超过单桩竖向受压、受拉极限承载力标准值的0.9倍。</w:t>
      </w:r>
    </w:p>
    <w:p w14:paraId="480153EC">
      <w:pPr>
        <w:pStyle w:val="3"/>
        <w:bidi w:val="0"/>
        <w:rPr>
          <w:rFonts w:hint="default"/>
        </w:rPr>
      </w:pPr>
      <w:bookmarkStart w:id="221" w:name="_Toc619"/>
      <w:bookmarkStart w:id="222" w:name="_Toc198667605"/>
      <w:bookmarkStart w:id="223" w:name="_Toc9695"/>
      <w:bookmarkStart w:id="224" w:name="_Toc198667606"/>
      <w:bookmarkStart w:id="225" w:name="_Toc27823"/>
      <w:r>
        <w:rPr>
          <w:rFonts w:hint="default"/>
        </w:rPr>
        <w:t>9.3 计算分析</w:t>
      </w:r>
      <w:bookmarkEnd w:id="221"/>
      <w:bookmarkEnd w:id="222"/>
      <w:bookmarkEnd w:id="223"/>
    </w:p>
    <w:p w14:paraId="59D38A39">
      <w:pPr>
        <w:spacing w:line="360" w:lineRule="exact"/>
        <w:rPr>
          <w:rFonts w:hint="default" w:ascii="Times New Roman" w:hAnsi="Times New Roman" w:eastAsia="宋体" w:cs="Times New Roman"/>
          <w:color w:val="auto"/>
          <w:sz w:val="24"/>
          <w:szCs w:val="24"/>
        </w:rPr>
      </w:pPr>
      <w:bookmarkStart w:id="226" w:name="OLE_LINK52"/>
      <w:bookmarkStart w:id="227" w:name="OLE_LINK51"/>
      <w:r>
        <w:rPr>
          <w:rFonts w:hint="default" w:ascii="Times New Roman" w:hAnsi="Times New Roman" w:eastAsia="宋体" w:cs="Times New Roman"/>
          <w:b/>
          <w:color w:val="auto"/>
          <w:sz w:val="24"/>
          <w:szCs w:val="24"/>
        </w:rPr>
        <w:t>9.3.1</w:t>
      </w:r>
      <w:r>
        <w:rPr>
          <w:rFonts w:hint="default" w:ascii="Times New Roman" w:hAnsi="Times New Roman" w:eastAsia="宋体" w:cs="Times New Roman"/>
          <w:color w:val="auto"/>
          <w:sz w:val="24"/>
          <w:szCs w:val="24"/>
        </w:rPr>
        <w:t xml:space="preserve"> </w:t>
      </w:r>
      <w:bookmarkEnd w:id="226"/>
      <w:bookmarkEnd w:id="227"/>
      <w:r>
        <w:rPr>
          <w:rFonts w:hint="default" w:ascii="Times New Roman" w:hAnsi="Times New Roman" w:eastAsia="宋体" w:cs="Times New Roman"/>
          <w:color w:val="auto"/>
          <w:sz w:val="24"/>
          <w:szCs w:val="24"/>
        </w:rPr>
        <w:t>既有建筑结构分析时应按改造后的结构布置、荷载及作用建立结构计算模型。结构计算模型应符合结构的实际受力状况。</w:t>
      </w:r>
    </w:p>
    <w:p w14:paraId="26CC464D">
      <w:pPr>
        <w:spacing w:line="360" w:lineRule="exact"/>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rPr>
        <w:t xml:space="preserve">9.3.2 </w:t>
      </w:r>
      <w:r>
        <w:rPr>
          <w:rFonts w:hint="default" w:ascii="Times New Roman" w:hAnsi="Times New Roman" w:eastAsia="宋体" w:cs="Times New Roman"/>
          <w:color w:val="auto"/>
          <w:sz w:val="24"/>
          <w:szCs w:val="24"/>
        </w:rPr>
        <w:t>既有建筑结构的结构布置、构件尺寸、钢筋配置及材料力学性能指标应根据实测值确定；当材料的实测性能指标符合原设计要求时，可按原设计的规定取值。</w:t>
      </w:r>
    </w:p>
    <w:p w14:paraId="58C9AD7D">
      <w:pPr>
        <w:spacing w:line="360" w:lineRule="exact"/>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rPr>
        <w:t xml:space="preserve">9.3.3 </w:t>
      </w:r>
      <w:r>
        <w:rPr>
          <w:rFonts w:hint="default" w:ascii="Times New Roman" w:hAnsi="Times New Roman" w:eastAsia="宋体" w:cs="Times New Roman"/>
          <w:color w:val="auto"/>
          <w:sz w:val="24"/>
          <w:szCs w:val="24"/>
        </w:rPr>
        <w:t>进行既有建筑结构分析时，宜考虑既有结构前期已发生的结构变形和基础沉降变形，评估上述变形对改造后结构的影响。</w:t>
      </w:r>
    </w:p>
    <w:p w14:paraId="48247FA6">
      <w:pPr>
        <w:spacing w:line="360" w:lineRule="exact"/>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rPr>
        <w:t>9.3.4</w:t>
      </w:r>
      <w:r>
        <w:rPr>
          <w:rFonts w:hint="default" w:ascii="Times New Roman" w:hAnsi="Times New Roman" w:eastAsia="宋体" w:cs="Times New Roman"/>
          <w:color w:val="auto"/>
          <w:sz w:val="24"/>
          <w:szCs w:val="24"/>
        </w:rPr>
        <w:t xml:space="preserve"> 既有建筑结构计算分析应根据分析对象的地震动水准、力学特征、分析内容、材料性能、评判标准及预期破坏等因素，选用合适的分析方法。</w:t>
      </w:r>
    </w:p>
    <w:p w14:paraId="37E5E920">
      <w:pPr>
        <w:spacing w:line="360" w:lineRule="exact"/>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rPr>
        <w:t>9.3.5</w:t>
      </w:r>
      <w:r>
        <w:rPr>
          <w:rFonts w:hint="default" w:ascii="Times New Roman" w:hAnsi="Times New Roman" w:eastAsia="宋体" w:cs="Times New Roman"/>
          <w:color w:val="auto"/>
          <w:sz w:val="24"/>
          <w:szCs w:val="24"/>
        </w:rPr>
        <w:t xml:space="preserve"> 既有建筑的结构分析模型应考虑既有结构、新增构件、拆除构件和需要加固构件之间不同施工次序的影响；对于采用增大截面法加固的叠合构件和组合构件，宜采用联合截面法等能反映不同施工过程影响的方法进行模拟分析。</w:t>
      </w:r>
    </w:p>
    <w:p w14:paraId="1FDCD552">
      <w:pPr>
        <w:spacing w:line="360" w:lineRule="exact"/>
        <w:rPr>
          <w:rFonts w:hint="default" w:ascii="Times New Roman" w:hAnsi="Times New Roman" w:eastAsia="宋体" w:cs="Times New Roman"/>
          <w:color w:val="auto"/>
          <w:sz w:val="24"/>
          <w:szCs w:val="24"/>
        </w:rPr>
      </w:pPr>
      <w:bookmarkStart w:id="228" w:name="_Toc30102"/>
      <w:r>
        <w:rPr>
          <w:rFonts w:hint="default" w:ascii="Times New Roman" w:hAnsi="Times New Roman" w:eastAsia="宋体" w:cs="Times New Roman"/>
          <w:b/>
          <w:color w:val="auto"/>
          <w:sz w:val="24"/>
          <w:szCs w:val="24"/>
        </w:rPr>
        <w:t xml:space="preserve">9.3.6 </w:t>
      </w:r>
      <w:r>
        <w:rPr>
          <w:rFonts w:hint="default" w:ascii="Times New Roman" w:hAnsi="Times New Roman" w:eastAsia="宋体" w:cs="Times New Roman"/>
          <w:color w:val="auto"/>
          <w:sz w:val="24"/>
          <w:szCs w:val="24"/>
        </w:rPr>
        <w:t>既有建筑结构抗震计算应符合下列规定：</w:t>
      </w:r>
      <w:bookmarkEnd w:id="228"/>
    </w:p>
    <w:p w14:paraId="654EEB0C">
      <w:pPr>
        <w:pStyle w:val="12"/>
        <w:ind w:firstLine="422"/>
        <w:rPr>
          <w:rFonts w:hint="default" w:ascii="Times New Roman" w:hAnsi="Times New Roman" w:eastAsia="宋体" w:cs="Times New Roman"/>
          <w:color w:val="auto"/>
          <w:sz w:val="24"/>
          <w:szCs w:val="24"/>
          <w:lang w:eastAsia="zh-CN"/>
        </w:rPr>
      </w:pPr>
      <w:bookmarkStart w:id="229" w:name="_Toc20601"/>
      <w:r>
        <w:rPr>
          <w:rFonts w:hint="default" w:ascii="Times New Roman" w:hAnsi="Times New Roman" w:eastAsia="宋体" w:cs="Times New Roman"/>
          <w:b/>
          <w:snapToGrid/>
          <w:color w:val="auto"/>
          <w:kern w:val="2"/>
          <w:sz w:val="24"/>
          <w:szCs w:val="24"/>
          <w:lang w:eastAsia="zh-CN"/>
        </w:rPr>
        <w:t>1</w:t>
      </w:r>
      <w:r>
        <w:rPr>
          <w:rFonts w:hint="default" w:ascii="Times New Roman" w:hAnsi="Times New Roman" w:eastAsia="宋体" w:cs="Times New Roman"/>
          <w:color w:val="auto"/>
          <w:sz w:val="24"/>
          <w:szCs w:val="24"/>
          <w:lang w:eastAsia="zh-CN"/>
        </w:rPr>
        <w:t xml:space="preserve"> 多遇地震作用下的结构，应采用弹性分析方法计算。</w:t>
      </w:r>
      <w:bookmarkEnd w:id="229"/>
    </w:p>
    <w:p w14:paraId="69E5B4F1">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snapToGrid/>
          <w:color w:val="auto"/>
          <w:kern w:val="2"/>
          <w:sz w:val="24"/>
          <w:szCs w:val="24"/>
          <w:lang w:eastAsia="zh-CN"/>
        </w:rPr>
        <w:t>2</w:t>
      </w:r>
      <w:r>
        <w:rPr>
          <w:rFonts w:hint="default" w:ascii="Times New Roman" w:hAnsi="Times New Roman" w:eastAsia="宋体" w:cs="Times New Roman"/>
          <w:color w:val="auto"/>
          <w:sz w:val="24"/>
          <w:szCs w:val="24"/>
          <w:lang w:eastAsia="zh-CN"/>
        </w:rPr>
        <w:t xml:space="preserve"> 设防地震和罕遇地震作用下，第1、2抗震性能水准的结构，可采用弹性分析方法计算。</w:t>
      </w:r>
    </w:p>
    <w:p w14:paraId="1E533B5F">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snapToGrid/>
          <w:color w:val="auto"/>
          <w:kern w:val="2"/>
          <w:sz w:val="24"/>
          <w:szCs w:val="24"/>
          <w:lang w:eastAsia="zh-CN"/>
        </w:rPr>
        <w:t>3</w:t>
      </w:r>
      <w:r>
        <w:rPr>
          <w:rFonts w:hint="default" w:ascii="Times New Roman" w:hAnsi="Times New Roman" w:eastAsia="宋体" w:cs="Times New Roman"/>
          <w:color w:val="auto"/>
          <w:sz w:val="24"/>
          <w:szCs w:val="24"/>
          <w:lang w:eastAsia="zh-CN"/>
        </w:rPr>
        <w:t xml:space="preserve"> 设防烈度地震和罕遇地震作用下，第3抗震性能水准的结构可采用等效弹性方法计算，并宜采用弹塑性方法验算；第4、5抗震性能水准的结构可采用等效弹性方法计算，并应采用弹塑性方法验算。</w:t>
      </w:r>
    </w:p>
    <w:p w14:paraId="04ECAF83">
      <w:pPr>
        <w:spacing w:line="360" w:lineRule="exact"/>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rPr>
        <w:t xml:space="preserve">9.3.7 </w:t>
      </w:r>
      <w:r>
        <w:rPr>
          <w:rFonts w:hint="default" w:ascii="Times New Roman" w:hAnsi="Times New Roman" w:eastAsia="宋体" w:cs="Times New Roman"/>
          <w:color w:val="auto"/>
          <w:sz w:val="24"/>
          <w:szCs w:val="24"/>
        </w:rPr>
        <w:t>罕遇地震作用下的弹塑性分析结果应能揭示结构的屈服机制，必要时可提高地震作用进行弹塑性分析。</w:t>
      </w:r>
    </w:p>
    <w:p w14:paraId="6E963B5C">
      <w:pPr>
        <w:pStyle w:val="3"/>
        <w:bidi w:val="0"/>
        <w:rPr>
          <w:rFonts w:hint="default"/>
        </w:rPr>
      </w:pPr>
      <w:bookmarkStart w:id="230" w:name="_Toc21327"/>
      <w:r>
        <w:rPr>
          <w:rFonts w:hint="default"/>
        </w:rPr>
        <w:t>9.4 抗震性能评价</w:t>
      </w:r>
      <w:bookmarkEnd w:id="224"/>
      <w:bookmarkEnd w:id="225"/>
      <w:bookmarkEnd w:id="230"/>
    </w:p>
    <w:p w14:paraId="082211EE">
      <w:pPr>
        <w:spacing w:before="120" w:after="120"/>
        <w:jc w:val="center"/>
        <w:rPr>
          <w:rFonts w:hint="default" w:ascii="Times New Roman" w:hAnsi="Times New Roman" w:eastAsia="宋体" w:cs="Times New Roman"/>
          <w:color w:val="auto"/>
          <w:sz w:val="24"/>
          <w:szCs w:val="24"/>
        </w:rPr>
      </w:pPr>
      <w:bookmarkStart w:id="231" w:name="_Toc12450"/>
      <w:r>
        <w:rPr>
          <w:rFonts w:hint="default" w:ascii="Times New Roman" w:hAnsi="Times New Roman" w:eastAsia="宋体" w:cs="Times New Roman"/>
          <w:b/>
          <w:color w:val="auto"/>
          <w:sz w:val="24"/>
          <w:szCs w:val="24"/>
        </w:rPr>
        <w:t xml:space="preserve">I </w:t>
      </w:r>
      <w:r>
        <w:rPr>
          <w:rFonts w:hint="default" w:ascii="Times New Roman" w:hAnsi="Times New Roman" w:eastAsia="宋体" w:cs="Times New Roman"/>
          <w:color w:val="auto"/>
          <w:sz w:val="24"/>
          <w:szCs w:val="24"/>
        </w:rPr>
        <w:t>一般规定</w:t>
      </w:r>
      <w:bookmarkEnd w:id="231"/>
    </w:p>
    <w:p w14:paraId="56B9D412">
      <w:pPr>
        <w:spacing w:line="360" w:lineRule="exact"/>
        <w:rPr>
          <w:rFonts w:hint="default" w:ascii="Times New Roman" w:hAnsi="Times New Roman" w:eastAsia="宋体" w:cs="Times New Roman"/>
          <w:color w:val="auto"/>
          <w:sz w:val="24"/>
          <w:szCs w:val="24"/>
        </w:rPr>
      </w:pPr>
      <w:bookmarkStart w:id="232" w:name="OLE_LINK53"/>
      <w:r>
        <w:rPr>
          <w:rFonts w:hint="default" w:ascii="Times New Roman" w:hAnsi="Times New Roman" w:eastAsia="宋体" w:cs="Times New Roman"/>
          <w:b/>
          <w:color w:val="auto"/>
          <w:sz w:val="24"/>
          <w:szCs w:val="24"/>
        </w:rPr>
        <w:t xml:space="preserve">9.4.1 </w:t>
      </w:r>
      <w:bookmarkEnd w:id="232"/>
      <w:r>
        <w:rPr>
          <w:rFonts w:hint="default" w:ascii="Times New Roman" w:hAnsi="Times New Roman" w:eastAsia="宋体" w:cs="Times New Roman"/>
          <w:color w:val="auto"/>
          <w:sz w:val="24"/>
          <w:szCs w:val="24"/>
        </w:rPr>
        <w:t>既有建筑结构的抗震性能评价，应包括结构整体抗震性能评价、构件抗震承载力验算和损坏程度评价。</w:t>
      </w:r>
    </w:p>
    <w:p w14:paraId="2B093830">
      <w:pPr>
        <w:spacing w:line="360" w:lineRule="exact"/>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rPr>
        <w:t xml:space="preserve">9.4.2 </w:t>
      </w:r>
      <w:r>
        <w:rPr>
          <w:rFonts w:hint="default" w:ascii="Times New Roman" w:hAnsi="Times New Roman" w:eastAsia="宋体" w:cs="Times New Roman"/>
          <w:color w:val="auto"/>
          <w:sz w:val="24"/>
          <w:szCs w:val="24"/>
        </w:rPr>
        <w:t>既有建筑结构的整体抗震性能评价，应包括位移指标、基底剪力、屈服机制及次序等。</w:t>
      </w:r>
    </w:p>
    <w:p w14:paraId="30DC86E6">
      <w:pPr>
        <w:spacing w:line="360" w:lineRule="exact"/>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rPr>
        <w:t>9.4.3</w:t>
      </w:r>
      <w:r>
        <w:rPr>
          <w:rFonts w:hint="default" w:ascii="Times New Roman" w:hAnsi="Times New Roman" w:eastAsia="宋体" w:cs="Times New Roman"/>
          <w:color w:val="auto"/>
          <w:sz w:val="24"/>
          <w:szCs w:val="24"/>
        </w:rPr>
        <w:t xml:space="preserve"> 对于不允许屈服的构件，应验算其抗震承载力；对于允许屈服的构件，应评价其损坏程度，并应对截面抗剪承载力等弹性分量进行验算。</w:t>
      </w:r>
    </w:p>
    <w:p w14:paraId="16AD62B1">
      <w:pPr>
        <w:spacing w:line="360" w:lineRule="exact"/>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rPr>
        <w:t>9.4.4</w:t>
      </w:r>
      <w:r>
        <w:rPr>
          <w:rFonts w:hint="default" w:ascii="Times New Roman" w:hAnsi="Times New Roman" w:eastAsia="宋体" w:cs="Times New Roman"/>
          <w:color w:val="auto"/>
          <w:sz w:val="24"/>
          <w:szCs w:val="24"/>
        </w:rPr>
        <w:t xml:space="preserve"> 构件损坏程度评价可采用基于构件整体变形的评价，也可采用基于材料应变或损伤变量的评价。</w:t>
      </w:r>
    </w:p>
    <w:p w14:paraId="171DBBC8">
      <w:pPr>
        <w:spacing w:before="120" w:after="120"/>
        <w:jc w:val="center"/>
        <w:rPr>
          <w:rFonts w:hint="default" w:ascii="Times New Roman" w:hAnsi="Times New Roman" w:eastAsia="宋体" w:cs="Times New Roman"/>
          <w:color w:val="auto"/>
          <w:sz w:val="24"/>
          <w:szCs w:val="24"/>
        </w:rPr>
      </w:pPr>
      <w:bookmarkStart w:id="233" w:name="_Toc32118"/>
      <w:r>
        <w:rPr>
          <w:rFonts w:hint="default" w:ascii="Times New Roman" w:hAnsi="Times New Roman" w:eastAsia="宋体" w:cs="Times New Roman"/>
          <w:b/>
          <w:color w:val="auto"/>
          <w:sz w:val="24"/>
          <w:szCs w:val="24"/>
        </w:rPr>
        <w:t>II</w:t>
      </w:r>
      <w:r>
        <w:rPr>
          <w:rFonts w:hint="default" w:ascii="Times New Roman" w:hAnsi="Times New Roman" w:eastAsia="宋体" w:cs="Times New Roman"/>
          <w:color w:val="auto"/>
          <w:sz w:val="24"/>
          <w:szCs w:val="24"/>
        </w:rPr>
        <w:t xml:space="preserve"> 结构整体抗震性能评价</w:t>
      </w:r>
      <w:bookmarkEnd w:id="233"/>
    </w:p>
    <w:p w14:paraId="1F97185A">
      <w:pPr>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rPr>
        <w:t>9.4.5</w:t>
      </w:r>
      <w:r>
        <w:rPr>
          <w:rFonts w:hint="default" w:ascii="Times New Roman" w:hAnsi="Times New Roman" w:eastAsia="宋体" w:cs="Times New Roman"/>
          <w:color w:val="auto"/>
          <w:sz w:val="24"/>
          <w:szCs w:val="24"/>
        </w:rPr>
        <w:t xml:space="preserve"> 加固后的既有建筑在多遇地震和罕遇地震作用下的结构变形应符合下列规定：</w:t>
      </w:r>
    </w:p>
    <w:p w14:paraId="3C5277F6">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snapToGrid/>
          <w:color w:val="auto"/>
          <w:kern w:val="2"/>
          <w:sz w:val="24"/>
          <w:szCs w:val="24"/>
          <w:lang w:eastAsia="zh-CN"/>
        </w:rPr>
        <w:t>1</w:t>
      </w:r>
      <w:r>
        <w:rPr>
          <w:rFonts w:hint="default" w:ascii="Times New Roman" w:hAnsi="Times New Roman" w:eastAsia="宋体" w:cs="Times New Roman"/>
          <w:color w:val="auto"/>
          <w:sz w:val="24"/>
          <w:szCs w:val="24"/>
          <w:lang w:eastAsia="zh-CN"/>
        </w:rPr>
        <w:t xml:space="preserve"> 多遇地震作用下，结构弹性层间位移角限值[</w:t>
      </w:r>
      <w:r>
        <w:rPr>
          <w:rFonts w:hint="default" w:ascii="Times New Roman" w:hAnsi="Times New Roman" w:eastAsia="宋体" w:cs="Times New Roman"/>
          <w:i/>
          <w:iCs/>
          <w:color w:val="auto"/>
          <w:sz w:val="24"/>
          <w:szCs w:val="24"/>
        </w:rPr>
        <w:t>θ</w:t>
      </w:r>
      <w:r>
        <w:rPr>
          <w:rFonts w:hint="default" w:ascii="Times New Roman" w:hAnsi="Times New Roman" w:eastAsia="宋体" w:cs="Times New Roman"/>
          <w:color w:val="auto"/>
          <w:sz w:val="24"/>
          <w:szCs w:val="24"/>
          <w:lang w:eastAsia="zh-CN"/>
        </w:rPr>
        <w:t>]应满足现行国家标准《建筑抗震设计标准》GB/T 50011的要求。</w:t>
      </w:r>
    </w:p>
    <w:p w14:paraId="1D415332">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snapToGrid/>
          <w:color w:val="auto"/>
          <w:kern w:val="2"/>
          <w:sz w:val="24"/>
          <w:szCs w:val="24"/>
          <w:lang w:eastAsia="zh-CN"/>
        </w:rPr>
        <w:t xml:space="preserve">2 </w:t>
      </w:r>
      <w:r>
        <w:rPr>
          <w:rFonts w:hint="default" w:ascii="Times New Roman" w:hAnsi="Times New Roman" w:eastAsia="宋体" w:cs="Times New Roman"/>
          <w:color w:val="auto"/>
          <w:sz w:val="24"/>
          <w:szCs w:val="24"/>
          <w:lang w:eastAsia="zh-CN"/>
        </w:rPr>
        <w:t>罕遇地震作用下，B类和C类建筑的结构弹塑性层间位移角限值应满足现行国家标准《建筑抗震设计标准》GB/T 50011的要求；A类建筑的结构弹塑性层间位移角限值不应大于表9.4.5的限值要求，当A类建筑的抗震构造措施满足B类建筑要求时，弹塑性层间位移角限值可按B类建筑取值。</w:t>
      </w:r>
    </w:p>
    <w:p w14:paraId="6B566743">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snapToGrid/>
          <w:color w:val="auto"/>
          <w:kern w:val="2"/>
          <w:sz w:val="24"/>
          <w:szCs w:val="24"/>
          <w:lang w:eastAsia="zh-CN"/>
        </w:rPr>
        <w:t xml:space="preserve">3 </w:t>
      </w:r>
      <w:r>
        <w:rPr>
          <w:rFonts w:hint="default" w:ascii="Times New Roman" w:hAnsi="Times New Roman" w:eastAsia="宋体" w:cs="Times New Roman"/>
          <w:color w:val="auto"/>
          <w:sz w:val="24"/>
          <w:szCs w:val="24"/>
          <w:lang w:eastAsia="zh-CN"/>
        </w:rPr>
        <w:t>应根据罕遇地震弹塑性计算的塑性残余变形判断结构薄弱部位，并与弹性计算的薄弱部位比较，当两者不一致时宜对各薄弱部位采取加固措施。</w:t>
      </w:r>
    </w:p>
    <w:p w14:paraId="04771FD8">
      <w:pPr>
        <w:pStyle w:val="12"/>
        <w:ind w:firstLine="422"/>
        <w:rPr>
          <w:rFonts w:hint="default" w:ascii="Times New Roman" w:hAnsi="Times New Roman" w:eastAsia="宋体" w:cs="Times New Roman"/>
          <w:color w:val="auto"/>
          <w:sz w:val="24"/>
          <w:szCs w:val="24"/>
          <w:lang w:eastAsia="zh-CN"/>
        </w:rPr>
      </w:pPr>
      <w:bookmarkStart w:id="234" w:name="_Toc26016"/>
      <w:r>
        <w:rPr>
          <w:rFonts w:hint="default" w:ascii="Times New Roman" w:hAnsi="Times New Roman" w:eastAsia="宋体" w:cs="Times New Roman"/>
          <w:b/>
          <w:snapToGrid/>
          <w:color w:val="auto"/>
          <w:kern w:val="2"/>
          <w:sz w:val="24"/>
          <w:szCs w:val="24"/>
          <w:lang w:eastAsia="zh-CN"/>
        </w:rPr>
        <w:t>4</w:t>
      </w:r>
      <w:r>
        <w:rPr>
          <w:rFonts w:hint="default" w:ascii="Times New Roman" w:hAnsi="Times New Roman" w:eastAsia="宋体" w:cs="Times New Roman"/>
          <w:color w:val="auto"/>
          <w:sz w:val="24"/>
          <w:szCs w:val="24"/>
          <w:lang w:eastAsia="zh-CN"/>
        </w:rPr>
        <w:t xml:space="preserve"> 任一楼层的残余层间位移角均不应过大。</w:t>
      </w:r>
      <w:bookmarkEnd w:id="234"/>
    </w:p>
    <w:p w14:paraId="392EA197">
      <w:pPr>
        <w:pStyle w:val="12"/>
        <w:ind w:firstLine="422"/>
        <w:rPr>
          <w:rFonts w:hint="default" w:ascii="Times New Roman" w:hAnsi="Times New Roman" w:eastAsia="宋体" w:cs="Times New Roman"/>
          <w:color w:val="auto"/>
          <w:sz w:val="24"/>
          <w:szCs w:val="24"/>
          <w:lang w:eastAsia="zh-CN"/>
        </w:rPr>
      </w:pPr>
    </w:p>
    <w:p w14:paraId="65C04696">
      <w:pPr>
        <w:pStyle w:val="65"/>
        <w:rPr>
          <w:rFonts w:hint="default" w:ascii="Times New Roman" w:hAnsi="Times New Roman" w:eastAsia="宋体" w:cs="Times New Roman"/>
          <w:b/>
          <w:bCs w:val="0"/>
          <w:color w:val="auto"/>
          <w:sz w:val="28"/>
          <w:szCs w:val="28"/>
        </w:rPr>
      </w:pPr>
      <w:r>
        <w:rPr>
          <w:rFonts w:hint="default" w:ascii="Times New Roman" w:hAnsi="Times New Roman" w:eastAsia="宋体" w:cs="Times New Roman"/>
          <w:b/>
          <w:bCs w:val="0"/>
          <w:color w:val="auto"/>
          <w:sz w:val="28"/>
          <w:szCs w:val="28"/>
        </w:rPr>
        <w:t>表9.4.5 A类建筑的结构弹塑性层间位移角限值</w:t>
      </w:r>
    </w:p>
    <w:tbl>
      <w:tblPr>
        <w:tblStyle w:val="25"/>
        <w:tblW w:w="328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0"/>
        <w:gridCol w:w="1832"/>
      </w:tblGrid>
      <w:tr w14:paraId="5C731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5" w:type="pct"/>
            <w:vAlign w:val="center"/>
          </w:tcPr>
          <w:p w14:paraId="70FC3238">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结构类型</w:t>
            </w:r>
          </w:p>
        </w:tc>
        <w:tc>
          <w:tcPr>
            <w:tcW w:w="1385" w:type="pct"/>
            <w:vAlign w:val="center"/>
          </w:tcPr>
          <w:p w14:paraId="4B29D4E0">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i/>
                <w:iCs/>
                <w:color w:val="auto"/>
                <w:sz w:val="24"/>
                <w:szCs w:val="24"/>
              </w:rPr>
              <w:t>θ</w:t>
            </w:r>
            <w:r>
              <w:rPr>
                <w:rFonts w:hint="default" w:ascii="Times New Roman" w:hAnsi="Times New Roman" w:eastAsia="宋体" w:cs="Times New Roman"/>
                <w:color w:val="auto"/>
                <w:sz w:val="24"/>
                <w:szCs w:val="24"/>
                <w:vertAlign w:val="subscript"/>
              </w:rPr>
              <w:t>p</w:t>
            </w:r>
            <w:r>
              <w:rPr>
                <w:rFonts w:hint="default" w:ascii="Times New Roman" w:hAnsi="Times New Roman" w:eastAsia="宋体" w:cs="Times New Roman"/>
                <w:color w:val="auto"/>
                <w:sz w:val="24"/>
                <w:szCs w:val="24"/>
              </w:rPr>
              <w:t>]</w:t>
            </w:r>
          </w:p>
        </w:tc>
      </w:tr>
      <w:tr w14:paraId="481AC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5" w:type="pct"/>
            <w:vAlign w:val="center"/>
          </w:tcPr>
          <w:p w14:paraId="277E6902">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钢筋混凝土框架</w:t>
            </w:r>
          </w:p>
        </w:tc>
        <w:tc>
          <w:tcPr>
            <w:tcW w:w="1385" w:type="pct"/>
            <w:vAlign w:val="center"/>
          </w:tcPr>
          <w:p w14:paraId="278A9139">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1/100</w:t>
            </w:r>
          </w:p>
        </w:tc>
      </w:tr>
      <w:tr w14:paraId="16721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5" w:type="pct"/>
            <w:vAlign w:val="center"/>
          </w:tcPr>
          <w:p w14:paraId="0FAB76D4">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钢筋混凝土框架-屈曲约束支撑、板柱-屈曲约束支撑</w:t>
            </w:r>
          </w:p>
        </w:tc>
        <w:tc>
          <w:tcPr>
            <w:tcW w:w="1385" w:type="pct"/>
            <w:vAlign w:val="center"/>
          </w:tcPr>
          <w:p w14:paraId="173B5E38">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1/100</w:t>
            </w:r>
          </w:p>
        </w:tc>
      </w:tr>
      <w:tr w14:paraId="4B1B1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5" w:type="pct"/>
            <w:vAlign w:val="center"/>
          </w:tcPr>
          <w:p w14:paraId="4F8191B1">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钢筋混凝土框架-剪力墙、板柱-剪力墙、框架-核心筒</w:t>
            </w:r>
          </w:p>
        </w:tc>
        <w:tc>
          <w:tcPr>
            <w:tcW w:w="1385" w:type="pct"/>
            <w:vAlign w:val="center"/>
          </w:tcPr>
          <w:p w14:paraId="709FEE6E">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1/130</w:t>
            </w:r>
          </w:p>
        </w:tc>
      </w:tr>
      <w:tr w14:paraId="6F612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615" w:type="pct"/>
            <w:vAlign w:val="center"/>
          </w:tcPr>
          <w:p w14:paraId="51D36A8A">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钢筋混凝土剪力墙、筒中筒</w:t>
            </w:r>
          </w:p>
        </w:tc>
        <w:tc>
          <w:tcPr>
            <w:tcW w:w="1385" w:type="pct"/>
            <w:vAlign w:val="center"/>
          </w:tcPr>
          <w:p w14:paraId="06B16A88">
            <w:pPr>
              <w:pStyle w:val="5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1/150</w:t>
            </w:r>
          </w:p>
        </w:tc>
      </w:tr>
    </w:tbl>
    <w:p w14:paraId="185D9A61">
      <w:pPr>
        <w:spacing w:before="120" w:beforeLines="50" w:line="360" w:lineRule="exact"/>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rPr>
        <w:t>9.4.6</w:t>
      </w:r>
      <w:r>
        <w:rPr>
          <w:rFonts w:hint="default" w:ascii="Times New Roman" w:hAnsi="Times New Roman" w:eastAsia="宋体" w:cs="Times New Roman"/>
          <w:color w:val="auto"/>
          <w:sz w:val="24"/>
          <w:szCs w:val="24"/>
        </w:rPr>
        <w:t xml:space="preserve"> 在预估的罕遇地震作用下，弹塑性计算的结构基底剪力最大值与弹性计算的基底剪力之比宜控制在0.5~0.9之间。</w:t>
      </w:r>
    </w:p>
    <w:p w14:paraId="3025D5DB">
      <w:pPr>
        <w:spacing w:line="360" w:lineRule="exact"/>
        <w:rPr>
          <w:rFonts w:hint="default" w:ascii="Times New Roman" w:hAnsi="Times New Roman" w:eastAsia="宋体" w:cs="Times New Roman"/>
          <w:color w:val="auto"/>
          <w:sz w:val="24"/>
          <w:szCs w:val="24"/>
        </w:rPr>
      </w:pPr>
      <w:bookmarkStart w:id="235" w:name="_Toc14115"/>
      <w:r>
        <w:rPr>
          <w:rFonts w:hint="default" w:ascii="Times New Roman" w:hAnsi="Times New Roman" w:eastAsia="宋体" w:cs="Times New Roman"/>
          <w:b/>
          <w:color w:val="auto"/>
          <w:sz w:val="24"/>
          <w:szCs w:val="24"/>
        </w:rPr>
        <w:t>9.4.7</w:t>
      </w:r>
      <w:r>
        <w:rPr>
          <w:rFonts w:hint="default" w:ascii="Times New Roman" w:hAnsi="Times New Roman" w:eastAsia="宋体" w:cs="Times New Roman"/>
          <w:color w:val="auto"/>
          <w:sz w:val="24"/>
          <w:szCs w:val="24"/>
        </w:rPr>
        <w:t xml:space="preserve"> 罕遇地震作用下的结构构件性能应满足下列要求：</w:t>
      </w:r>
      <w:bookmarkEnd w:id="235"/>
    </w:p>
    <w:p w14:paraId="42244E73">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snapToGrid/>
          <w:color w:val="auto"/>
          <w:kern w:val="2"/>
          <w:sz w:val="24"/>
          <w:szCs w:val="24"/>
          <w:lang w:eastAsia="zh-CN"/>
        </w:rPr>
        <w:t>1</w:t>
      </w:r>
      <w:r>
        <w:rPr>
          <w:rFonts w:hint="default" w:ascii="Times New Roman" w:hAnsi="Times New Roman" w:eastAsia="宋体" w:cs="Times New Roman"/>
          <w:color w:val="auto"/>
          <w:sz w:val="24"/>
          <w:szCs w:val="24"/>
          <w:lang w:eastAsia="zh-CN"/>
        </w:rPr>
        <w:t xml:space="preserve"> 首先屈服的构件应为耗能构件，其次为普通竖向构件，最后为关键构件。</w:t>
      </w:r>
    </w:p>
    <w:p w14:paraId="5C20ADAA">
      <w:pPr>
        <w:pStyle w:val="12"/>
        <w:ind w:firstLine="422"/>
        <w:rPr>
          <w:rFonts w:hint="default" w:ascii="Times New Roman" w:hAnsi="Times New Roman" w:eastAsia="宋体" w:cs="Times New Roman"/>
          <w:color w:val="auto"/>
          <w:sz w:val="24"/>
          <w:szCs w:val="24"/>
          <w:lang w:eastAsia="zh-CN"/>
        </w:rPr>
      </w:pPr>
      <w:bookmarkStart w:id="236" w:name="_Toc708"/>
      <w:r>
        <w:rPr>
          <w:rFonts w:hint="default" w:ascii="Times New Roman" w:hAnsi="Times New Roman" w:eastAsia="宋体" w:cs="Times New Roman"/>
          <w:b/>
          <w:snapToGrid/>
          <w:color w:val="auto"/>
          <w:kern w:val="2"/>
          <w:sz w:val="24"/>
          <w:szCs w:val="24"/>
          <w:lang w:eastAsia="zh-CN"/>
        </w:rPr>
        <w:t>2</w:t>
      </w:r>
      <w:r>
        <w:rPr>
          <w:rFonts w:hint="default" w:ascii="Times New Roman" w:hAnsi="Times New Roman" w:eastAsia="宋体" w:cs="Times New Roman"/>
          <w:color w:val="auto"/>
          <w:sz w:val="24"/>
          <w:szCs w:val="24"/>
          <w:lang w:eastAsia="zh-CN"/>
        </w:rPr>
        <w:t xml:space="preserve"> 除嵌固端外，同一楼层竖向构件的屈服数量不宜超过50%。</w:t>
      </w:r>
      <w:bookmarkEnd w:id="236"/>
    </w:p>
    <w:p w14:paraId="1AE0CD5F">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snapToGrid/>
          <w:color w:val="auto"/>
          <w:kern w:val="2"/>
          <w:sz w:val="24"/>
          <w:szCs w:val="24"/>
          <w:lang w:eastAsia="zh-CN"/>
        </w:rPr>
        <w:t>3</w:t>
      </w:r>
      <w:r>
        <w:rPr>
          <w:rFonts w:hint="default" w:ascii="Times New Roman" w:hAnsi="Times New Roman" w:eastAsia="宋体" w:cs="Times New Roman"/>
          <w:color w:val="auto"/>
          <w:sz w:val="24"/>
          <w:szCs w:val="24"/>
          <w:lang w:eastAsia="zh-CN"/>
        </w:rPr>
        <w:t xml:space="preserve"> 当构件损坏程度较小无法判断其屈服顺序时，宜提高地震作用进行评价。</w:t>
      </w:r>
    </w:p>
    <w:p w14:paraId="0994AE3F">
      <w:pPr>
        <w:spacing w:line="360" w:lineRule="exact"/>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rPr>
        <w:t xml:space="preserve">9.4.8 </w:t>
      </w:r>
      <w:r>
        <w:rPr>
          <w:rFonts w:hint="default" w:ascii="Times New Roman" w:hAnsi="Times New Roman" w:eastAsia="宋体" w:cs="Times New Roman"/>
          <w:color w:val="auto"/>
          <w:sz w:val="24"/>
          <w:szCs w:val="24"/>
        </w:rPr>
        <w:t>在预估的罕遇地震作用下，结构弹塑性时程分析结果出现下列情况之一时，可认为其在地震作用下发生倒塌：</w:t>
      </w:r>
    </w:p>
    <w:p w14:paraId="250588BB">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snapToGrid/>
          <w:color w:val="auto"/>
          <w:kern w:val="2"/>
          <w:sz w:val="24"/>
          <w:szCs w:val="24"/>
          <w:lang w:eastAsia="zh-CN"/>
        </w:rPr>
        <w:t>1</w:t>
      </w:r>
      <w:r>
        <w:rPr>
          <w:rFonts w:hint="default" w:ascii="Times New Roman" w:hAnsi="Times New Roman" w:eastAsia="宋体" w:cs="Times New Roman"/>
          <w:color w:val="auto"/>
          <w:sz w:val="24"/>
          <w:szCs w:val="24"/>
          <w:lang w:eastAsia="zh-CN"/>
        </w:rPr>
        <w:t xml:space="preserve"> 地震动输入结束后，在重力荷载代表值作用下，结构位移呈增大趋势或位移时程曲线呈发散趋势。</w:t>
      </w:r>
    </w:p>
    <w:p w14:paraId="46E1BC64">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snapToGrid/>
          <w:color w:val="auto"/>
          <w:kern w:val="2"/>
          <w:sz w:val="24"/>
          <w:szCs w:val="24"/>
          <w:lang w:eastAsia="zh-CN"/>
        </w:rPr>
        <w:t>2</w:t>
      </w:r>
      <w:r>
        <w:rPr>
          <w:rFonts w:hint="default" w:ascii="Times New Roman" w:hAnsi="Times New Roman" w:eastAsia="宋体" w:cs="Times New Roman"/>
          <w:color w:val="auto"/>
          <w:sz w:val="24"/>
          <w:szCs w:val="24"/>
          <w:lang w:eastAsia="zh-CN"/>
        </w:rPr>
        <w:t xml:space="preserve"> 任一楼层的层间位移角峰值的包络值大于0.045。</w:t>
      </w:r>
    </w:p>
    <w:p w14:paraId="67E7BCFD">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snapToGrid/>
          <w:color w:val="auto"/>
          <w:kern w:val="2"/>
          <w:sz w:val="24"/>
          <w:szCs w:val="24"/>
          <w:lang w:eastAsia="zh-CN"/>
        </w:rPr>
        <w:t>3</w:t>
      </w:r>
      <w:r>
        <w:rPr>
          <w:rFonts w:hint="default" w:ascii="Times New Roman" w:hAnsi="Times New Roman" w:eastAsia="宋体" w:cs="Times New Roman"/>
          <w:color w:val="auto"/>
          <w:sz w:val="24"/>
          <w:szCs w:val="24"/>
          <w:lang w:eastAsia="zh-CN"/>
        </w:rPr>
        <w:t xml:space="preserve"> 结构竖向变形量影响结构安全使用空间或冲击到下部楼层构件。</w:t>
      </w:r>
    </w:p>
    <w:p w14:paraId="04CCD708">
      <w:pPr>
        <w:spacing w:before="120" w:after="120"/>
        <w:jc w:val="center"/>
        <w:rPr>
          <w:rFonts w:hint="default" w:ascii="Times New Roman" w:hAnsi="Times New Roman" w:eastAsia="宋体" w:cs="Times New Roman"/>
          <w:color w:val="auto"/>
          <w:sz w:val="24"/>
          <w:szCs w:val="24"/>
        </w:rPr>
      </w:pPr>
      <w:bookmarkStart w:id="237" w:name="_Toc1235"/>
      <w:r>
        <w:rPr>
          <w:rFonts w:hint="default" w:ascii="Times New Roman" w:hAnsi="Times New Roman" w:eastAsia="宋体" w:cs="Times New Roman"/>
          <w:b/>
          <w:color w:val="auto"/>
          <w:sz w:val="24"/>
          <w:szCs w:val="24"/>
        </w:rPr>
        <w:t xml:space="preserve">III </w:t>
      </w:r>
      <w:r>
        <w:rPr>
          <w:rFonts w:hint="default" w:ascii="Times New Roman" w:hAnsi="Times New Roman" w:eastAsia="宋体" w:cs="Times New Roman"/>
          <w:color w:val="auto"/>
          <w:sz w:val="24"/>
          <w:szCs w:val="24"/>
        </w:rPr>
        <w:t>构件抗震承载力复核</w:t>
      </w:r>
      <w:bookmarkEnd w:id="237"/>
    </w:p>
    <w:p w14:paraId="2BF3A4F9">
      <w:pPr>
        <w:spacing w:line="360" w:lineRule="exact"/>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rPr>
        <w:t xml:space="preserve">9.4.9 </w:t>
      </w:r>
      <w:r>
        <w:rPr>
          <w:rFonts w:hint="default" w:ascii="Times New Roman" w:hAnsi="Times New Roman" w:eastAsia="宋体" w:cs="Times New Roman"/>
          <w:color w:val="auto"/>
          <w:sz w:val="24"/>
          <w:szCs w:val="24"/>
        </w:rPr>
        <w:t>进行设防烈度地震和罕遇地震作用下构件抗震承载力验算时，构件内力宜采用弹性分析方法或等效弹性分析方法进行计算；当构件内力采用弹塑性分析方法进行计算时，应符合下列规定：</w:t>
      </w:r>
    </w:p>
    <w:p w14:paraId="0E8343E3">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snapToGrid/>
          <w:color w:val="auto"/>
          <w:kern w:val="2"/>
          <w:sz w:val="24"/>
          <w:szCs w:val="24"/>
          <w:lang w:eastAsia="zh-CN"/>
        </w:rPr>
        <w:t>1</w:t>
      </w:r>
      <w:r>
        <w:rPr>
          <w:rFonts w:hint="default" w:ascii="Times New Roman" w:hAnsi="Times New Roman" w:eastAsia="宋体" w:cs="Times New Roman"/>
          <w:color w:val="auto"/>
          <w:sz w:val="24"/>
          <w:szCs w:val="24"/>
          <w:lang w:eastAsia="zh-CN"/>
        </w:rPr>
        <w:t xml:space="preserve"> 当采用动力弹塑性分析方法时，应采用7组时程动力弹塑性分析得到的最大内力平均值。</w:t>
      </w:r>
    </w:p>
    <w:p w14:paraId="2C720701">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snapToGrid/>
          <w:color w:val="auto"/>
          <w:kern w:val="2"/>
          <w:sz w:val="24"/>
          <w:szCs w:val="24"/>
          <w:lang w:eastAsia="zh-CN"/>
        </w:rPr>
        <w:t>2</w:t>
      </w:r>
      <w:r>
        <w:rPr>
          <w:rFonts w:hint="default" w:ascii="Times New Roman" w:hAnsi="Times New Roman" w:eastAsia="宋体" w:cs="Times New Roman"/>
          <w:color w:val="auto"/>
          <w:sz w:val="24"/>
          <w:szCs w:val="24"/>
          <w:lang w:eastAsia="zh-CN"/>
        </w:rPr>
        <w:t xml:space="preserve"> 当采用静力弹塑性分析方法时，应采用两种或两种以上侧向力加载模式推覆得到构件内力包络值。</w:t>
      </w:r>
    </w:p>
    <w:p w14:paraId="044C40A1">
      <w:pPr>
        <w:spacing w:line="360" w:lineRule="exact"/>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rPr>
        <w:t>9.4.10</w:t>
      </w:r>
      <w:r>
        <w:rPr>
          <w:rFonts w:hint="default" w:ascii="Times New Roman" w:hAnsi="Times New Roman" w:eastAsia="宋体" w:cs="Times New Roman"/>
          <w:color w:val="auto"/>
          <w:sz w:val="24"/>
          <w:szCs w:val="24"/>
        </w:rPr>
        <w:t xml:space="preserve"> 设防烈度地震和罕遇地震作用下，构件的正截面和斜截面承载力验算应符合下列规定：</w:t>
      </w:r>
    </w:p>
    <w:p w14:paraId="00562AC6">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snapToGrid/>
          <w:color w:val="auto"/>
          <w:kern w:val="2"/>
          <w:sz w:val="24"/>
          <w:szCs w:val="24"/>
          <w:lang w:eastAsia="zh-CN"/>
        </w:rPr>
        <w:t>1</w:t>
      </w:r>
      <w:r>
        <w:rPr>
          <w:rFonts w:hint="default" w:ascii="Times New Roman" w:hAnsi="Times New Roman" w:eastAsia="宋体" w:cs="Times New Roman"/>
          <w:color w:val="auto"/>
          <w:sz w:val="24"/>
          <w:szCs w:val="24"/>
          <w:lang w:eastAsia="zh-CN"/>
        </w:rPr>
        <w:t xml:space="preserve"> 需满足弹性设计要求的构件的承载力应符合式(9.4.10-1)的规定：</w:t>
      </w:r>
    </w:p>
    <w:p w14:paraId="5AE0AC35">
      <w:pPr>
        <w:pStyle w:val="12"/>
        <w:spacing w:line="360" w:lineRule="auto"/>
        <w:ind w:firstLine="420"/>
        <w:jc w:val="right"/>
        <w:rPr>
          <w:rFonts w:hint="default" w:ascii="Times New Roman" w:hAnsi="Times New Roman" w:eastAsia="宋体" w:cs="Times New Roman"/>
          <w:color w:val="auto"/>
          <w:sz w:val="24"/>
          <w:szCs w:val="24"/>
        </w:rPr>
      </w:pPr>
      <m:oMath>
        <m:sSub>
          <m:sSubPr>
            <m:ctrlPr>
              <w:rPr>
                <w:rFonts w:hint="default" w:ascii="Cambria Math" w:hAnsi="Cambria Math" w:eastAsia="宋体" w:cs="Times New Roman"/>
                <w:color w:val="auto"/>
                <w:sz w:val="24"/>
                <w:szCs w:val="24"/>
              </w:rPr>
            </m:ctrlPr>
          </m:sSubPr>
          <m:e>
            <m:r>
              <m:rPr>
                <m:nor/>
              </m:rPr>
              <w:rPr>
                <w:rFonts w:hint="default" w:ascii="Times New Roman" w:hAnsi="Times New Roman" w:eastAsia="宋体" w:cs="Times New Roman"/>
                <w:i/>
                <w:color w:val="auto"/>
                <w:sz w:val="24"/>
                <w:szCs w:val="24"/>
              </w:rPr>
              <m:t>γ</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rPr>
              <m:t>G</m:t>
            </m:r>
            <m:ctrlPr>
              <w:rPr>
                <w:rFonts w:hint="default" w:ascii="Cambria Math" w:hAnsi="Cambria Math" w:eastAsia="宋体" w:cs="Times New Roman"/>
                <w:color w:val="auto"/>
                <w:sz w:val="24"/>
                <w:szCs w:val="24"/>
              </w:rPr>
            </m:ctrlPr>
          </m:sub>
        </m:sSub>
        <m:sSub>
          <m:sSubPr>
            <m:ctrlPr>
              <w:rPr>
                <w:rFonts w:hint="default" w:ascii="Cambria Math" w:hAnsi="Cambria Math" w:eastAsia="宋体" w:cs="Times New Roman"/>
                <w:color w:val="auto"/>
                <w:sz w:val="24"/>
                <w:szCs w:val="24"/>
              </w:rPr>
            </m:ctrlPr>
          </m:sSubPr>
          <m:e>
            <m:r>
              <m:rPr>
                <m:nor/>
              </m:rPr>
              <w:rPr>
                <w:rFonts w:hint="default" w:ascii="Times New Roman" w:hAnsi="Times New Roman" w:eastAsia="宋体" w:cs="Times New Roman"/>
                <w:i/>
                <w:color w:val="auto"/>
                <w:sz w:val="24"/>
                <w:szCs w:val="24"/>
              </w:rPr>
              <m:t>S</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rPr>
              <m:t>GE</m:t>
            </m:r>
            <m:ctrlPr>
              <w:rPr>
                <w:rFonts w:hint="default" w:ascii="Cambria Math" w:hAnsi="Cambria Math" w:eastAsia="宋体" w:cs="Times New Roman"/>
                <w:color w:val="auto"/>
                <w:sz w:val="24"/>
                <w:szCs w:val="24"/>
              </w:rPr>
            </m:ctrlPr>
          </m:sub>
        </m:sSub>
        <m:r>
          <m:rPr>
            <m:nor/>
            <m:sty m:val="p"/>
          </m:rPr>
          <w:rPr>
            <w:rFonts w:hint="default" w:ascii="Times New Roman" w:hAnsi="Times New Roman" w:eastAsia="宋体" w:cs="Times New Roman"/>
            <w:b w:val="0"/>
            <w:i w:val="0"/>
            <w:color w:val="auto"/>
            <w:sz w:val="24"/>
            <w:szCs w:val="24"/>
          </w:rPr>
          <m:t>+</m:t>
        </m:r>
        <m:sSub>
          <m:sSubPr>
            <m:ctrlPr>
              <w:rPr>
                <w:rFonts w:hint="default" w:ascii="Cambria Math" w:hAnsi="Cambria Math" w:eastAsia="宋体" w:cs="Times New Roman"/>
                <w:color w:val="auto"/>
                <w:sz w:val="24"/>
                <w:szCs w:val="24"/>
              </w:rPr>
            </m:ctrlPr>
          </m:sSubPr>
          <m:e>
            <m:r>
              <m:rPr>
                <m:nor/>
              </m:rPr>
              <w:rPr>
                <w:rFonts w:hint="default" w:ascii="Times New Roman" w:hAnsi="Times New Roman" w:eastAsia="宋体" w:cs="Times New Roman"/>
                <w:i/>
                <w:color w:val="auto"/>
                <w:sz w:val="24"/>
                <w:szCs w:val="24"/>
              </w:rPr>
              <m:t>γ</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rPr>
              <m:t>Eh</m:t>
            </m:r>
            <m:ctrlPr>
              <w:rPr>
                <w:rFonts w:hint="default" w:ascii="Cambria Math" w:hAnsi="Cambria Math" w:eastAsia="宋体" w:cs="Times New Roman"/>
                <w:color w:val="auto"/>
                <w:sz w:val="24"/>
                <w:szCs w:val="24"/>
              </w:rPr>
            </m:ctrlPr>
          </m:sub>
        </m:sSub>
        <m:sSubSup>
          <m:sSubSupPr>
            <m:ctrlPr>
              <w:rPr>
                <w:rFonts w:hint="default" w:ascii="Cambria Math" w:hAnsi="Cambria Math" w:eastAsia="宋体" w:cs="Times New Roman"/>
                <w:i/>
                <w:color w:val="auto"/>
                <w:sz w:val="24"/>
                <w:szCs w:val="24"/>
              </w:rPr>
            </m:ctrlPr>
          </m:sSubSupPr>
          <m:e>
            <m:r>
              <m:rPr>
                <m:nor/>
              </m:rPr>
              <w:rPr>
                <w:rFonts w:hint="default" w:ascii="Times New Roman" w:hAnsi="Times New Roman" w:eastAsia="宋体" w:cs="Times New Roman"/>
                <w:i/>
                <w:color w:val="auto"/>
                <w:sz w:val="24"/>
                <w:szCs w:val="24"/>
              </w:rPr>
              <m:t>S</m:t>
            </m:r>
            <m:ctrlPr>
              <w:rPr>
                <w:rFonts w:hint="default" w:ascii="Cambria Math" w:hAnsi="Cambria Math" w:eastAsia="宋体" w:cs="Times New Roman"/>
                <w:i/>
                <w:color w:val="auto"/>
                <w:sz w:val="24"/>
                <w:szCs w:val="24"/>
              </w:rPr>
            </m:ctrlPr>
          </m:e>
          <m:sub>
            <m:r>
              <m:rPr>
                <m:nor/>
                <m:sty m:val="p"/>
              </m:rPr>
              <w:rPr>
                <w:rFonts w:hint="default" w:ascii="Times New Roman" w:hAnsi="Times New Roman" w:eastAsia="宋体" w:cs="Times New Roman"/>
                <w:b w:val="0"/>
                <w:i w:val="0"/>
                <w:color w:val="auto"/>
                <w:sz w:val="24"/>
                <w:szCs w:val="24"/>
              </w:rPr>
              <m:t>Ehk</m:t>
            </m:r>
            <m:ctrlPr>
              <w:rPr>
                <w:rFonts w:hint="default" w:ascii="Cambria Math" w:hAnsi="Cambria Math" w:eastAsia="宋体" w:cs="Times New Roman"/>
                <w:i/>
                <w:color w:val="auto"/>
                <w:sz w:val="24"/>
                <w:szCs w:val="24"/>
              </w:rPr>
            </m:ctrlPr>
          </m:sub>
          <m:sup>
            <m:r>
              <m:rPr>
                <m:nor/>
                <m:sty m:val="p"/>
              </m:rPr>
              <w:rPr>
                <w:rFonts w:hint="default" w:ascii="Times New Roman" w:hAnsi="Times New Roman" w:eastAsia="宋体" w:cs="Times New Roman"/>
                <w:b w:val="0"/>
                <w:i w:val="0"/>
                <w:color w:val="auto"/>
                <w:sz w:val="24"/>
                <w:szCs w:val="24"/>
              </w:rPr>
              <m:t>∗</m:t>
            </m:r>
            <m:ctrlPr>
              <w:rPr>
                <w:rFonts w:hint="default" w:ascii="Cambria Math" w:hAnsi="Cambria Math" w:eastAsia="宋体" w:cs="Times New Roman"/>
                <w:i/>
                <w:color w:val="auto"/>
                <w:sz w:val="24"/>
                <w:szCs w:val="24"/>
              </w:rPr>
            </m:ctrlPr>
          </m:sup>
        </m:sSubSup>
        <m:r>
          <m:rPr>
            <m:nor/>
            <m:sty m:val="p"/>
          </m:rPr>
          <w:rPr>
            <w:rFonts w:hint="default" w:ascii="Times New Roman" w:hAnsi="Times New Roman" w:eastAsia="宋体" w:cs="Times New Roman"/>
            <w:b w:val="0"/>
            <w:i w:val="0"/>
            <w:color w:val="auto"/>
            <w:sz w:val="24"/>
            <w:szCs w:val="24"/>
          </w:rPr>
          <m:t>+</m:t>
        </m:r>
        <m:sSub>
          <m:sSubPr>
            <m:ctrlPr>
              <w:rPr>
                <w:rFonts w:hint="default" w:ascii="Cambria Math" w:hAnsi="Cambria Math" w:eastAsia="宋体" w:cs="Times New Roman"/>
                <w:color w:val="auto"/>
                <w:sz w:val="24"/>
                <w:szCs w:val="24"/>
              </w:rPr>
            </m:ctrlPr>
          </m:sSubPr>
          <m:e>
            <m:r>
              <m:rPr>
                <m:nor/>
              </m:rPr>
              <w:rPr>
                <w:rFonts w:hint="default" w:ascii="Times New Roman" w:hAnsi="Times New Roman" w:eastAsia="宋体" w:cs="Times New Roman"/>
                <w:i/>
                <w:color w:val="auto"/>
                <w:sz w:val="24"/>
                <w:szCs w:val="24"/>
              </w:rPr>
              <m:t>γ</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rPr>
              <m:t>Ev</m:t>
            </m:r>
            <m:ctrlPr>
              <w:rPr>
                <w:rFonts w:hint="default" w:ascii="Cambria Math" w:hAnsi="Cambria Math" w:eastAsia="宋体" w:cs="Times New Roman"/>
                <w:color w:val="auto"/>
                <w:sz w:val="24"/>
                <w:szCs w:val="24"/>
              </w:rPr>
            </m:ctrlPr>
          </m:sub>
        </m:sSub>
        <m:sSubSup>
          <m:sSubSupPr>
            <m:ctrlPr>
              <w:rPr>
                <w:rFonts w:hint="default" w:ascii="Cambria Math" w:hAnsi="Cambria Math" w:eastAsia="宋体" w:cs="Times New Roman"/>
                <w:i/>
                <w:color w:val="auto"/>
                <w:sz w:val="24"/>
                <w:szCs w:val="24"/>
              </w:rPr>
            </m:ctrlPr>
          </m:sSubSupPr>
          <m:e>
            <m:r>
              <m:rPr>
                <m:nor/>
              </m:rPr>
              <w:rPr>
                <w:rFonts w:hint="default" w:ascii="Times New Roman" w:hAnsi="Times New Roman" w:eastAsia="宋体" w:cs="Times New Roman"/>
                <w:i/>
                <w:color w:val="auto"/>
                <w:sz w:val="24"/>
                <w:szCs w:val="24"/>
              </w:rPr>
              <m:t>S</m:t>
            </m:r>
            <m:ctrlPr>
              <w:rPr>
                <w:rFonts w:hint="default" w:ascii="Cambria Math" w:hAnsi="Cambria Math" w:eastAsia="宋体" w:cs="Times New Roman"/>
                <w:i/>
                <w:color w:val="auto"/>
                <w:sz w:val="24"/>
                <w:szCs w:val="24"/>
              </w:rPr>
            </m:ctrlPr>
          </m:e>
          <m:sub>
            <m:r>
              <m:rPr>
                <m:nor/>
                <m:sty m:val="p"/>
              </m:rPr>
              <w:rPr>
                <w:rFonts w:hint="default" w:ascii="Times New Roman" w:hAnsi="Times New Roman" w:eastAsia="宋体" w:cs="Times New Roman"/>
                <w:b w:val="0"/>
                <w:i w:val="0"/>
                <w:color w:val="auto"/>
                <w:sz w:val="24"/>
                <w:szCs w:val="24"/>
              </w:rPr>
              <m:t>Evk</m:t>
            </m:r>
            <m:ctrlPr>
              <w:rPr>
                <w:rFonts w:hint="default" w:ascii="Cambria Math" w:hAnsi="Cambria Math" w:eastAsia="宋体" w:cs="Times New Roman"/>
                <w:i/>
                <w:color w:val="auto"/>
                <w:sz w:val="24"/>
                <w:szCs w:val="24"/>
              </w:rPr>
            </m:ctrlPr>
          </m:sub>
          <m:sup>
            <m:r>
              <m:rPr>
                <m:nor/>
                <m:sty m:val="p"/>
              </m:rPr>
              <w:rPr>
                <w:rFonts w:hint="default" w:ascii="Times New Roman" w:hAnsi="Times New Roman" w:eastAsia="宋体" w:cs="Times New Roman"/>
                <w:b w:val="0"/>
                <w:i w:val="0"/>
                <w:color w:val="auto"/>
                <w:sz w:val="24"/>
                <w:szCs w:val="24"/>
              </w:rPr>
              <m:t>∗</m:t>
            </m:r>
            <m:ctrlPr>
              <w:rPr>
                <w:rFonts w:hint="default" w:ascii="Cambria Math" w:hAnsi="Cambria Math" w:eastAsia="宋体" w:cs="Times New Roman"/>
                <w:i/>
                <w:color w:val="auto"/>
                <w:sz w:val="24"/>
                <w:szCs w:val="24"/>
              </w:rPr>
            </m:ctrlPr>
          </m:sup>
        </m:sSubSup>
        <m:r>
          <m:rPr>
            <m:nor/>
            <m:sty m:val="p"/>
          </m:rPr>
          <w:rPr>
            <w:rFonts w:hint="default" w:ascii="Times New Roman" w:hAnsi="Times New Roman" w:eastAsia="宋体" w:cs="Times New Roman"/>
            <w:b w:val="0"/>
            <w:i w:val="0"/>
            <w:color w:val="auto"/>
            <w:sz w:val="24"/>
            <w:szCs w:val="24"/>
          </w:rPr>
          <m:t>≤</m:t>
        </m:r>
        <m:f>
          <m:fPr>
            <m:type m:val="lin"/>
            <m:ctrlPr>
              <w:rPr>
                <w:rFonts w:hint="default" w:ascii="Cambria Math" w:hAnsi="Cambria Math" w:eastAsia="宋体" w:cs="Times New Roman"/>
                <w:i/>
                <w:color w:val="auto"/>
                <w:sz w:val="24"/>
                <w:szCs w:val="24"/>
              </w:rPr>
            </m:ctrlPr>
          </m:fPr>
          <m:num>
            <m:sSub>
              <m:sSubPr>
                <m:ctrlPr>
                  <w:rPr>
                    <w:rFonts w:hint="default" w:ascii="Cambria Math" w:hAnsi="Cambria Math" w:eastAsia="宋体" w:cs="Times New Roman"/>
                    <w:i/>
                    <w:color w:val="auto"/>
                    <w:sz w:val="24"/>
                    <w:szCs w:val="24"/>
                  </w:rPr>
                </m:ctrlPr>
              </m:sSubPr>
              <m:e>
                <m:r>
                  <m:rPr>
                    <m:nor/>
                  </m:rPr>
                  <w:rPr>
                    <w:rFonts w:hint="default" w:ascii="Times New Roman" w:hAnsi="Times New Roman" w:eastAsia="宋体" w:cs="Times New Roman"/>
                    <w:i/>
                    <w:color w:val="auto"/>
                    <w:sz w:val="24"/>
                    <w:szCs w:val="24"/>
                  </w:rPr>
                  <m:t>R</m:t>
                </m:r>
                <m:ctrlPr>
                  <w:rPr>
                    <w:rFonts w:hint="default" w:ascii="Cambria Math" w:hAnsi="Cambria Math" w:eastAsia="宋体" w:cs="Times New Roman"/>
                    <w:i/>
                    <w:color w:val="auto"/>
                    <w:sz w:val="24"/>
                    <w:szCs w:val="24"/>
                  </w:rPr>
                </m:ctrlPr>
              </m:e>
              <m:sub>
                <m:r>
                  <m:rPr>
                    <m:nor/>
                    <m:sty m:val="p"/>
                  </m:rPr>
                  <w:rPr>
                    <w:rFonts w:hint="default" w:ascii="Times New Roman" w:hAnsi="Times New Roman" w:eastAsia="宋体" w:cs="Times New Roman"/>
                    <w:b w:val="0"/>
                    <w:i w:val="0"/>
                    <w:color w:val="auto"/>
                    <w:sz w:val="24"/>
                    <w:szCs w:val="24"/>
                  </w:rPr>
                  <m:t>d</m:t>
                </m:r>
                <m:ctrlPr>
                  <w:rPr>
                    <w:rFonts w:hint="default" w:ascii="Cambria Math" w:hAnsi="Cambria Math" w:eastAsia="宋体" w:cs="Times New Roman"/>
                    <w:i/>
                    <w:color w:val="auto"/>
                    <w:sz w:val="24"/>
                    <w:szCs w:val="24"/>
                  </w:rPr>
                </m:ctrlPr>
              </m:sub>
            </m:sSub>
            <m:ctrlPr>
              <w:rPr>
                <w:rFonts w:hint="default" w:ascii="Cambria Math" w:hAnsi="Cambria Math" w:eastAsia="宋体" w:cs="Times New Roman"/>
                <w:i/>
                <w:color w:val="auto"/>
                <w:sz w:val="24"/>
                <w:szCs w:val="24"/>
              </w:rPr>
            </m:ctrlPr>
          </m:num>
          <m:den>
            <m:sSub>
              <m:sSubPr>
                <m:ctrlPr>
                  <w:rPr>
                    <w:rFonts w:hint="default" w:ascii="Cambria Math" w:hAnsi="Cambria Math" w:eastAsia="宋体" w:cs="Times New Roman"/>
                    <w:color w:val="auto"/>
                    <w:sz w:val="24"/>
                    <w:szCs w:val="24"/>
                  </w:rPr>
                </m:ctrlPr>
              </m:sSubPr>
              <m:e>
                <m:r>
                  <m:rPr>
                    <m:nor/>
                  </m:rPr>
                  <w:rPr>
                    <w:rFonts w:hint="default" w:ascii="Times New Roman" w:hAnsi="Times New Roman" w:eastAsia="宋体" w:cs="Times New Roman"/>
                    <w:i/>
                    <w:color w:val="auto"/>
                    <w:sz w:val="24"/>
                    <w:szCs w:val="24"/>
                  </w:rPr>
                  <m:t>γ</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rPr>
                  <m:t>RE</m:t>
                </m:r>
                <m:ctrlPr>
                  <w:rPr>
                    <w:rFonts w:hint="default" w:ascii="Cambria Math" w:hAnsi="Cambria Math" w:eastAsia="宋体" w:cs="Times New Roman"/>
                    <w:color w:val="auto"/>
                    <w:sz w:val="24"/>
                    <w:szCs w:val="24"/>
                  </w:rPr>
                </m:ctrlPr>
              </m:sub>
            </m:sSub>
            <m:ctrlPr>
              <w:rPr>
                <w:rFonts w:hint="default" w:ascii="Cambria Math" w:hAnsi="Cambria Math" w:eastAsia="宋体" w:cs="Times New Roman"/>
                <w:i/>
                <w:color w:val="auto"/>
                <w:sz w:val="24"/>
                <w:szCs w:val="24"/>
              </w:rPr>
            </m:ctrlPr>
          </m:den>
        </m:f>
      </m:oMath>
      <w:r>
        <w:rPr>
          <w:rFonts w:hint="default" w:ascii="Times New Roman" w:hAnsi="Times New Roman" w:eastAsia="宋体" w:cs="Times New Roman"/>
          <w:color w:val="auto"/>
          <w:sz w:val="24"/>
          <w:szCs w:val="24"/>
        </w:rPr>
        <w:t xml:space="preserve">              （9.4.10-1）</w:t>
      </w:r>
    </w:p>
    <w:tbl>
      <w:tblPr>
        <w:tblStyle w:val="25"/>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64"/>
        <w:gridCol w:w="520"/>
        <w:gridCol w:w="7495"/>
      </w:tblGrid>
      <w:tr w14:paraId="0E4AE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4" w:type="pct"/>
          </w:tcPr>
          <w:p w14:paraId="697E6012">
            <w:pPr>
              <w:pStyle w:val="12"/>
              <w:spacing w:line="360" w:lineRule="auto"/>
              <w:ind w:firstLine="0" w:firstLineChars="0"/>
              <w:jc w:val="righ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w:t>
            </w:r>
            <m:oMath>
              <m:sSub>
                <m:sSubPr>
                  <m:ctrlPr>
                    <w:rPr>
                      <w:rFonts w:hint="default" w:ascii="Cambria Math" w:hAnsi="Cambria Math" w:eastAsia="宋体" w:cs="Times New Roman"/>
                      <w:i/>
                      <w:color w:val="auto"/>
                      <w:sz w:val="24"/>
                      <w:szCs w:val="24"/>
                    </w:rPr>
                  </m:ctrlPr>
                </m:sSubPr>
                <m:e>
                  <m:r>
                    <m:rPr>
                      <m:nor/>
                    </m:rPr>
                    <w:rPr>
                      <w:rFonts w:hint="default" w:ascii="Times New Roman" w:hAnsi="Times New Roman" w:eastAsia="宋体" w:cs="Times New Roman"/>
                      <w:i/>
                      <w:color w:val="auto"/>
                      <w:sz w:val="24"/>
                      <w:szCs w:val="24"/>
                    </w:rPr>
                    <m:t>R</m:t>
                  </m:r>
                  <m:ctrlPr>
                    <w:rPr>
                      <w:rFonts w:hint="default" w:ascii="Cambria Math" w:hAnsi="Cambria Math" w:eastAsia="宋体" w:cs="Times New Roman"/>
                      <w:i/>
                      <w:color w:val="auto"/>
                      <w:sz w:val="24"/>
                      <w:szCs w:val="24"/>
                    </w:rPr>
                  </m:ctrlPr>
                </m:e>
                <m:sub>
                  <m:r>
                    <m:rPr>
                      <m:nor/>
                      <m:sty m:val="p"/>
                    </m:rPr>
                    <w:rPr>
                      <w:rFonts w:hint="default" w:ascii="Times New Roman" w:hAnsi="Times New Roman" w:eastAsia="宋体" w:cs="Times New Roman"/>
                      <w:b w:val="0"/>
                      <w:i w:val="0"/>
                      <w:color w:val="auto"/>
                      <w:sz w:val="24"/>
                      <w:szCs w:val="24"/>
                    </w:rPr>
                    <m:t>d</m:t>
                  </m:r>
                  <m:ctrlPr>
                    <w:rPr>
                      <w:rFonts w:hint="default" w:ascii="Cambria Math" w:hAnsi="Cambria Math" w:eastAsia="宋体" w:cs="Times New Roman"/>
                      <w:i/>
                      <w:color w:val="auto"/>
                      <w:sz w:val="24"/>
                      <w:szCs w:val="24"/>
                    </w:rPr>
                  </m:ctrlPr>
                </m:sub>
              </m:sSub>
            </m:oMath>
            <w:r>
              <w:rPr>
                <w:rFonts w:hint="default" w:ascii="Times New Roman" w:hAnsi="Times New Roman" w:eastAsia="宋体" w:cs="Times New Roman"/>
                <w:color w:val="auto"/>
                <w:sz w:val="24"/>
                <w:szCs w:val="24"/>
              </w:rPr>
              <w:t>、</w:t>
            </w:r>
            <m:oMath>
              <m:sSub>
                <m:sSubPr>
                  <m:ctrlPr>
                    <w:rPr>
                      <w:rFonts w:hint="default" w:ascii="Cambria Math" w:hAnsi="Cambria Math" w:eastAsia="宋体" w:cs="Times New Roman"/>
                      <w:color w:val="auto"/>
                      <w:sz w:val="24"/>
                      <w:szCs w:val="24"/>
                    </w:rPr>
                  </m:ctrlPr>
                </m:sSubPr>
                <m:e>
                  <m:r>
                    <m:rPr>
                      <m:nor/>
                    </m:rPr>
                    <w:rPr>
                      <w:rFonts w:hint="default" w:ascii="Times New Roman" w:hAnsi="Times New Roman" w:eastAsia="宋体" w:cs="Times New Roman"/>
                      <w:i/>
                      <w:color w:val="auto"/>
                      <w:sz w:val="24"/>
                      <w:szCs w:val="24"/>
                    </w:rPr>
                    <m:t>γ</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rPr>
                    <m:t>RE</m:t>
                  </m:r>
                  <m:ctrlPr>
                    <w:rPr>
                      <w:rFonts w:hint="default" w:ascii="Cambria Math" w:hAnsi="Cambria Math" w:eastAsia="宋体" w:cs="Times New Roman"/>
                      <w:color w:val="auto"/>
                      <w:sz w:val="24"/>
                      <w:szCs w:val="24"/>
                    </w:rPr>
                  </m:ctrlPr>
                </m:sub>
              </m:sSub>
            </m:oMath>
            <w:r>
              <w:rPr>
                <w:rFonts w:hint="default" w:ascii="Times New Roman" w:hAnsi="Times New Roman" w:eastAsia="宋体" w:cs="Times New Roman"/>
                <w:color w:val="auto"/>
                <w:sz w:val="24"/>
                <w:szCs w:val="24"/>
              </w:rPr>
              <w:softHyphen/>
            </w:r>
          </w:p>
        </w:tc>
        <w:tc>
          <w:tcPr>
            <w:tcW w:w="258" w:type="pct"/>
          </w:tcPr>
          <w:p w14:paraId="58383CBD">
            <w:pPr>
              <w:pStyle w:val="12"/>
              <w:spacing w:line="360" w:lineRule="auto"/>
              <w:ind w:firstLine="0" w:firstLineChars="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3718" w:type="pct"/>
          </w:tcPr>
          <w:p w14:paraId="542782B5">
            <w:pPr>
              <w:pStyle w:val="12"/>
              <w:spacing w:line="360" w:lineRule="auto"/>
              <w:ind w:firstLine="0" w:firstLineChars="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构件承载力设计值和承载力抗震调整系数；</w:t>
            </w:r>
          </w:p>
        </w:tc>
      </w:tr>
      <w:tr w14:paraId="2A7A89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4" w:type="pct"/>
          </w:tcPr>
          <w:p w14:paraId="4038D417">
            <w:pPr>
              <w:pStyle w:val="12"/>
              <w:spacing w:line="360" w:lineRule="auto"/>
              <w:ind w:firstLine="420"/>
              <w:rPr>
                <w:rFonts w:hint="default" w:ascii="Times New Roman" w:hAnsi="Times New Roman" w:eastAsia="宋体" w:cs="Times New Roman"/>
                <w:color w:val="auto"/>
                <w:sz w:val="24"/>
                <w:szCs w:val="24"/>
              </w:rPr>
            </w:pPr>
            <m:oMathPara>
              <m:oMathParaPr>
                <m:jc m:val="right"/>
              </m:oMathParaPr>
              <m:oMath>
                <m:sSub>
                  <m:sSubPr>
                    <m:ctrlPr>
                      <w:rPr>
                        <w:rFonts w:hint="default" w:ascii="Cambria Math" w:hAnsi="Cambria Math" w:eastAsia="宋体" w:cs="Times New Roman"/>
                        <w:color w:val="auto"/>
                        <w:sz w:val="24"/>
                        <w:szCs w:val="24"/>
                      </w:rPr>
                    </m:ctrlPr>
                  </m:sSubPr>
                  <m:e>
                    <m:r>
                      <m:rPr>
                        <m:nor/>
                      </m:rPr>
                      <w:rPr>
                        <w:rFonts w:hint="default" w:ascii="Times New Roman" w:hAnsi="Times New Roman" w:eastAsia="宋体" w:cs="Times New Roman"/>
                        <w:i/>
                        <w:color w:val="auto"/>
                        <w:sz w:val="24"/>
                        <w:szCs w:val="24"/>
                      </w:rPr>
                      <m:t>S</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rPr>
                      <m:t>GE</m:t>
                    </m:r>
                    <m:ctrlPr>
                      <w:rPr>
                        <w:rFonts w:hint="default" w:ascii="Cambria Math" w:hAnsi="Cambria Math" w:eastAsia="宋体" w:cs="Times New Roman"/>
                        <w:color w:val="auto"/>
                        <w:sz w:val="24"/>
                        <w:szCs w:val="24"/>
                      </w:rPr>
                    </m:ctrlPr>
                  </m:sub>
                </m:sSub>
              </m:oMath>
            </m:oMathPara>
          </w:p>
        </w:tc>
        <w:tc>
          <w:tcPr>
            <w:tcW w:w="258" w:type="pct"/>
          </w:tcPr>
          <w:p w14:paraId="10371532">
            <w:pPr>
              <w:pStyle w:val="12"/>
              <w:spacing w:line="360" w:lineRule="auto"/>
              <w:ind w:firstLine="0" w:firstLineChars="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3718" w:type="pct"/>
          </w:tcPr>
          <w:p w14:paraId="3A2C41B2">
            <w:pPr>
              <w:pStyle w:val="12"/>
              <w:spacing w:line="360" w:lineRule="auto"/>
              <w:ind w:firstLine="0" w:firstLineChars="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重力荷载代表值的效应；</w:t>
            </w:r>
          </w:p>
        </w:tc>
      </w:tr>
      <w:tr w14:paraId="4D606A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4" w:type="pct"/>
          </w:tcPr>
          <w:p w14:paraId="07965F3A">
            <w:pPr>
              <w:pStyle w:val="12"/>
              <w:spacing w:line="360" w:lineRule="auto"/>
              <w:ind w:firstLine="0" w:firstLineChars="0"/>
              <w:jc w:val="right"/>
              <w:rPr>
                <w:rFonts w:hint="default" w:ascii="Times New Roman" w:hAnsi="Times New Roman" w:eastAsia="宋体" w:cs="Times New Roman"/>
                <w:color w:val="auto"/>
                <w:sz w:val="24"/>
                <w:szCs w:val="24"/>
              </w:rPr>
            </w:pPr>
            <m:oMath>
              <m:sSub>
                <m:sSubPr>
                  <m:ctrlPr>
                    <w:rPr>
                      <w:rFonts w:hint="default" w:ascii="Cambria Math" w:hAnsi="Cambria Math" w:eastAsia="宋体" w:cs="Times New Roman"/>
                      <w:color w:val="auto"/>
                      <w:sz w:val="24"/>
                      <w:szCs w:val="24"/>
                    </w:rPr>
                  </m:ctrlPr>
                </m:sSubPr>
                <m:e>
                  <m:r>
                    <m:rPr>
                      <m:nor/>
                    </m:rPr>
                    <w:rPr>
                      <w:rFonts w:hint="default" w:ascii="Times New Roman" w:hAnsi="Times New Roman" w:eastAsia="宋体" w:cs="Times New Roman"/>
                      <w:i/>
                      <w:color w:val="auto"/>
                      <w:sz w:val="24"/>
                      <w:szCs w:val="24"/>
                    </w:rPr>
                    <m:t>γ</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rPr>
                    <m:t>G</m:t>
                  </m:r>
                  <m:ctrlPr>
                    <w:rPr>
                      <w:rFonts w:hint="default" w:ascii="Cambria Math" w:hAnsi="Cambria Math" w:eastAsia="宋体" w:cs="Times New Roman"/>
                      <w:color w:val="auto"/>
                      <w:sz w:val="24"/>
                      <w:szCs w:val="24"/>
                    </w:rPr>
                  </m:ctrlPr>
                </m:sub>
              </m:sSub>
            </m:oMath>
            <w:r>
              <w:rPr>
                <w:rFonts w:hint="default" w:ascii="Times New Roman" w:hAnsi="Times New Roman" w:eastAsia="宋体" w:cs="Times New Roman"/>
                <w:color w:val="auto"/>
                <w:sz w:val="24"/>
                <w:szCs w:val="24"/>
              </w:rPr>
              <w:t>、</w:t>
            </w:r>
            <m:oMath>
              <m:sSub>
                <m:sSubPr>
                  <m:ctrlPr>
                    <w:rPr>
                      <w:rFonts w:hint="default" w:ascii="Cambria Math" w:hAnsi="Cambria Math" w:eastAsia="宋体" w:cs="Times New Roman"/>
                      <w:color w:val="auto"/>
                      <w:sz w:val="24"/>
                      <w:szCs w:val="24"/>
                    </w:rPr>
                  </m:ctrlPr>
                </m:sSubPr>
                <m:e>
                  <m:r>
                    <m:rPr>
                      <m:nor/>
                    </m:rPr>
                    <w:rPr>
                      <w:rFonts w:hint="default" w:ascii="Times New Roman" w:hAnsi="Times New Roman" w:eastAsia="宋体" w:cs="Times New Roman"/>
                      <w:i/>
                      <w:color w:val="auto"/>
                      <w:sz w:val="24"/>
                      <w:szCs w:val="24"/>
                    </w:rPr>
                    <m:t>γ</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rPr>
                    <m:t>Eh</m:t>
                  </m:r>
                  <m:ctrlPr>
                    <w:rPr>
                      <w:rFonts w:hint="default" w:ascii="Cambria Math" w:hAnsi="Cambria Math" w:eastAsia="宋体" w:cs="Times New Roman"/>
                      <w:color w:val="auto"/>
                      <w:sz w:val="24"/>
                      <w:szCs w:val="24"/>
                    </w:rPr>
                  </m:ctrlPr>
                </m:sub>
              </m:sSub>
            </m:oMath>
            <w:r>
              <w:rPr>
                <w:rFonts w:hint="default" w:ascii="Times New Roman" w:hAnsi="Times New Roman" w:eastAsia="宋体" w:cs="Times New Roman"/>
                <w:color w:val="auto"/>
                <w:sz w:val="24"/>
                <w:szCs w:val="24"/>
              </w:rPr>
              <w:t>、</w:t>
            </w:r>
            <m:oMath>
              <m:sSub>
                <m:sSubPr>
                  <m:ctrlPr>
                    <w:rPr>
                      <w:rFonts w:hint="default" w:ascii="Cambria Math" w:hAnsi="Cambria Math" w:eastAsia="宋体" w:cs="Times New Roman"/>
                      <w:color w:val="auto"/>
                      <w:sz w:val="24"/>
                      <w:szCs w:val="24"/>
                    </w:rPr>
                  </m:ctrlPr>
                </m:sSubPr>
                <m:e>
                  <m:r>
                    <m:rPr>
                      <m:nor/>
                    </m:rPr>
                    <w:rPr>
                      <w:rFonts w:hint="default" w:ascii="Times New Roman" w:hAnsi="Times New Roman" w:eastAsia="宋体" w:cs="Times New Roman"/>
                      <w:i/>
                      <w:color w:val="auto"/>
                      <w:sz w:val="24"/>
                      <w:szCs w:val="24"/>
                    </w:rPr>
                    <m:t>γ</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rPr>
                    <m:t>Ev</m:t>
                  </m:r>
                  <m:ctrlPr>
                    <w:rPr>
                      <w:rFonts w:hint="default" w:ascii="Cambria Math" w:hAnsi="Cambria Math" w:eastAsia="宋体" w:cs="Times New Roman"/>
                      <w:color w:val="auto"/>
                      <w:sz w:val="24"/>
                      <w:szCs w:val="24"/>
                    </w:rPr>
                  </m:ctrlPr>
                </m:sub>
              </m:sSub>
            </m:oMath>
          </w:p>
        </w:tc>
        <w:tc>
          <w:tcPr>
            <w:tcW w:w="258" w:type="pct"/>
          </w:tcPr>
          <w:p w14:paraId="69987082">
            <w:pPr>
              <w:pStyle w:val="12"/>
              <w:spacing w:line="360" w:lineRule="auto"/>
              <w:ind w:firstLine="0" w:firstLineChars="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3718" w:type="pct"/>
          </w:tcPr>
          <w:p w14:paraId="1C27192D">
            <w:pPr>
              <w:pStyle w:val="12"/>
              <w:spacing w:line="360" w:lineRule="auto"/>
              <w:ind w:firstLine="0" w:firstLineChars="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重力荷载代表值、水平地震作用、竖向地震作用的分项系数；</w:t>
            </w:r>
          </w:p>
        </w:tc>
      </w:tr>
      <w:tr w14:paraId="7B47A9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4" w:type="pct"/>
          </w:tcPr>
          <w:p w14:paraId="33C051F7">
            <w:pPr>
              <w:pStyle w:val="12"/>
              <w:spacing w:line="360" w:lineRule="auto"/>
              <w:ind w:firstLine="420"/>
              <w:rPr>
                <w:rFonts w:hint="default" w:ascii="Times New Roman" w:hAnsi="Times New Roman" w:eastAsia="宋体" w:cs="Times New Roman"/>
                <w:color w:val="auto"/>
                <w:sz w:val="24"/>
                <w:szCs w:val="24"/>
              </w:rPr>
            </w:pPr>
            <m:oMathPara>
              <m:oMathParaPr>
                <m:jc m:val="right"/>
              </m:oMathParaPr>
              <m:oMath>
                <m:sSubSup>
                  <m:sSubSupPr>
                    <m:ctrlPr>
                      <w:rPr>
                        <w:rFonts w:hint="default" w:ascii="Cambria Math" w:hAnsi="Cambria Math" w:eastAsia="宋体" w:cs="Times New Roman"/>
                        <w:i/>
                        <w:color w:val="auto"/>
                        <w:sz w:val="24"/>
                        <w:szCs w:val="24"/>
                      </w:rPr>
                    </m:ctrlPr>
                  </m:sSubSupPr>
                  <m:e>
                    <m:r>
                      <m:rPr>
                        <m:nor/>
                      </m:rPr>
                      <w:rPr>
                        <w:rFonts w:hint="default" w:ascii="Times New Roman" w:hAnsi="Times New Roman" w:eastAsia="宋体" w:cs="Times New Roman"/>
                        <w:i/>
                        <w:color w:val="auto"/>
                        <w:sz w:val="24"/>
                        <w:szCs w:val="24"/>
                      </w:rPr>
                      <m:t>S</m:t>
                    </m:r>
                    <m:ctrlPr>
                      <w:rPr>
                        <w:rFonts w:hint="default" w:ascii="Cambria Math" w:hAnsi="Cambria Math" w:eastAsia="宋体" w:cs="Times New Roman"/>
                        <w:i/>
                        <w:color w:val="auto"/>
                        <w:sz w:val="24"/>
                        <w:szCs w:val="24"/>
                      </w:rPr>
                    </m:ctrlPr>
                  </m:e>
                  <m:sub>
                    <m:r>
                      <m:rPr>
                        <m:nor/>
                        <m:sty m:val="p"/>
                      </m:rPr>
                      <w:rPr>
                        <w:rFonts w:hint="default" w:ascii="Times New Roman" w:hAnsi="Times New Roman" w:eastAsia="宋体" w:cs="Times New Roman"/>
                        <w:b w:val="0"/>
                        <w:i w:val="0"/>
                        <w:color w:val="auto"/>
                        <w:sz w:val="24"/>
                        <w:szCs w:val="24"/>
                      </w:rPr>
                      <m:t>Ehk</m:t>
                    </m:r>
                    <m:ctrlPr>
                      <w:rPr>
                        <w:rFonts w:hint="default" w:ascii="Cambria Math" w:hAnsi="Cambria Math" w:eastAsia="宋体" w:cs="Times New Roman"/>
                        <w:i/>
                        <w:color w:val="auto"/>
                        <w:sz w:val="24"/>
                        <w:szCs w:val="24"/>
                      </w:rPr>
                    </m:ctrlPr>
                  </m:sub>
                  <m:sup>
                    <m:r>
                      <m:rPr>
                        <m:nor/>
                        <m:sty m:val="p"/>
                      </m:rPr>
                      <w:rPr>
                        <w:rFonts w:hint="default" w:ascii="Times New Roman" w:hAnsi="Times New Roman" w:eastAsia="宋体" w:cs="Times New Roman"/>
                        <w:b w:val="0"/>
                        <w:i w:val="0"/>
                        <w:color w:val="auto"/>
                        <w:sz w:val="24"/>
                        <w:szCs w:val="24"/>
                      </w:rPr>
                      <m:t>∗</m:t>
                    </m:r>
                    <m:ctrlPr>
                      <w:rPr>
                        <w:rFonts w:hint="default" w:ascii="Cambria Math" w:hAnsi="Cambria Math" w:eastAsia="宋体" w:cs="Times New Roman"/>
                        <w:i/>
                        <w:color w:val="auto"/>
                        <w:sz w:val="24"/>
                        <w:szCs w:val="24"/>
                      </w:rPr>
                    </m:ctrlPr>
                  </m:sup>
                </m:sSubSup>
              </m:oMath>
            </m:oMathPara>
          </w:p>
        </w:tc>
        <w:tc>
          <w:tcPr>
            <w:tcW w:w="258" w:type="pct"/>
          </w:tcPr>
          <w:p w14:paraId="7C994212">
            <w:pPr>
              <w:pStyle w:val="12"/>
              <w:spacing w:line="360" w:lineRule="auto"/>
              <w:ind w:firstLine="0" w:firstLineChars="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3718" w:type="pct"/>
          </w:tcPr>
          <w:p w14:paraId="0324CF89">
            <w:pPr>
              <w:pStyle w:val="12"/>
              <w:spacing w:line="360" w:lineRule="auto"/>
              <w:ind w:firstLine="0" w:firstLineChars="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水平地震作用标准值的效应，不考虑与抗震等级有关的增大系数；</w:t>
            </w:r>
          </w:p>
        </w:tc>
      </w:tr>
      <w:tr w14:paraId="3F3A86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4" w:type="pct"/>
          </w:tcPr>
          <w:p w14:paraId="24CD3166">
            <w:pPr>
              <w:pStyle w:val="12"/>
              <w:spacing w:line="360" w:lineRule="auto"/>
              <w:ind w:firstLine="420"/>
              <w:rPr>
                <w:rFonts w:hint="default" w:ascii="Times New Roman" w:hAnsi="Times New Roman" w:eastAsia="宋体" w:cs="Times New Roman"/>
                <w:color w:val="auto"/>
                <w:sz w:val="24"/>
                <w:szCs w:val="24"/>
              </w:rPr>
            </w:pPr>
            <m:oMathPara>
              <m:oMathParaPr>
                <m:jc m:val="right"/>
              </m:oMathParaPr>
              <m:oMath>
                <m:sSubSup>
                  <m:sSubSupPr>
                    <m:ctrlPr>
                      <w:rPr>
                        <w:rFonts w:hint="default" w:ascii="Cambria Math" w:hAnsi="Cambria Math" w:eastAsia="宋体" w:cs="Times New Roman"/>
                        <w:i/>
                        <w:color w:val="auto"/>
                        <w:sz w:val="24"/>
                        <w:szCs w:val="24"/>
                      </w:rPr>
                    </m:ctrlPr>
                  </m:sSubSupPr>
                  <m:e>
                    <m:r>
                      <m:rPr>
                        <m:nor/>
                      </m:rPr>
                      <w:rPr>
                        <w:rFonts w:hint="default" w:ascii="Times New Roman" w:hAnsi="Times New Roman" w:eastAsia="宋体" w:cs="Times New Roman"/>
                        <w:i/>
                        <w:color w:val="auto"/>
                        <w:sz w:val="24"/>
                        <w:szCs w:val="24"/>
                      </w:rPr>
                      <m:t>S</m:t>
                    </m:r>
                    <m:ctrlPr>
                      <w:rPr>
                        <w:rFonts w:hint="default" w:ascii="Cambria Math" w:hAnsi="Cambria Math" w:eastAsia="宋体" w:cs="Times New Roman"/>
                        <w:i/>
                        <w:color w:val="auto"/>
                        <w:sz w:val="24"/>
                        <w:szCs w:val="24"/>
                      </w:rPr>
                    </m:ctrlPr>
                  </m:e>
                  <m:sub>
                    <m:r>
                      <m:rPr>
                        <m:nor/>
                        <m:sty m:val="p"/>
                      </m:rPr>
                      <w:rPr>
                        <w:rFonts w:hint="default" w:ascii="Times New Roman" w:hAnsi="Times New Roman" w:eastAsia="宋体" w:cs="Times New Roman"/>
                        <w:b w:val="0"/>
                        <w:i w:val="0"/>
                        <w:color w:val="auto"/>
                        <w:sz w:val="24"/>
                        <w:szCs w:val="24"/>
                      </w:rPr>
                      <m:t>Evk</m:t>
                    </m:r>
                    <m:ctrlPr>
                      <w:rPr>
                        <w:rFonts w:hint="default" w:ascii="Cambria Math" w:hAnsi="Cambria Math" w:eastAsia="宋体" w:cs="Times New Roman"/>
                        <w:i/>
                        <w:color w:val="auto"/>
                        <w:sz w:val="24"/>
                        <w:szCs w:val="24"/>
                      </w:rPr>
                    </m:ctrlPr>
                  </m:sub>
                  <m:sup>
                    <m:r>
                      <m:rPr>
                        <m:nor/>
                        <m:sty m:val="p"/>
                      </m:rPr>
                      <w:rPr>
                        <w:rFonts w:hint="default" w:ascii="Times New Roman" w:hAnsi="Times New Roman" w:eastAsia="宋体" w:cs="Times New Roman"/>
                        <w:b w:val="0"/>
                        <w:i w:val="0"/>
                        <w:color w:val="auto"/>
                        <w:sz w:val="24"/>
                        <w:szCs w:val="24"/>
                      </w:rPr>
                      <m:t>∗</m:t>
                    </m:r>
                    <m:ctrlPr>
                      <w:rPr>
                        <w:rFonts w:hint="default" w:ascii="Cambria Math" w:hAnsi="Cambria Math" w:eastAsia="宋体" w:cs="Times New Roman"/>
                        <w:i/>
                        <w:color w:val="auto"/>
                        <w:sz w:val="24"/>
                        <w:szCs w:val="24"/>
                      </w:rPr>
                    </m:ctrlPr>
                  </m:sup>
                </m:sSubSup>
              </m:oMath>
            </m:oMathPara>
          </w:p>
        </w:tc>
        <w:tc>
          <w:tcPr>
            <w:tcW w:w="258" w:type="pct"/>
          </w:tcPr>
          <w:p w14:paraId="65518333">
            <w:pPr>
              <w:pStyle w:val="12"/>
              <w:spacing w:line="360" w:lineRule="auto"/>
              <w:ind w:firstLine="0" w:firstLineChars="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3718" w:type="pct"/>
          </w:tcPr>
          <w:p w14:paraId="00E6D495">
            <w:pPr>
              <w:pStyle w:val="12"/>
              <w:spacing w:line="360" w:lineRule="auto"/>
              <w:ind w:firstLine="0" w:firstLineChars="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竖向地震作用标准值的效应，不考虑与抗震等级有关的增大系数。</w:t>
            </w:r>
          </w:p>
        </w:tc>
      </w:tr>
    </w:tbl>
    <w:p w14:paraId="1FC6F465">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snapToGrid/>
          <w:color w:val="auto"/>
          <w:kern w:val="2"/>
          <w:sz w:val="24"/>
          <w:szCs w:val="24"/>
          <w:lang w:eastAsia="zh-CN"/>
        </w:rPr>
        <w:t>2</w:t>
      </w:r>
      <w:r>
        <w:rPr>
          <w:rFonts w:hint="default" w:ascii="Times New Roman" w:hAnsi="Times New Roman" w:eastAsia="宋体" w:cs="Times New Roman"/>
          <w:color w:val="auto"/>
          <w:sz w:val="24"/>
          <w:szCs w:val="24"/>
          <w:lang w:eastAsia="zh-CN"/>
        </w:rPr>
        <w:t xml:space="preserve"> 需满足不屈服设计要求的构件承载力应符合式(9.4.10-2)的规定；水平长悬臂结构和大跨度结构中的关键构件承载力尚应符合式(9.4.10-3)的规定：</w:t>
      </w:r>
    </w:p>
    <w:p w14:paraId="75340409">
      <w:pPr>
        <w:pStyle w:val="12"/>
        <w:spacing w:line="360" w:lineRule="auto"/>
        <w:ind w:firstLine="420"/>
        <w:jc w:val="right"/>
        <w:rPr>
          <w:rFonts w:hint="default" w:ascii="Times New Roman" w:hAnsi="Times New Roman" w:eastAsia="宋体" w:cs="Times New Roman"/>
          <w:color w:val="auto"/>
          <w:sz w:val="24"/>
          <w:szCs w:val="24"/>
        </w:rPr>
      </w:pPr>
      <m:oMath>
        <m:sSub>
          <m:sSubPr>
            <m:ctrlPr>
              <w:rPr>
                <w:rFonts w:hint="default" w:ascii="Cambria Math" w:hAnsi="Cambria Math" w:eastAsia="宋体" w:cs="Times New Roman"/>
                <w:color w:val="auto"/>
                <w:sz w:val="24"/>
                <w:szCs w:val="24"/>
              </w:rPr>
            </m:ctrlPr>
          </m:sSubPr>
          <m:e>
            <m:r>
              <m:rPr>
                <m:nor/>
              </m:rPr>
              <w:rPr>
                <w:rFonts w:hint="default" w:ascii="Times New Roman" w:hAnsi="Times New Roman" w:eastAsia="宋体" w:cs="Times New Roman"/>
                <w:i/>
                <w:color w:val="auto"/>
                <w:sz w:val="24"/>
                <w:szCs w:val="24"/>
              </w:rPr>
              <m:t>S</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rPr>
              <m:t>GE</m:t>
            </m:r>
            <m:ctrlPr>
              <w:rPr>
                <w:rFonts w:hint="default" w:ascii="Cambria Math" w:hAnsi="Cambria Math" w:eastAsia="宋体" w:cs="Times New Roman"/>
                <w:color w:val="auto"/>
                <w:sz w:val="24"/>
                <w:szCs w:val="24"/>
              </w:rPr>
            </m:ctrlPr>
          </m:sub>
        </m:sSub>
        <m:r>
          <m:rPr>
            <m:nor/>
            <m:sty m:val="p"/>
          </m:rPr>
          <w:rPr>
            <w:rFonts w:hint="default" w:ascii="Times New Roman" w:hAnsi="Times New Roman" w:eastAsia="宋体" w:cs="Times New Roman"/>
            <w:b w:val="0"/>
            <w:i w:val="0"/>
            <w:color w:val="auto"/>
            <w:sz w:val="24"/>
            <w:szCs w:val="24"/>
          </w:rPr>
          <m:t>+</m:t>
        </m:r>
        <m:sSubSup>
          <m:sSubSupPr>
            <m:ctrlPr>
              <w:rPr>
                <w:rFonts w:hint="default" w:ascii="Cambria Math" w:hAnsi="Cambria Math" w:eastAsia="宋体" w:cs="Times New Roman"/>
                <w:color w:val="auto"/>
                <w:sz w:val="24"/>
                <w:szCs w:val="24"/>
              </w:rPr>
            </m:ctrlPr>
          </m:sSubSupPr>
          <m:e>
            <m:r>
              <m:rPr>
                <m:nor/>
              </m:rPr>
              <w:rPr>
                <w:rFonts w:hint="default" w:ascii="Times New Roman" w:hAnsi="Times New Roman" w:eastAsia="宋体" w:cs="Times New Roman"/>
                <w:i/>
                <w:color w:val="auto"/>
                <w:sz w:val="24"/>
                <w:szCs w:val="24"/>
              </w:rPr>
              <m:t>S</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rPr>
              <m:t>Ehk</m:t>
            </m:r>
            <m:ctrlPr>
              <w:rPr>
                <w:rFonts w:hint="default" w:ascii="Cambria Math" w:hAnsi="Cambria Math" w:eastAsia="宋体" w:cs="Times New Roman"/>
                <w:color w:val="auto"/>
                <w:sz w:val="24"/>
                <w:szCs w:val="24"/>
              </w:rPr>
            </m:ctrlPr>
          </m:sub>
          <m:sup>
            <m:r>
              <m:rPr>
                <m:nor/>
                <m:sty m:val="p"/>
              </m:rPr>
              <w:rPr>
                <w:rFonts w:hint="default" w:ascii="Times New Roman" w:hAnsi="Times New Roman" w:eastAsia="宋体" w:cs="Times New Roman"/>
                <w:b w:val="0"/>
                <w:i w:val="0"/>
                <w:color w:val="auto"/>
                <w:sz w:val="24"/>
                <w:szCs w:val="24"/>
              </w:rPr>
              <m:t>∗</m:t>
            </m:r>
            <m:ctrlPr>
              <w:rPr>
                <w:rFonts w:hint="default" w:ascii="Cambria Math" w:hAnsi="Cambria Math" w:eastAsia="宋体" w:cs="Times New Roman"/>
                <w:color w:val="auto"/>
                <w:sz w:val="24"/>
                <w:szCs w:val="24"/>
              </w:rPr>
            </m:ctrlPr>
          </m:sup>
        </m:sSubSup>
        <m:r>
          <m:rPr>
            <m:nor/>
            <m:sty m:val="p"/>
          </m:rPr>
          <w:rPr>
            <w:rFonts w:hint="default" w:ascii="Times New Roman" w:hAnsi="Times New Roman" w:eastAsia="宋体" w:cs="Times New Roman"/>
            <w:b w:val="0"/>
            <w:i w:val="0"/>
            <w:color w:val="auto"/>
            <w:sz w:val="24"/>
            <w:szCs w:val="24"/>
          </w:rPr>
          <m:t>+0.4</m:t>
        </m:r>
        <m:sSubSup>
          <m:sSubSupPr>
            <m:ctrlPr>
              <w:rPr>
                <w:rFonts w:hint="default" w:ascii="Cambria Math" w:hAnsi="Cambria Math" w:eastAsia="宋体" w:cs="Times New Roman"/>
                <w:color w:val="auto"/>
                <w:sz w:val="24"/>
                <w:szCs w:val="24"/>
              </w:rPr>
            </m:ctrlPr>
          </m:sSubSupPr>
          <m:e>
            <m:r>
              <m:rPr>
                <m:nor/>
              </m:rPr>
              <w:rPr>
                <w:rFonts w:hint="default" w:ascii="Times New Roman" w:hAnsi="Times New Roman" w:eastAsia="宋体" w:cs="Times New Roman"/>
                <w:i/>
                <w:color w:val="auto"/>
                <w:sz w:val="24"/>
                <w:szCs w:val="24"/>
              </w:rPr>
              <m:t>S</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rPr>
              <m:t>Evk</m:t>
            </m:r>
            <m:ctrlPr>
              <w:rPr>
                <w:rFonts w:hint="default" w:ascii="Cambria Math" w:hAnsi="Cambria Math" w:eastAsia="宋体" w:cs="Times New Roman"/>
                <w:color w:val="auto"/>
                <w:sz w:val="24"/>
                <w:szCs w:val="24"/>
              </w:rPr>
            </m:ctrlPr>
          </m:sub>
          <m:sup>
            <m:r>
              <m:rPr>
                <m:nor/>
                <m:sty m:val="p"/>
              </m:rPr>
              <w:rPr>
                <w:rFonts w:hint="default" w:ascii="Times New Roman" w:hAnsi="Times New Roman" w:eastAsia="宋体" w:cs="Times New Roman"/>
                <w:b w:val="0"/>
                <w:i w:val="0"/>
                <w:color w:val="auto"/>
                <w:sz w:val="24"/>
                <w:szCs w:val="24"/>
              </w:rPr>
              <m:t>∗</m:t>
            </m:r>
            <m:ctrlPr>
              <w:rPr>
                <w:rFonts w:hint="default" w:ascii="Cambria Math" w:hAnsi="Cambria Math" w:eastAsia="宋体" w:cs="Times New Roman"/>
                <w:color w:val="auto"/>
                <w:sz w:val="24"/>
                <w:szCs w:val="24"/>
              </w:rPr>
            </m:ctrlPr>
          </m:sup>
        </m:sSubSup>
        <m:r>
          <m:rPr>
            <m:nor/>
            <m:sty m:val="p"/>
          </m:rPr>
          <w:rPr>
            <w:rFonts w:hint="default" w:ascii="Times New Roman" w:hAnsi="Times New Roman" w:eastAsia="宋体" w:cs="Times New Roman"/>
            <w:b w:val="0"/>
            <w:i w:val="0"/>
            <w:color w:val="auto"/>
            <w:sz w:val="24"/>
            <w:szCs w:val="24"/>
          </w:rPr>
          <m:t>≤</m:t>
        </m:r>
        <m:sSub>
          <m:sSubPr>
            <m:ctrlPr>
              <w:rPr>
                <w:rFonts w:hint="default" w:ascii="Cambria Math" w:hAnsi="Cambria Math" w:eastAsia="宋体" w:cs="Times New Roman"/>
                <w:color w:val="auto"/>
                <w:sz w:val="24"/>
                <w:szCs w:val="24"/>
              </w:rPr>
            </m:ctrlPr>
          </m:sSubPr>
          <m:e>
            <m:r>
              <m:rPr>
                <m:nor/>
              </m:rPr>
              <w:rPr>
                <w:rFonts w:hint="default" w:ascii="Times New Roman" w:hAnsi="Times New Roman" w:eastAsia="宋体" w:cs="Times New Roman"/>
                <w:i/>
                <w:color w:val="auto"/>
                <w:sz w:val="24"/>
                <w:szCs w:val="24"/>
              </w:rPr>
              <m:t>R</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rPr>
              <m:t>k</m:t>
            </m:r>
            <m:ctrlPr>
              <w:rPr>
                <w:rFonts w:hint="default" w:ascii="Cambria Math" w:hAnsi="Cambria Math" w:eastAsia="宋体" w:cs="Times New Roman"/>
                <w:color w:val="auto"/>
                <w:sz w:val="24"/>
                <w:szCs w:val="24"/>
              </w:rPr>
            </m:ctrlPr>
          </m:sub>
        </m:sSub>
      </m:oMath>
      <w:r>
        <w:rPr>
          <w:rFonts w:hint="default" w:ascii="Times New Roman" w:hAnsi="Times New Roman" w:eastAsia="宋体" w:cs="Times New Roman"/>
          <w:color w:val="auto"/>
          <w:sz w:val="24"/>
          <w:szCs w:val="24"/>
        </w:rPr>
        <w:t xml:space="preserve">                   （9.4.10-2）</w:t>
      </w:r>
    </w:p>
    <w:p w14:paraId="7391C832">
      <w:pPr>
        <w:pStyle w:val="12"/>
        <w:spacing w:line="360" w:lineRule="auto"/>
        <w:ind w:firstLine="420"/>
        <w:jc w:val="right"/>
        <w:rPr>
          <w:rFonts w:hint="default" w:ascii="Times New Roman" w:hAnsi="Times New Roman" w:eastAsia="宋体" w:cs="Times New Roman"/>
          <w:color w:val="auto"/>
          <w:sz w:val="24"/>
          <w:szCs w:val="24"/>
        </w:rPr>
      </w:pPr>
      <m:oMath>
        <m:sSub>
          <m:sSubPr>
            <m:ctrlPr>
              <w:rPr>
                <w:rFonts w:hint="default" w:ascii="Cambria Math" w:hAnsi="Cambria Math" w:eastAsia="宋体" w:cs="Times New Roman"/>
                <w:color w:val="auto"/>
                <w:sz w:val="24"/>
                <w:szCs w:val="24"/>
              </w:rPr>
            </m:ctrlPr>
          </m:sSubPr>
          <m:e>
            <m:r>
              <m:rPr>
                <m:nor/>
              </m:rPr>
              <w:rPr>
                <w:rFonts w:hint="default" w:ascii="Times New Roman" w:hAnsi="Times New Roman" w:eastAsia="宋体" w:cs="Times New Roman"/>
                <w:i/>
                <w:color w:val="auto"/>
                <w:sz w:val="24"/>
                <w:szCs w:val="24"/>
              </w:rPr>
              <m:t>S</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rPr>
              <m:t>GE</m:t>
            </m:r>
            <m:ctrlPr>
              <w:rPr>
                <w:rFonts w:hint="default" w:ascii="Cambria Math" w:hAnsi="Cambria Math" w:eastAsia="宋体" w:cs="Times New Roman"/>
                <w:color w:val="auto"/>
                <w:sz w:val="24"/>
                <w:szCs w:val="24"/>
              </w:rPr>
            </m:ctrlPr>
          </m:sub>
        </m:sSub>
        <m:r>
          <m:rPr>
            <m:nor/>
            <m:sty m:val="p"/>
          </m:rPr>
          <w:rPr>
            <w:rFonts w:hint="default" w:ascii="Times New Roman" w:hAnsi="Times New Roman" w:eastAsia="宋体" w:cs="Times New Roman"/>
            <w:b w:val="0"/>
            <w:i w:val="0"/>
            <w:color w:val="auto"/>
            <w:sz w:val="24"/>
            <w:szCs w:val="24"/>
          </w:rPr>
          <m:t>+</m:t>
        </m:r>
        <m:sSubSup>
          <m:sSubSupPr>
            <m:ctrlPr>
              <w:rPr>
                <w:rFonts w:hint="default" w:ascii="Cambria Math" w:hAnsi="Cambria Math" w:eastAsia="宋体" w:cs="Times New Roman"/>
                <w:color w:val="auto"/>
                <w:sz w:val="24"/>
                <w:szCs w:val="24"/>
              </w:rPr>
            </m:ctrlPr>
          </m:sSubSupPr>
          <m:e>
            <m:r>
              <m:rPr>
                <m:nor/>
                <m:sty m:val="p"/>
              </m:rPr>
              <w:rPr>
                <w:rFonts w:hint="default" w:ascii="Times New Roman" w:hAnsi="Times New Roman" w:eastAsia="宋体" w:cs="Times New Roman"/>
                <w:b w:val="0"/>
                <w:i w:val="0"/>
                <w:color w:val="auto"/>
                <w:sz w:val="24"/>
                <w:szCs w:val="24"/>
              </w:rPr>
              <m:t>0.4</m:t>
            </m:r>
            <m:r>
              <m:rPr>
                <m:nor/>
              </m:rPr>
              <w:rPr>
                <w:rFonts w:hint="default" w:ascii="Times New Roman" w:hAnsi="Times New Roman" w:eastAsia="宋体" w:cs="Times New Roman"/>
                <w:i/>
                <w:color w:val="auto"/>
                <w:sz w:val="24"/>
                <w:szCs w:val="24"/>
              </w:rPr>
              <m:t>S</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rPr>
              <m:t>Ehk</m:t>
            </m:r>
            <m:ctrlPr>
              <w:rPr>
                <w:rFonts w:hint="default" w:ascii="Cambria Math" w:hAnsi="Cambria Math" w:eastAsia="宋体" w:cs="Times New Roman"/>
                <w:color w:val="auto"/>
                <w:sz w:val="24"/>
                <w:szCs w:val="24"/>
              </w:rPr>
            </m:ctrlPr>
          </m:sub>
          <m:sup>
            <m:r>
              <m:rPr>
                <m:nor/>
                <m:sty m:val="p"/>
              </m:rPr>
              <w:rPr>
                <w:rFonts w:hint="default" w:ascii="Times New Roman" w:hAnsi="Times New Roman" w:eastAsia="宋体" w:cs="Times New Roman"/>
                <w:b w:val="0"/>
                <w:i w:val="0"/>
                <w:color w:val="auto"/>
                <w:sz w:val="24"/>
                <w:szCs w:val="24"/>
              </w:rPr>
              <m:t>∗</m:t>
            </m:r>
            <m:ctrlPr>
              <w:rPr>
                <w:rFonts w:hint="default" w:ascii="Cambria Math" w:hAnsi="Cambria Math" w:eastAsia="宋体" w:cs="Times New Roman"/>
                <w:color w:val="auto"/>
                <w:sz w:val="24"/>
                <w:szCs w:val="24"/>
              </w:rPr>
            </m:ctrlPr>
          </m:sup>
        </m:sSubSup>
        <m:r>
          <m:rPr>
            <m:nor/>
            <m:sty m:val="p"/>
          </m:rPr>
          <w:rPr>
            <w:rFonts w:hint="default" w:ascii="Times New Roman" w:hAnsi="Times New Roman" w:eastAsia="宋体" w:cs="Times New Roman"/>
            <w:b w:val="0"/>
            <w:i w:val="0"/>
            <w:color w:val="auto"/>
            <w:sz w:val="24"/>
            <w:szCs w:val="24"/>
          </w:rPr>
          <m:t>+</m:t>
        </m:r>
        <m:sSubSup>
          <m:sSubSupPr>
            <m:ctrlPr>
              <w:rPr>
                <w:rFonts w:hint="default" w:ascii="Cambria Math" w:hAnsi="Cambria Math" w:eastAsia="宋体" w:cs="Times New Roman"/>
                <w:color w:val="auto"/>
                <w:sz w:val="24"/>
                <w:szCs w:val="24"/>
              </w:rPr>
            </m:ctrlPr>
          </m:sSubSupPr>
          <m:e>
            <m:r>
              <m:rPr>
                <m:nor/>
              </m:rPr>
              <w:rPr>
                <w:rFonts w:hint="default" w:ascii="Times New Roman" w:hAnsi="Times New Roman" w:eastAsia="宋体" w:cs="Times New Roman"/>
                <w:i/>
                <w:color w:val="auto"/>
                <w:sz w:val="24"/>
                <w:szCs w:val="24"/>
              </w:rPr>
              <m:t>S</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rPr>
              <m:t>Evk</m:t>
            </m:r>
            <m:ctrlPr>
              <w:rPr>
                <w:rFonts w:hint="default" w:ascii="Cambria Math" w:hAnsi="Cambria Math" w:eastAsia="宋体" w:cs="Times New Roman"/>
                <w:color w:val="auto"/>
                <w:sz w:val="24"/>
                <w:szCs w:val="24"/>
              </w:rPr>
            </m:ctrlPr>
          </m:sub>
          <m:sup>
            <m:r>
              <m:rPr>
                <m:nor/>
                <m:sty m:val="p"/>
              </m:rPr>
              <w:rPr>
                <w:rFonts w:hint="default" w:ascii="Times New Roman" w:hAnsi="Times New Roman" w:eastAsia="宋体" w:cs="Times New Roman"/>
                <w:b w:val="0"/>
                <w:i w:val="0"/>
                <w:color w:val="auto"/>
                <w:sz w:val="24"/>
                <w:szCs w:val="24"/>
              </w:rPr>
              <m:t>∗</m:t>
            </m:r>
            <m:ctrlPr>
              <w:rPr>
                <w:rFonts w:hint="default" w:ascii="Cambria Math" w:hAnsi="Cambria Math" w:eastAsia="宋体" w:cs="Times New Roman"/>
                <w:color w:val="auto"/>
                <w:sz w:val="24"/>
                <w:szCs w:val="24"/>
              </w:rPr>
            </m:ctrlPr>
          </m:sup>
        </m:sSubSup>
        <m:r>
          <m:rPr>
            <m:nor/>
            <m:sty m:val="p"/>
          </m:rPr>
          <w:rPr>
            <w:rFonts w:hint="default" w:ascii="Times New Roman" w:hAnsi="Times New Roman" w:eastAsia="宋体" w:cs="Times New Roman"/>
            <w:b w:val="0"/>
            <w:i w:val="0"/>
            <w:color w:val="auto"/>
            <w:sz w:val="24"/>
            <w:szCs w:val="24"/>
          </w:rPr>
          <m:t>≤</m:t>
        </m:r>
        <m:sSub>
          <m:sSubPr>
            <m:ctrlPr>
              <w:rPr>
                <w:rFonts w:hint="default" w:ascii="Cambria Math" w:hAnsi="Cambria Math" w:eastAsia="宋体" w:cs="Times New Roman"/>
                <w:color w:val="auto"/>
                <w:sz w:val="24"/>
                <w:szCs w:val="24"/>
              </w:rPr>
            </m:ctrlPr>
          </m:sSubPr>
          <m:e>
            <m:r>
              <m:rPr>
                <m:nor/>
              </m:rPr>
              <w:rPr>
                <w:rFonts w:hint="default" w:ascii="Times New Roman" w:hAnsi="Times New Roman" w:eastAsia="宋体" w:cs="Times New Roman"/>
                <w:i/>
                <w:color w:val="auto"/>
                <w:sz w:val="24"/>
                <w:szCs w:val="24"/>
              </w:rPr>
              <m:t>R</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rPr>
              <m:t>k</m:t>
            </m:r>
            <m:ctrlPr>
              <w:rPr>
                <w:rFonts w:hint="default" w:ascii="Cambria Math" w:hAnsi="Cambria Math" w:eastAsia="宋体" w:cs="Times New Roman"/>
                <w:color w:val="auto"/>
                <w:sz w:val="24"/>
                <w:szCs w:val="24"/>
              </w:rPr>
            </m:ctrlPr>
          </m:sub>
        </m:sSub>
      </m:oMath>
      <w:r>
        <w:rPr>
          <w:rFonts w:hint="default" w:ascii="Times New Roman" w:hAnsi="Times New Roman" w:eastAsia="宋体" w:cs="Times New Roman"/>
          <w:color w:val="auto"/>
          <w:sz w:val="24"/>
          <w:szCs w:val="24"/>
        </w:rPr>
        <w:t xml:space="preserve">                   （9.4.10-3）</w:t>
      </w:r>
    </w:p>
    <w:tbl>
      <w:tblPr>
        <w:tblStyle w:val="25"/>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752"/>
        <w:gridCol w:w="518"/>
        <w:gridCol w:w="6809"/>
      </w:tblGrid>
      <w:tr w14:paraId="0AD24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65" w:type="pct"/>
          </w:tcPr>
          <w:p w14:paraId="5C3A8DEA">
            <w:pPr>
              <w:pStyle w:val="12"/>
              <w:spacing w:line="360" w:lineRule="auto"/>
              <w:ind w:firstLine="0" w:firstLineChars="0"/>
              <w:jc w:val="righ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w:t>
            </w:r>
            <m:oMath>
              <m:sSub>
                <m:sSubPr>
                  <m:ctrlPr>
                    <w:rPr>
                      <w:rFonts w:hint="default" w:ascii="Cambria Math" w:hAnsi="Cambria Math" w:eastAsia="宋体" w:cs="Times New Roman"/>
                      <w:i/>
                      <w:color w:val="auto"/>
                      <w:sz w:val="24"/>
                      <w:szCs w:val="24"/>
                    </w:rPr>
                  </m:ctrlPr>
                </m:sSubPr>
                <m:e>
                  <m:r>
                    <m:rPr>
                      <m:nor/>
                    </m:rPr>
                    <w:rPr>
                      <w:rFonts w:hint="default" w:ascii="Times New Roman" w:hAnsi="Times New Roman" w:eastAsia="宋体" w:cs="Times New Roman"/>
                      <w:i/>
                      <w:color w:val="auto"/>
                      <w:sz w:val="24"/>
                      <w:szCs w:val="24"/>
                    </w:rPr>
                    <m:t>R</m:t>
                  </m:r>
                  <m:ctrlPr>
                    <w:rPr>
                      <w:rFonts w:hint="default" w:ascii="Cambria Math" w:hAnsi="Cambria Math" w:eastAsia="宋体" w:cs="Times New Roman"/>
                      <w:i/>
                      <w:color w:val="auto"/>
                      <w:sz w:val="24"/>
                      <w:szCs w:val="24"/>
                    </w:rPr>
                  </m:ctrlPr>
                </m:e>
                <m:sub>
                  <m:r>
                    <m:rPr>
                      <m:nor/>
                      <m:sty m:val="p"/>
                    </m:rPr>
                    <w:rPr>
                      <w:rFonts w:hint="default" w:ascii="Times New Roman" w:hAnsi="Times New Roman" w:eastAsia="宋体" w:cs="Times New Roman"/>
                      <w:b w:val="0"/>
                      <w:i w:val="0"/>
                      <w:color w:val="auto"/>
                      <w:sz w:val="24"/>
                      <w:szCs w:val="24"/>
                    </w:rPr>
                    <m:t>k</m:t>
                  </m:r>
                  <m:ctrlPr>
                    <w:rPr>
                      <w:rFonts w:hint="default" w:ascii="Cambria Math" w:hAnsi="Cambria Math" w:eastAsia="宋体" w:cs="Times New Roman"/>
                      <w:i/>
                      <w:color w:val="auto"/>
                      <w:sz w:val="24"/>
                      <w:szCs w:val="24"/>
                    </w:rPr>
                  </m:ctrlPr>
                </m:sub>
              </m:sSub>
            </m:oMath>
            <w:r>
              <w:rPr>
                <w:rFonts w:hint="default" w:ascii="Times New Roman" w:hAnsi="Times New Roman" w:eastAsia="宋体" w:cs="Times New Roman"/>
                <w:color w:val="auto"/>
                <w:sz w:val="24"/>
                <w:szCs w:val="24"/>
              </w:rPr>
              <w:softHyphen/>
            </w:r>
          </w:p>
        </w:tc>
        <w:tc>
          <w:tcPr>
            <w:tcW w:w="257" w:type="pct"/>
          </w:tcPr>
          <w:p w14:paraId="26B72856">
            <w:pPr>
              <w:pStyle w:val="12"/>
              <w:spacing w:line="360" w:lineRule="auto"/>
              <w:ind w:firstLine="0" w:firstLineChars="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3378" w:type="pct"/>
          </w:tcPr>
          <w:p w14:paraId="1BCE40E2">
            <w:pPr>
              <w:pStyle w:val="12"/>
              <w:spacing w:line="360" w:lineRule="auto"/>
              <w:ind w:firstLine="0" w:firstLineChars="0"/>
              <w:jc w:val="left"/>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构件承载力标准值，按材料强度标准值计算。</w:t>
            </w:r>
          </w:p>
        </w:tc>
      </w:tr>
    </w:tbl>
    <w:p w14:paraId="7B420BBA">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snapToGrid/>
          <w:color w:val="auto"/>
          <w:kern w:val="2"/>
          <w:sz w:val="24"/>
          <w:szCs w:val="24"/>
          <w:lang w:eastAsia="zh-CN"/>
        </w:rPr>
        <w:t>3</w:t>
      </w:r>
      <w:r>
        <w:rPr>
          <w:rFonts w:hint="default" w:ascii="Times New Roman" w:hAnsi="Times New Roman" w:eastAsia="宋体" w:cs="Times New Roman"/>
          <w:color w:val="auto"/>
          <w:sz w:val="24"/>
          <w:szCs w:val="24"/>
          <w:lang w:eastAsia="zh-CN"/>
        </w:rPr>
        <w:t xml:space="preserve"> 罕遇地震作用下的极限承载力验算时，构件承载力应符合式(9.4.10-4)的规定；水平长悬臂结构和大跨度结构中的关键构件承载力尚应符合式(9.4.10-5)的规定：</w:t>
      </w:r>
    </w:p>
    <w:p w14:paraId="24D748BB">
      <w:pPr>
        <w:pStyle w:val="12"/>
        <w:spacing w:line="360" w:lineRule="auto"/>
        <w:ind w:firstLine="420"/>
        <w:jc w:val="right"/>
        <w:rPr>
          <w:rFonts w:hint="default" w:ascii="Times New Roman" w:hAnsi="Times New Roman" w:eastAsia="宋体" w:cs="Times New Roman"/>
          <w:color w:val="auto"/>
          <w:sz w:val="24"/>
          <w:szCs w:val="24"/>
        </w:rPr>
      </w:pPr>
      <m:oMath>
        <m:sSub>
          <m:sSubPr>
            <m:ctrlPr>
              <w:rPr>
                <w:rFonts w:hint="default" w:ascii="Cambria Math" w:hAnsi="Cambria Math" w:eastAsia="宋体" w:cs="Times New Roman"/>
                <w:color w:val="auto"/>
                <w:sz w:val="24"/>
                <w:szCs w:val="24"/>
              </w:rPr>
            </m:ctrlPr>
          </m:sSubPr>
          <m:e>
            <m:r>
              <m:rPr>
                <m:nor/>
              </m:rPr>
              <w:rPr>
                <w:rFonts w:hint="default" w:ascii="Times New Roman" w:hAnsi="Times New Roman" w:eastAsia="宋体" w:cs="Times New Roman"/>
                <w:i/>
                <w:color w:val="auto"/>
                <w:sz w:val="24"/>
                <w:szCs w:val="24"/>
              </w:rPr>
              <m:t>S</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rPr>
              <m:t>GE</m:t>
            </m:r>
            <m:ctrlPr>
              <w:rPr>
                <w:rFonts w:hint="default" w:ascii="Cambria Math" w:hAnsi="Cambria Math" w:eastAsia="宋体" w:cs="Times New Roman"/>
                <w:color w:val="auto"/>
                <w:sz w:val="24"/>
                <w:szCs w:val="24"/>
              </w:rPr>
            </m:ctrlPr>
          </m:sub>
        </m:sSub>
        <m:r>
          <m:rPr>
            <m:nor/>
            <m:sty m:val="p"/>
          </m:rPr>
          <w:rPr>
            <w:rFonts w:hint="default" w:ascii="Times New Roman" w:hAnsi="Times New Roman" w:eastAsia="宋体" w:cs="Times New Roman"/>
            <w:b w:val="0"/>
            <w:i w:val="0"/>
            <w:color w:val="auto"/>
            <w:sz w:val="24"/>
            <w:szCs w:val="24"/>
          </w:rPr>
          <m:t>+</m:t>
        </m:r>
        <m:sSubSup>
          <m:sSubSupPr>
            <m:ctrlPr>
              <w:rPr>
                <w:rFonts w:hint="default" w:ascii="Cambria Math" w:hAnsi="Cambria Math" w:eastAsia="宋体" w:cs="Times New Roman"/>
                <w:i/>
                <w:color w:val="auto"/>
                <w:sz w:val="24"/>
                <w:szCs w:val="24"/>
              </w:rPr>
            </m:ctrlPr>
          </m:sSubSupPr>
          <m:e>
            <m:r>
              <m:rPr>
                <m:nor/>
              </m:rPr>
              <w:rPr>
                <w:rFonts w:hint="default" w:ascii="Times New Roman" w:hAnsi="Times New Roman" w:eastAsia="宋体" w:cs="Times New Roman"/>
                <w:i/>
                <w:color w:val="auto"/>
                <w:sz w:val="24"/>
                <w:szCs w:val="24"/>
              </w:rPr>
              <m:t>S</m:t>
            </m:r>
            <m:ctrlPr>
              <w:rPr>
                <w:rFonts w:hint="default" w:ascii="Cambria Math" w:hAnsi="Cambria Math" w:eastAsia="宋体" w:cs="Times New Roman"/>
                <w:i/>
                <w:color w:val="auto"/>
                <w:sz w:val="24"/>
                <w:szCs w:val="24"/>
              </w:rPr>
            </m:ctrlPr>
          </m:e>
          <m:sub>
            <m:r>
              <m:rPr>
                <m:nor/>
                <m:sty m:val="p"/>
              </m:rPr>
              <w:rPr>
                <w:rFonts w:hint="default" w:ascii="Times New Roman" w:hAnsi="Times New Roman" w:eastAsia="宋体" w:cs="Times New Roman"/>
                <w:b w:val="0"/>
                <w:i w:val="0"/>
                <w:color w:val="auto"/>
                <w:sz w:val="24"/>
                <w:szCs w:val="24"/>
              </w:rPr>
              <m:t>Ehk</m:t>
            </m:r>
            <m:ctrlPr>
              <w:rPr>
                <w:rFonts w:hint="default" w:ascii="Cambria Math" w:hAnsi="Cambria Math" w:eastAsia="宋体" w:cs="Times New Roman"/>
                <w:i/>
                <w:color w:val="auto"/>
                <w:sz w:val="24"/>
                <w:szCs w:val="24"/>
              </w:rPr>
            </m:ctrlPr>
          </m:sub>
          <m:sup>
            <m:r>
              <m:rPr>
                <m:nor/>
                <m:sty m:val="p"/>
              </m:rPr>
              <w:rPr>
                <w:rFonts w:hint="default" w:ascii="Times New Roman" w:hAnsi="Times New Roman" w:eastAsia="宋体" w:cs="Times New Roman"/>
                <w:b w:val="0"/>
                <w:i w:val="0"/>
                <w:color w:val="auto"/>
                <w:sz w:val="24"/>
                <w:szCs w:val="24"/>
              </w:rPr>
              <m:t>∗</m:t>
            </m:r>
            <m:ctrlPr>
              <w:rPr>
                <w:rFonts w:hint="default" w:ascii="Cambria Math" w:hAnsi="Cambria Math" w:eastAsia="宋体" w:cs="Times New Roman"/>
                <w:i/>
                <w:color w:val="auto"/>
                <w:sz w:val="24"/>
                <w:szCs w:val="24"/>
              </w:rPr>
            </m:ctrlPr>
          </m:sup>
        </m:sSubSup>
        <m:r>
          <m:rPr>
            <m:nor/>
            <m:sty m:val="p"/>
          </m:rPr>
          <w:rPr>
            <w:rFonts w:hint="default" w:ascii="Times New Roman" w:hAnsi="Times New Roman" w:eastAsia="宋体" w:cs="Times New Roman"/>
            <w:b w:val="0"/>
            <w:i w:val="0"/>
            <w:color w:val="auto"/>
            <w:sz w:val="24"/>
            <w:szCs w:val="24"/>
          </w:rPr>
          <m:t>+0.4</m:t>
        </m:r>
        <m:sSubSup>
          <m:sSubSupPr>
            <m:ctrlPr>
              <w:rPr>
                <w:rFonts w:hint="default" w:ascii="Cambria Math" w:hAnsi="Cambria Math" w:eastAsia="宋体" w:cs="Times New Roman"/>
                <w:i/>
                <w:color w:val="auto"/>
                <w:sz w:val="24"/>
                <w:szCs w:val="24"/>
              </w:rPr>
            </m:ctrlPr>
          </m:sSubSupPr>
          <m:e>
            <m:r>
              <m:rPr>
                <m:nor/>
              </m:rPr>
              <w:rPr>
                <w:rFonts w:hint="default" w:ascii="Times New Roman" w:hAnsi="Times New Roman" w:eastAsia="宋体" w:cs="Times New Roman"/>
                <w:i/>
                <w:color w:val="auto"/>
                <w:sz w:val="24"/>
                <w:szCs w:val="24"/>
              </w:rPr>
              <m:t>S</m:t>
            </m:r>
            <m:ctrlPr>
              <w:rPr>
                <w:rFonts w:hint="default" w:ascii="Cambria Math" w:hAnsi="Cambria Math" w:eastAsia="宋体" w:cs="Times New Roman"/>
                <w:i/>
                <w:color w:val="auto"/>
                <w:sz w:val="24"/>
                <w:szCs w:val="24"/>
              </w:rPr>
            </m:ctrlPr>
          </m:e>
          <m:sub>
            <m:r>
              <m:rPr>
                <m:nor/>
                <m:sty m:val="p"/>
              </m:rPr>
              <w:rPr>
                <w:rFonts w:hint="default" w:ascii="Times New Roman" w:hAnsi="Times New Roman" w:eastAsia="宋体" w:cs="Times New Roman"/>
                <w:b w:val="0"/>
                <w:i w:val="0"/>
                <w:color w:val="auto"/>
                <w:sz w:val="24"/>
                <w:szCs w:val="24"/>
              </w:rPr>
              <m:t>Evk</m:t>
            </m:r>
            <m:ctrlPr>
              <w:rPr>
                <w:rFonts w:hint="default" w:ascii="Cambria Math" w:hAnsi="Cambria Math" w:eastAsia="宋体" w:cs="Times New Roman"/>
                <w:i/>
                <w:color w:val="auto"/>
                <w:sz w:val="24"/>
                <w:szCs w:val="24"/>
              </w:rPr>
            </m:ctrlPr>
          </m:sub>
          <m:sup>
            <m:r>
              <m:rPr>
                <m:nor/>
                <m:sty m:val="p"/>
              </m:rPr>
              <w:rPr>
                <w:rFonts w:hint="default" w:ascii="Times New Roman" w:hAnsi="Times New Roman" w:eastAsia="宋体" w:cs="Times New Roman"/>
                <w:b w:val="0"/>
                <w:i w:val="0"/>
                <w:color w:val="auto"/>
                <w:sz w:val="24"/>
                <w:szCs w:val="24"/>
              </w:rPr>
              <m:t>∗</m:t>
            </m:r>
            <m:ctrlPr>
              <w:rPr>
                <w:rFonts w:hint="default" w:ascii="Cambria Math" w:hAnsi="Cambria Math" w:eastAsia="宋体" w:cs="Times New Roman"/>
                <w:i/>
                <w:color w:val="auto"/>
                <w:sz w:val="24"/>
                <w:szCs w:val="24"/>
              </w:rPr>
            </m:ctrlPr>
          </m:sup>
        </m:sSubSup>
        <m:r>
          <m:rPr>
            <m:nor/>
            <m:sty m:val="p"/>
          </m:rPr>
          <w:rPr>
            <w:rFonts w:hint="default" w:ascii="Times New Roman" w:hAnsi="Times New Roman" w:eastAsia="宋体" w:cs="Times New Roman"/>
            <w:b w:val="0"/>
            <w:i w:val="0"/>
            <w:color w:val="auto"/>
            <w:sz w:val="24"/>
            <w:szCs w:val="24"/>
          </w:rPr>
          <m:t>≤</m:t>
        </m:r>
        <m:sSub>
          <m:sSubPr>
            <m:ctrlPr>
              <w:rPr>
                <w:rFonts w:hint="default" w:ascii="Cambria Math" w:hAnsi="Cambria Math" w:eastAsia="宋体" w:cs="Times New Roman"/>
                <w:i/>
                <w:color w:val="auto"/>
                <w:sz w:val="24"/>
                <w:szCs w:val="24"/>
              </w:rPr>
            </m:ctrlPr>
          </m:sSubPr>
          <m:e>
            <m:r>
              <m:rPr>
                <m:nor/>
              </m:rPr>
              <w:rPr>
                <w:rFonts w:hint="default" w:ascii="Times New Roman" w:hAnsi="Times New Roman" w:eastAsia="宋体" w:cs="Times New Roman"/>
                <w:i/>
                <w:color w:val="auto"/>
                <w:sz w:val="24"/>
                <w:szCs w:val="24"/>
              </w:rPr>
              <m:t>R</m:t>
            </m:r>
            <m:ctrlPr>
              <w:rPr>
                <w:rFonts w:hint="default" w:ascii="Cambria Math" w:hAnsi="Cambria Math" w:eastAsia="宋体" w:cs="Times New Roman"/>
                <w:i/>
                <w:color w:val="auto"/>
                <w:sz w:val="24"/>
                <w:szCs w:val="24"/>
              </w:rPr>
            </m:ctrlPr>
          </m:e>
          <m:sub>
            <m:r>
              <m:rPr>
                <m:nor/>
                <m:sty m:val="p"/>
              </m:rPr>
              <w:rPr>
                <w:rFonts w:hint="default" w:ascii="Times New Roman" w:hAnsi="Times New Roman" w:eastAsia="宋体" w:cs="Times New Roman"/>
                <w:b w:val="0"/>
                <w:i w:val="0"/>
                <w:color w:val="auto"/>
                <w:sz w:val="24"/>
                <w:szCs w:val="24"/>
              </w:rPr>
              <m:t>u</m:t>
            </m:r>
            <m:ctrlPr>
              <w:rPr>
                <w:rFonts w:hint="default" w:ascii="Cambria Math" w:hAnsi="Cambria Math" w:eastAsia="宋体" w:cs="Times New Roman"/>
                <w:i/>
                <w:color w:val="auto"/>
                <w:sz w:val="24"/>
                <w:szCs w:val="24"/>
              </w:rPr>
            </m:ctrlPr>
          </m:sub>
        </m:sSub>
      </m:oMath>
      <w:r>
        <w:rPr>
          <w:rFonts w:hint="default" w:ascii="Times New Roman" w:hAnsi="Times New Roman" w:eastAsia="宋体" w:cs="Times New Roman"/>
          <w:color w:val="auto"/>
          <w:sz w:val="24"/>
          <w:szCs w:val="24"/>
        </w:rPr>
        <w:t xml:space="preserve">                   （9.4.10-4）</w:t>
      </w:r>
    </w:p>
    <w:p w14:paraId="521DF136">
      <w:pPr>
        <w:pStyle w:val="12"/>
        <w:spacing w:line="360" w:lineRule="auto"/>
        <w:ind w:firstLine="420"/>
        <w:jc w:val="right"/>
        <w:rPr>
          <w:rFonts w:hint="default" w:ascii="Times New Roman" w:hAnsi="Times New Roman" w:eastAsia="宋体" w:cs="Times New Roman"/>
          <w:color w:val="auto"/>
          <w:sz w:val="24"/>
          <w:szCs w:val="24"/>
        </w:rPr>
      </w:pPr>
      <m:oMath>
        <m:sSub>
          <m:sSubPr>
            <m:ctrlPr>
              <w:rPr>
                <w:rFonts w:hint="default" w:ascii="Cambria Math" w:hAnsi="Cambria Math" w:eastAsia="宋体" w:cs="Times New Roman"/>
                <w:color w:val="auto"/>
                <w:sz w:val="24"/>
                <w:szCs w:val="24"/>
              </w:rPr>
            </m:ctrlPr>
          </m:sSubPr>
          <m:e>
            <m:r>
              <m:rPr>
                <m:nor/>
              </m:rPr>
              <w:rPr>
                <w:rFonts w:hint="default" w:ascii="Times New Roman" w:hAnsi="Times New Roman" w:eastAsia="宋体" w:cs="Times New Roman"/>
                <w:i/>
                <w:color w:val="auto"/>
                <w:sz w:val="24"/>
                <w:szCs w:val="24"/>
              </w:rPr>
              <m:t>S</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rPr>
              <m:t>GE</m:t>
            </m:r>
            <m:ctrlPr>
              <w:rPr>
                <w:rFonts w:hint="default" w:ascii="Cambria Math" w:hAnsi="Cambria Math" w:eastAsia="宋体" w:cs="Times New Roman"/>
                <w:color w:val="auto"/>
                <w:sz w:val="24"/>
                <w:szCs w:val="24"/>
              </w:rPr>
            </m:ctrlPr>
          </m:sub>
        </m:sSub>
        <m:r>
          <m:rPr>
            <m:nor/>
            <m:sty m:val="p"/>
          </m:rPr>
          <w:rPr>
            <w:rFonts w:hint="default" w:ascii="Times New Roman" w:hAnsi="Times New Roman" w:eastAsia="宋体" w:cs="Times New Roman"/>
            <w:b w:val="0"/>
            <w:i w:val="0"/>
            <w:color w:val="auto"/>
            <w:sz w:val="24"/>
            <w:szCs w:val="24"/>
          </w:rPr>
          <m:t>+</m:t>
        </m:r>
        <m:sSubSup>
          <m:sSubSupPr>
            <m:ctrlPr>
              <w:rPr>
                <w:rFonts w:hint="default" w:ascii="Cambria Math" w:hAnsi="Cambria Math" w:eastAsia="宋体" w:cs="Times New Roman"/>
                <w:i/>
                <w:color w:val="auto"/>
                <w:sz w:val="24"/>
                <w:szCs w:val="24"/>
              </w:rPr>
            </m:ctrlPr>
          </m:sSubSupPr>
          <m:e>
            <m:r>
              <m:rPr>
                <m:nor/>
                <m:sty m:val="p"/>
              </m:rPr>
              <w:rPr>
                <w:rFonts w:hint="default" w:ascii="Times New Roman" w:hAnsi="Times New Roman" w:eastAsia="宋体" w:cs="Times New Roman"/>
                <w:b w:val="0"/>
                <w:i w:val="0"/>
                <w:color w:val="auto"/>
                <w:sz w:val="24"/>
                <w:szCs w:val="24"/>
              </w:rPr>
              <m:t>0.4</m:t>
            </m:r>
            <m:r>
              <m:rPr>
                <m:nor/>
              </m:rPr>
              <w:rPr>
                <w:rFonts w:hint="default" w:ascii="Times New Roman" w:hAnsi="Times New Roman" w:eastAsia="宋体" w:cs="Times New Roman"/>
                <w:i/>
                <w:color w:val="auto"/>
                <w:sz w:val="24"/>
                <w:szCs w:val="24"/>
              </w:rPr>
              <m:t>S</m:t>
            </m:r>
            <m:ctrlPr>
              <w:rPr>
                <w:rFonts w:hint="default" w:ascii="Cambria Math" w:hAnsi="Cambria Math" w:eastAsia="宋体" w:cs="Times New Roman"/>
                <w:i/>
                <w:color w:val="auto"/>
                <w:sz w:val="24"/>
                <w:szCs w:val="24"/>
              </w:rPr>
            </m:ctrlPr>
          </m:e>
          <m:sub>
            <m:r>
              <m:rPr>
                <m:nor/>
                <m:sty m:val="p"/>
              </m:rPr>
              <w:rPr>
                <w:rFonts w:hint="default" w:ascii="Times New Roman" w:hAnsi="Times New Roman" w:eastAsia="宋体" w:cs="Times New Roman"/>
                <w:b w:val="0"/>
                <w:i w:val="0"/>
                <w:color w:val="auto"/>
                <w:sz w:val="24"/>
                <w:szCs w:val="24"/>
              </w:rPr>
              <m:t>Ehk</m:t>
            </m:r>
            <m:ctrlPr>
              <w:rPr>
                <w:rFonts w:hint="default" w:ascii="Cambria Math" w:hAnsi="Cambria Math" w:eastAsia="宋体" w:cs="Times New Roman"/>
                <w:i/>
                <w:color w:val="auto"/>
                <w:sz w:val="24"/>
                <w:szCs w:val="24"/>
              </w:rPr>
            </m:ctrlPr>
          </m:sub>
          <m:sup>
            <m:r>
              <m:rPr>
                <m:nor/>
                <m:sty m:val="p"/>
              </m:rPr>
              <w:rPr>
                <w:rFonts w:hint="default" w:ascii="Times New Roman" w:hAnsi="Times New Roman" w:eastAsia="宋体" w:cs="Times New Roman"/>
                <w:b w:val="0"/>
                <w:i w:val="0"/>
                <w:color w:val="auto"/>
                <w:sz w:val="24"/>
                <w:szCs w:val="24"/>
              </w:rPr>
              <m:t>∗</m:t>
            </m:r>
            <m:ctrlPr>
              <w:rPr>
                <w:rFonts w:hint="default" w:ascii="Cambria Math" w:hAnsi="Cambria Math" w:eastAsia="宋体" w:cs="Times New Roman"/>
                <w:i/>
                <w:color w:val="auto"/>
                <w:sz w:val="24"/>
                <w:szCs w:val="24"/>
              </w:rPr>
            </m:ctrlPr>
          </m:sup>
        </m:sSubSup>
        <m:r>
          <m:rPr>
            <m:nor/>
            <m:sty m:val="p"/>
          </m:rPr>
          <w:rPr>
            <w:rFonts w:hint="default" w:ascii="Times New Roman" w:hAnsi="Times New Roman" w:eastAsia="宋体" w:cs="Times New Roman"/>
            <w:b w:val="0"/>
            <w:i w:val="0"/>
            <w:color w:val="auto"/>
            <w:sz w:val="24"/>
            <w:szCs w:val="24"/>
          </w:rPr>
          <m:t>+</m:t>
        </m:r>
        <m:sSubSup>
          <m:sSubSupPr>
            <m:ctrlPr>
              <w:rPr>
                <w:rFonts w:hint="default" w:ascii="Cambria Math" w:hAnsi="Cambria Math" w:eastAsia="宋体" w:cs="Times New Roman"/>
                <w:i/>
                <w:color w:val="auto"/>
                <w:sz w:val="24"/>
                <w:szCs w:val="24"/>
              </w:rPr>
            </m:ctrlPr>
          </m:sSubSupPr>
          <m:e>
            <m:r>
              <m:rPr>
                <m:nor/>
              </m:rPr>
              <w:rPr>
                <w:rFonts w:hint="default" w:ascii="Times New Roman" w:hAnsi="Times New Roman" w:eastAsia="宋体" w:cs="Times New Roman"/>
                <w:i/>
                <w:color w:val="auto"/>
                <w:sz w:val="24"/>
                <w:szCs w:val="24"/>
              </w:rPr>
              <m:t>S</m:t>
            </m:r>
            <m:ctrlPr>
              <w:rPr>
                <w:rFonts w:hint="default" w:ascii="Cambria Math" w:hAnsi="Cambria Math" w:eastAsia="宋体" w:cs="Times New Roman"/>
                <w:i/>
                <w:color w:val="auto"/>
                <w:sz w:val="24"/>
                <w:szCs w:val="24"/>
              </w:rPr>
            </m:ctrlPr>
          </m:e>
          <m:sub>
            <m:r>
              <m:rPr>
                <m:nor/>
                <m:sty m:val="p"/>
              </m:rPr>
              <w:rPr>
                <w:rFonts w:hint="default" w:ascii="Times New Roman" w:hAnsi="Times New Roman" w:eastAsia="宋体" w:cs="Times New Roman"/>
                <w:b w:val="0"/>
                <w:i w:val="0"/>
                <w:color w:val="auto"/>
                <w:sz w:val="24"/>
                <w:szCs w:val="24"/>
              </w:rPr>
              <m:t>Evk</m:t>
            </m:r>
            <m:ctrlPr>
              <w:rPr>
                <w:rFonts w:hint="default" w:ascii="Cambria Math" w:hAnsi="Cambria Math" w:eastAsia="宋体" w:cs="Times New Roman"/>
                <w:i/>
                <w:color w:val="auto"/>
                <w:sz w:val="24"/>
                <w:szCs w:val="24"/>
              </w:rPr>
            </m:ctrlPr>
          </m:sub>
          <m:sup>
            <m:r>
              <m:rPr>
                <m:nor/>
                <m:sty m:val="p"/>
              </m:rPr>
              <w:rPr>
                <w:rFonts w:hint="default" w:ascii="Times New Roman" w:hAnsi="Times New Roman" w:eastAsia="宋体" w:cs="Times New Roman"/>
                <w:b w:val="0"/>
                <w:i w:val="0"/>
                <w:color w:val="auto"/>
                <w:sz w:val="24"/>
                <w:szCs w:val="24"/>
              </w:rPr>
              <m:t>∗</m:t>
            </m:r>
            <m:ctrlPr>
              <w:rPr>
                <w:rFonts w:hint="default" w:ascii="Cambria Math" w:hAnsi="Cambria Math" w:eastAsia="宋体" w:cs="Times New Roman"/>
                <w:i/>
                <w:color w:val="auto"/>
                <w:sz w:val="24"/>
                <w:szCs w:val="24"/>
              </w:rPr>
            </m:ctrlPr>
          </m:sup>
        </m:sSubSup>
        <m:r>
          <m:rPr>
            <m:nor/>
            <m:sty m:val="p"/>
          </m:rPr>
          <w:rPr>
            <w:rFonts w:hint="default" w:ascii="Times New Roman" w:hAnsi="Times New Roman" w:eastAsia="宋体" w:cs="Times New Roman"/>
            <w:b w:val="0"/>
            <w:i w:val="0"/>
            <w:color w:val="auto"/>
            <w:sz w:val="24"/>
            <w:szCs w:val="24"/>
          </w:rPr>
          <m:t>≤</m:t>
        </m:r>
        <m:sSub>
          <m:sSubPr>
            <m:ctrlPr>
              <w:rPr>
                <w:rFonts w:hint="default" w:ascii="Cambria Math" w:hAnsi="Cambria Math" w:eastAsia="宋体" w:cs="Times New Roman"/>
                <w:i/>
                <w:color w:val="auto"/>
                <w:sz w:val="24"/>
                <w:szCs w:val="24"/>
              </w:rPr>
            </m:ctrlPr>
          </m:sSubPr>
          <m:e>
            <m:r>
              <m:rPr>
                <m:nor/>
              </m:rPr>
              <w:rPr>
                <w:rFonts w:hint="default" w:ascii="Times New Roman" w:hAnsi="Times New Roman" w:eastAsia="宋体" w:cs="Times New Roman"/>
                <w:i/>
                <w:color w:val="auto"/>
                <w:sz w:val="24"/>
                <w:szCs w:val="24"/>
              </w:rPr>
              <m:t>R</m:t>
            </m:r>
            <m:ctrlPr>
              <w:rPr>
                <w:rFonts w:hint="default" w:ascii="Cambria Math" w:hAnsi="Cambria Math" w:eastAsia="宋体" w:cs="Times New Roman"/>
                <w:i/>
                <w:color w:val="auto"/>
                <w:sz w:val="24"/>
                <w:szCs w:val="24"/>
              </w:rPr>
            </m:ctrlPr>
          </m:e>
          <m:sub>
            <m:r>
              <m:rPr>
                <m:nor/>
                <m:sty m:val="p"/>
              </m:rPr>
              <w:rPr>
                <w:rFonts w:hint="default" w:ascii="Times New Roman" w:hAnsi="Times New Roman" w:eastAsia="宋体" w:cs="Times New Roman"/>
                <w:b w:val="0"/>
                <w:i w:val="0"/>
                <w:color w:val="auto"/>
                <w:sz w:val="24"/>
                <w:szCs w:val="24"/>
              </w:rPr>
              <m:t>u</m:t>
            </m:r>
            <m:ctrlPr>
              <w:rPr>
                <w:rFonts w:hint="default" w:ascii="Cambria Math" w:hAnsi="Cambria Math" w:eastAsia="宋体" w:cs="Times New Roman"/>
                <w:i/>
                <w:color w:val="auto"/>
                <w:sz w:val="24"/>
                <w:szCs w:val="24"/>
              </w:rPr>
            </m:ctrlPr>
          </m:sub>
        </m:sSub>
      </m:oMath>
      <w:r>
        <w:rPr>
          <w:rFonts w:hint="default" w:ascii="Times New Roman" w:hAnsi="Times New Roman" w:eastAsia="宋体" w:cs="Times New Roman"/>
          <w:color w:val="auto"/>
          <w:sz w:val="24"/>
          <w:szCs w:val="24"/>
        </w:rPr>
        <w:t xml:space="preserve">                   （9.4.10-5）</w:t>
      </w:r>
    </w:p>
    <w:tbl>
      <w:tblPr>
        <w:tblStyle w:val="25"/>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21"/>
        <w:gridCol w:w="514"/>
        <w:gridCol w:w="7844"/>
      </w:tblGrid>
      <w:tr w14:paraId="69AB8F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4" w:type="pct"/>
          </w:tcPr>
          <w:p w14:paraId="31881B55">
            <w:pPr>
              <w:pStyle w:val="12"/>
              <w:spacing w:line="360" w:lineRule="auto"/>
              <w:ind w:firstLine="0" w:firstLineChars="0"/>
              <w:jc w:val="righ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w:t>
            </w:r>
            <m:oMath>
              <m:sSub>
                <m:sSubPr>
                  <m:ctrlPr>
                    <w:rPr>
                      <w:rFonts w:hint="default" w:ascii="Cambria Math" w:hAnsi="Cambria Math" w:eastAsia="宋体" w:cs="Times New Roman"/>
                      <w:i/>
                      <w:color w:val="auto"/>
                      <w:sz w:val="24"/>
                      <w:szCs w:val="24"/>
                    </w:rPr>
                  </m:ctrlPr>
                </m:sSubPr>
                <m:e>
                  <m:r>
                    <m:rPr>
                      <m:nor/>
                    </m:rPr>
                    <w:rPr>
                      <w:rFonts w:hint="default" w:ascii="Times New Roman" w:hAnsi="Times New Roman" w:eastAsia="宋体" w:cs="Times New Roman"/>
                      <w:i/>
                      <w:color w:val="auto"/>
                      <w:sz w:val="24"/>
                      <w:szCs w:val="24"/>
                    </w:rPr>
                    <m:t>R</m:t>
                  </m:r>
                  <m:ctrlPr>
                    <w:rPr>
                      <w:rFonts w:hint="default" w:ascii="Cambria Math" w:hAnsi="Cambria Math" w:eastAsia="宋体" w:cs="Times New Roman"/>
                      <w:i/>
                      <w:color w:val="auto"/>
                      <w:sz w:val="24"/>
                      <w:szCs w:val="24"/>
                    </w:rPr>
                  </m:ctrlPr>
                </m:e>
                <m:sub>
                  <m:r>
                    <m:rPr>
                      <m:nor/>
                      <m:sty m:val="p"/>
                    </m:rPr>
                    <w:rPr>
                      <w:rFonts w:hint="default" w:ascii="Times New Roman" w:hAnsi="Times New Roman" w:eastAsia="宋体" w:cs="Times New Roman"/>
                      <w:b w:val="0"/>
                      <w:i w:val="0"/>
                      <w:color w:val="auto"/>
                      <w:sz w:val="24"/>
                      <w:szCs w:val="24"/>
                    </w:rPr>
                    <m:t>u</m:t>
                  </m:r>
                  <m:ctrlPr>
                    <w:rPr>
                      <w:rFonts w:hint="default" w:ascii="Cambria Math" w:hAnsi="Cambria Math" w:eastAsia="宋体" w:cs="Times New Roman"/>
                      <w:i/>
                      <w:color w:val="auto"/>
                      <w:sz w:val="24"/>
                      <w:szCs w:val="24"/>
                    </w:rPr>
                  </m:ctrlPr>
                </m:sub>
              </m:sSub>
            </m:oMath>
            <w:r>
              <w:rPr>
                <w:rFonts w:hint="default" w:ascii="Times New Roman" w:hAnsi="Times New Roman" w:eastAsia="宋体" w:cs="Times New Roman"/>
                <w:color w:val="auto"/>
                <w:sz w:val="24"/>
                <w:szCs w:val="24"/>
              </w:rPr>
              <w:softHyphen/>
            </w:r>
          </w:p>
        </w:tc>
        <w:tc>
          <w:tcPr>
            <w:tcW w:w="255" w:type="pct"/>
          </w:tcPr>
          <w:p w14:paraId="3AACFA7F">
            <w:pPr>
              <w:pStyle w:val="12"/>
              <w:spacing w:line="360" w:lineRule="auto"/>
              <w:ind w:firstLine="0" w:firstLineChars="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3891" w:type="pct"/>
          </w:tcPr>
          <w:p w14:paraId="5B7E23D9">
            <w:pPr>
              <w:pStyle w:val="12"/>
              <w:spacing w:line="360" w:lineRule="auto"/>
              <w:ind w:firstLine="0" w:firstLineChars="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构件承载力极限值，计算时材料强度可取最小极限强度；钢材强度可取各牌号极限强度的最小值，钢筋强度可取屈服强度的1.25倍，混凝土强度可取立方体强度的0.88倍。</w:t>
            </w:r>
          </w:p>
        </w:tc>
      </w:tr>
    </w:tbl>
    <w:p w14:paraId="3F67FA20">
      <w:pPr>
        <w:rPr>
          <w:rFonts w:hint="default" w:ascii="Times New Roman" w:hAnsi="Times New Roman" w:eastAsia="宋体" w:cs="Times New Roman"/>
          <w:color w:val="auto"/>
          <w:sz w:val="24"/>
          <w:szCs w:val="24"/>
        </w:rPr>
      </w:pPr>
      <w:bookmarkStart w:id="238" w:name="OLE_LINK54"/>
      <w:r>
        <w:rPr>
          <w:rFonts w:hint="default" w:ascii="Times New Roman" w:hAnsi="Times New Roman" w:eastAsia="宋体" w:cs="Times New Roman"/>
          <w:b/>
          <w:color w:val="auto"/>
          <w:sz w:val="24"/>
          <w:szCs w:val="24"/>
        </w:rPr>
        <w:t>9.4.11</w:t>
      </w:r>
      <w:r>
        <w:rPr>
          <w:rFonts w:hint="default" w:ascii="Times New Roman" w:hAnsi="Times New Roman" w:eastAsia="宋体" w:cs="Times New Roman"/>
          <w:color w:val="auto"/>
          <w:sz w:val="24"/>
          <w:szCs w:val="24"/>
        </w:rPr>
        <w:t xml:space="preserve"> </w:t>
      </w:r>
      <w:bookmarkEnd w:id="238"/>
      <w:r>
        <w:rPr>
          <w:rFonts w:hint="default" w:ascii="Times New Roman" w:hAnsi="Times New Roman" w:eastAsia="宋体" w:cs="Times New Roman"/>
          <w:color w:val="auto"/>
          <w:sz w:val="24"/>
          <w:szCs w:val="24"/>
        </w:rPr>
        <w:t>钢筋混凝土或型钢混凝土构件应进行罕遇地震下的最小受剪截面验算，并应符合以下规定：</w:t>
      </w:r>
    </w:p>
    <w:p w14:paraId="240E7B50">
      <w:pPr>
        <w:pStyle w:val="12"/>
        <w:ind w:firstLine="422"/>
        <w:rPr>
          <w:rFonts w:hint="default" w:ascii="Times New Roman" w:hAnsi="Times New Roman" w:eastAsia="宋体" w:cs="Times New Roman"/>
          <w:color w:val="auto"/>
          <w:sz w:val="24"/>
          <w:szCs w:val="24"/>
          <w:lang w:eastAsia="zh-CN"/>
        </w:rPr>
      </w:pPr>
      <w:bookmarkStart w:id="239" w:name="_Toc8068"/>
      <w:r>
        <w:rPr>
          <w:rFonts w:hint="default" w:ascii="Times New Roman" w:hAnsi="Times New Roman" w:eastAsia="宋体" w:cs="Times New Roman"/>
          <w:b/>
          <w:snapToGrid/>
          <w:color w:val="auto"/>
          <w:kern w:val="2"/>
          <w:sz w:val="24"/>
          <w:szCs w:val="24"/>
          <w:lang w:eastAsia="zh-CN"/>
        </w:rPr>
        <w:t>1</w:t>
      </w:r>
      <w:r>
        <w:rPr>
          <w:rFonts w:hint="default" w:ascii="Times New Roman" w:hAnsi="Times New Roman" w:eastAsia="宋体" w:cs="Times New Roman"/>
          <w:color w:val="auto"/>
          <w:sz w:val="24"/>
          <w:szCs w:val="24"/>
          <w:lang w:eastAsia="zh-CN"/>
        </w:rPr>
        <w:t xml:space="preserve"> 构件剪力宜根据截面实际受弯承载力按照下式计算：</w:t>
      </w:r>
      <w:bookmarkEnd w:id="239"/>
    </w:p>
    <w:p w14:paraId="4451DC93">
      <w:pPr>
        <w:pStyle w:val="12"/>
        <w:keepNext w:val="0"/>
        <w:keepLines w:val="0"/>
        <w:pageBreakBefore w:val="0"/>
        <w:widowControl w:val="0"/>
        <w:kinsoku/>
        <w:wordWrap/>
        <w:overflowPunct/>
        <w:topLinePunct w:val="0"/>
        <w:autoSpaceDE/>
        <w:autoSpaceDN/>
        <w:bidi w:val="0"/>
        <w:adjustRightInd w:val="0"/>
        <w:snapToGrid w:val="0"/>
        <w:spacing w:line="360" w:lineRule="auto"/>
        <w:ind w:right="0" w:firstLine="0" w:firstLineChars="0"/>
        <w:jc w:val="right"/>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i/>
          <w:color w:val="auto"/>
          <w:sz w:val="24"/>
          <w:szCs w:val="24"/>
        </w:rPr>
        <w:t>V</w:t>
      </w:r>
      <w:r>
        <w:rPr>
          <w:rFonts w:hint="default" w:ascii="Times New Roman" w:hAnsi="Times New Roman" w:eastAsia="宋体" w:cs="Times New Roman"/>
          <w:color w:val="auto"/>
          <w:sz w:val="24"/>
          <w:szCs w:val="24"/>
        </w:rPr>
        <w:t>≤1.2</w:t>
      </w:r>
      <m:oMath>
        <m:f>
          <m:fPr>
            <m:type m:val="lin"/>
            <m:ctrlPr>
              <w:rPr>
                <w:rFonts w:hint="default" w:ascii="Cambria Math" w:hAnsi="Cambria Math" w:eastAsia="宋体" w:cs="Times New Roman"/>
                <w:color w:val="auto"/>
                <w:sz w:val="24"/>
                <w:szCs w:val="24"/>
              </w:rPr>
            </m:ctrlPr>
          </m:fPr>
          <m:num>
            <m:sSubSup>
              <m:sSubSupPr>
                <m:ctrlPr>
                  <w:rPr>
                    <w:rFonts w:hint="default" w:ascii="Cambria Math" w:hAnsi="Cambria Math" w:eastAsia="宋体" w:cs="Times New Roman"/>
                    <w:i/>
                    <w:color w:val="auto"/>
                    <w:sz w:val="24"/>
                    <w:szCs w:val="24"/>
                  </w:rPr>
                </m:ctrlPr>
              </m:sSubSupPr>
              <m:e>
                <m:r>
                  <m:rPr>
                    <m:nor/>
                    <m:sty m:val="p"/>
                  </m:rPr>
                  <w:rPr>
                    <w:rFonts w:hint="default" w:ascii="Times New Roman" w:hAnsi="Times New Roman" w:eastAsia="宋体" w:cs="Times New Roman"/>
                    <w:b w:val="0"/>
                    <w:i w:val="0"/>
                    <w:color w:val="auto"/>
                    <w:sz w:val="24"/>
                    <w:szCs w:val="24"/>
                  </w:rPr>
                  <m:t>(</m:t>
                </m:r>
                <m:r>
                  <m:rPr>
                    <m:nor/>
                  </m:rPr>
                  <w:rPr>
                    <w:rFonts w:hint="default" w:ascii="Times New Roman" w:hAnsi="Times New Roman" w:eastAsia="宋体" w:cs="Times New Roman"/>
                    <w:i/>
                    <w:color w:val="auto"/>
                    <w:sz w:val="24"/>
                    <w:szCs w:val="24"/>
                  </w:rPr>
                  <m:t>M</m:t>
                </m:r>
                <m:ctrlPr>
                  <w:rPr>
                    <w:rFonts w:hint="default" w:ascii="Cambria Math" w:hAnsi="Cambria Math" w:eastAsia="宋体" w:cs="Times New Roman"/>
                    <w:i/>
                    <w:color w:val="auto"/>
                    <w:sz w:val="24"/>
                    <w:szCs w:val="24"/>
                  </w:rPr>
                </m:ctrlPr>
              </m:e>
              <m:sub>
                <m:r>
                  <m:rPr>
                    <m:nor/>
                    <m:sty m:val="p"/>
                  </m:rPr>
                  <w:rPr>
                    <w:rFonts w:hint="default" w:ascii="Times New Roman" w:hAnsi="Times New Roman" w:eastAsia="宋体" w:cs="Times New Roman"/>
                    <w:b w:val="0"/>
                    <w:i w:val="0"/>
                    <w:color w:val="auto"/>
                    <w:sz w:val="24"/>
                    <w:szCs w:val="24"/>
                  </w:rPr>
                  <m:t>bua</m:t>
                </m:r>
                <m:ctrlPr>
                  <w:rPr>
                    <w:rFonts w:hint="default" w:ascii="Cambria Math" w:hAnsi="Cambria Math" w:eastAsia="宋体" w:cs="Times New Roman"/>
                    <w:i/>
                    <w:color w:val="auto"/>
                    <w:sz w:val="24"/>
                    <w:szCs w:val="24"/>
                  </w:rPr>
                </m:ctrlPr>
              </m:sub>
              <m:sup>
                <m:r>
                  <m:rPr>
                    <m:nor/>
                    <m:sty m:val="p"/>
                  </m:rPr>
                  <w:rPr>
                    <w:rFonts w:hint="default" w:ascii="Times New Roman" w:hAnsi="Times New Roman" w:eastAsia="宋体" w:cs="Times New Roman"/>
                    <w:b w:val="0"/>
                    <w:i w:val="0"/>
                    <w:color w:val="auto"/>
                    <w:sz w:val="24"/>
                    <w:szCs w:val="24"/>
                  </w:rPr>
                  <m:t>l</m:t>
                </m:r>
                <m:ctrlPr>
                  <w:rPr>
                    <w:rFonts w:hint="default" w:ascii="Cambria Math" w:hAnsi="Cambria Math" w:eastAsia="宋体" w:cs="Times New Roman"/>
                    <w:i/>
                    <w:color w:val="auto"/>
                    <w:sz w:val="24"/>
                    <w:szCs w:val="24"/>
                  </w:rPr>
                </m:ctrlPr>
              </m:sup>
            </m:sSubSup>
            <m:r>
              <m:rPr>
                <m:nor/>
                <m:sty m:val="p"/>
              </m:rPr>
              <w:rPr>
                <w:rFonts w:hint="default" w:ascii="Times New Roman" w:hAnsi="Times New Roman" w:eastAsia="宋体" w:cs="Times New Roman"/>
                <w:b w:val="0"/>
                <w:i w:val="0"/>
                <w:color w:val="auto"/>
                <w:sz w:val="24"/>
                <w:szCs w:val="24"/>
              </w:rPr>
              <m:t>+</m:t>
            </m:r>
            <m:sSubSup>
              <m:sSubSupPr>
                <m:ctrlPr>
                  <w:rPr>
                    <w:rFonts w:hint="default" w:ascii="Cambria Math" w:hAnsi="Cambria Math" w:eastAsia="宋体" w:cs="Times New Roman"/>
                    <w:i/>
                    <w:color w:val="auto"/>
                    <w:sz w:val="24"/>
                    <w:szCs w:val="24"/>
                  </w:rPr>
                </m:ctrlPr>
              </m:sSubSupPr>
              <m:e>
                <m:r>
                  <m:rPr>
                    <m:nor/>
                  </m:rPr>
                  <w:rPr>
                    <w:rFonts w:hint="default" w:ascii="Times New Roman" w:hAnsi="Times New Roman" w:eastAsia="宋体" w:cs="Times New Roman"/>
                    <w:i/>
                    <w:color w:val="auto"/>
                    <w:sz w:val="24"/>
                    <w:szCs w:val="24"/>
                  </w:rPr>
                  <m:t>M</m:t>
                </m:r>
                <m:ctrlPr>
                  <w:rPr>
                    <w:rFonts w:hint="default" w:ascii="Cambria Math" w:hAnsi="Cambria Math" w:eastAsia="宋体" w:cs="Times New Roman"/>
                    <w:i/>
                    <w:color w:val="auto"/>
                    <w:sz w:val="24"/>
                    <w:szCs w:val="24"/>
                  </w:rPr>
                </m:ctrlPr>
              </m:e>
              <m:sub>
                <m:r>
                  <m:rPr>
                    <m:nor/>
                    <m:sty m:val="p"/>
                  </m:rPr>
                  <w:rPr>
                    <w:rFonts w:hint="default" w:ascii="Times New Roman" w:hAnsi="Times New Roman" w:eastAsia="宋体" w:cs="Times New Roman"/>
                    <w:b w:val="0"/>
                    <w:i w:val="0"/>
                    <w:color w:val="auto"/>
                    <w:sz w:val="24"/>
                    <w:szCs w:val="24"/>
                  </w:rPr>
                  <m:t>bua</m:t>
                </m:r>
                <m:ctrlPr>
                  <w:rPr>
                    <w:rFonts w:hint="default" w:ascii="Cambria Math" w:hAnsi="Cambria Math" w:eastAsia="宋体" w:cs="Times New Roman"/>
                    <w:i/>
                    <w:color w:val="auto"/>
                    <w:sz w:val="24"/>
                    <w:szCs w:val="24"/>
                  </w:rPr>
                </m:ctrlPr>
              </m:sub>
              <m:sup>
                <m:r>
                  <m:rPr>
                    <m:nor/>
                    <m:sty m:val="p"/>
                  </m:rPr>
                  <w:rPr>
                    <w:rFonts w:hint="default" w:ascii="Times New Roman" w:hAnsi="Times New Roman" w:eastAsia="宋体" w:cs="Times New Roman"/>
                    <w:b w:val="0"/>
                    <w:i w:val="0"/>
                    <w:color w:val="auto"/>
                    <w:sz w:val="24"/>
                    <w:szCs w:val="24"/>
                  </w:rPr>
                  <m:t>r</m:t>
                </m:r>
                <m:ctrlPr>
                  <w:rPr>
                    <w:rFonts w:hint="default" w:ascii="Cambria Math" w:hAnsi="Cambria Math" w:eastAsia="宋体" w:cs="Times New Roman"/>
                    <w:i/>
                    <w:color w:val="auto"/>
                    <w:sz w:val="24"/>
                    <w:szCs w:val="24"/>
                  </w:rPr>
                </m:ctrlPr>
              </m:sup>
            </m:sSubSup>
            <m:r>
              <m:rPr>
                <m:nor/>
                <m:sty m:val="p"/>
              </m:rPr>
              <w:rPr>
                <w:rFonts w:hint="default" w:ascii="Times New Roman" w:hAnsi="Times New Roman" w:eastAsia="宋体" w:cs="Times New Roman"/>
                <w:b w:val="0"/>
                <w:i w:val="0"/>
                <w:color w:val="auto"/>
                <w:sz w:val="24"/>
                <w:szCs w:val="24"/>
              </w:rPr>
              <m:t>)</m:t>
            </m:r>
            <m:ctrlPr>
              <w:rPr>
                <w:rFonts w:hint="default" w:ascii="Cambria Math" w:hAnsi="Cambria Math" w:eastAsia="宋体" w:cs="Times New Roman"/>
                <w:color w:val="auto"/>
                <w:sz w:val="24"/>
                <w:szCs w:val="24"/>
              </w:rPr>
            </m:ctrlPr>
          </m:num>
          <m:den>
            <m:sSub>
              <m:sSubPr>
                <m:ctrlPr>
                  <w:rPr>
                    <w:rFonts w:hint="default" w:ascii="Cambria Math" w:hAnsi="Cambria Math" w:eastAsia="宋体" w:cs="Times New Roman"/>
                    <w:color w:val="auto"/>
                    <w:sz w:val="24"/>
                    <w:szCs w:val="24"/>
                  </w:rPr>
                </m:ctrlPr>
              </m:sSubPr>
              <m:e>
                <m:r>
                  <m:rPr>
                    <m:nor/>
                  </m:rPr>
                  <w:rPr>
                    <w:rFonts w:hint="default" w:ascii="Times New Roman" w:hAnsi="Times New Roman" w:eastAsia="宋体" w:cs="Times New Roman"/>
                    <w:i/>
                    <w:color w:val="auto"/>
                    <w:sz w:val="24"/>
                    <w:szCs w:val="24"/>
                  </w:rPr>
                  <m:t>l</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rPr>
                  <m:t>n</m:t>
                </m:r>
                <m:ctrlPr>
                  <w:rPr>
                    <w:rFonts w:hint="default" w:ascii="Cambria Math" w:hAnsi="Cambria Math" w:eastAsia="宋体" w:cs="Times New Roman"/>
                    <w:color w:val="auto"/>
                    <w:sz w:val="24"/>
                    <w:szCs w:val="24"/>
                  </w:rPr>
                </m:ctrlPr>
              </m:sub>
            </m:sSub>
            <m:ctrlPr>
              <w:rPr>
                <w:rFonts w:hint="default" w:ascii="Cambria Math" w:hAnsi="Cambria Math" w:eastAsia="宋体" w:cs="Times New Roman"/>
                <w:color w:val="auto"/>
                <w:sz w:val="24"/>
                <w:szCs w:val="24"/>
              </w:rPr>
            </m:ctrlPr>
          </m:den>
        </m:f>
        <m:r>
          <m:rPr>
            <m:nor/>
            <m:sty m:val="p"/>
          </m:rPr>
          <w:rPr>
            <w:rFonts w:hint="default" w:ascii="Times New Roman" w:hAnsi="Times New Roman" w:eastAsia="宋体" w:cs="Times New Roman"/>
            <w:b w:val="0"/>
            <w:i w:val="0"/>
            <w:color w:val="auto"/>
            <w:sz w:val="24"/>
            <w:szCs w:val="24"/>
          </w:rPr>
          <m:t>+</m:t>
        </m:r>
        <m:sSub>
          <m:sSubPr>
            <m:ctrlPr>
              <w:rPr>
                <w:rFonts w:hint="default" w:ascii="Cambria Math" w:hAnsi="Cambria Math" w:eastAsia="宋体" w:cs="Times New Roman"/>
                <w:color w:val="auto"/>
                <w:sz w:val="24"/>
                <w:szCs w:val="24"/>
              </w:rPr>
            </m:ctrlPr>
          </m:sSubPr>
          <m:e>
            <m:r>
              <m:rPr>
                <m:nor/>
              </m:rPr>
              <w:rPr>
                <w:rFonts w:hint="default" w:ascii="Times New Roman" w:hAnsi="Times New Roman" w:eastAsia="宋体" w:cs="Times New Roman"/>
                <w:i/>
                <w:color w:val="auto"/>
                <w:sz w:val="24"/>
                <w:szCs w:val="24"/>
              </w:rPr>
              <m:t>V</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rPr>
              <m:t>Gb</m:t>
            </m:r>
            <m:ctrlPr>
              <w:rPr>
                <w:rFonts w:hint="default" w:ascii="Cambria Math" w:hAnsi="Cambria Math" w:eastAsia="宋体" w:cs="Times New Roman"/>
                <w:color w:val="auto"/>
                <w:sz w:val="24"/>
                <w:szCs w:val="24"/>
              </w:rPr>
            </m:ctrlPr>
          </m:sub>
        </m:sSub>
      </m:oMath>
      <w:r>
        <w:rPr>
          <w:rFonts w:hint="default" w:ascii="Times New Roman" w:hAnsi="Times New Roman" w:eastAsia="宋体" w:cs="Times New Roman"/>
          <w:color w:val="auto"/>
          <w:sz w:val="24"/>
          <w:szCs w:val="24"/>
        </w:rPr>
        <w:t xml:space="preserve">                     （9.4.11-1）</w:t>
      </w:r>
    </w:p>
    <w:p w14:paraId="1D5AA382">
      <w:pPr>
        <w:pStyle w:val="12"/>
        <w:keepNext w:val="0"/>
        <w:keepLines w:val="0"/>
        <w:pageBreakBefore w:val="0"/>
        <w:widowControl w:val="0"/>
        <w:kinsoku/>
        <w:wordWrap/>
        <w:overflowPunct/>
        <w:topLinePunct w:val="0"/>
        <w:autoSpaceDE/>
        <w:autoSpaceDN/>
        <w:bidi w:val="0"/>
        <w:adjustRightInd w:val="0"/>
        <w:snapToGrid w:val="0"/>
        <w:spacing w:line="360" w:lineRule="auto"/>
        <w:ind w:right="0" w:firstLine="0" w:firstLineChars="0"/>
        <w:jc w:val="right"/>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i/>
          <w:color w:val="auto"/>
          <w:sz w:val="24"/>
          <w:szCs w:val="24"/>
        </w:rPr>
        <w:t>V</w:t>
      </w:r>
      <w:r>
        <w:rPr>
          <w:rFonts w:hint="default" w:ascii="Times New Roman" w:hAnsi="Times New Roman" w:eastAsia="宋体" w:cs="Times New Roman"/>
          <w:color w:val="auto"/>
          <w:sz w:val="24"/>
          <w:szCs w:val="24"/>
        </w:rPr>
        <w:t>≤1.2</w:t>
      </w:r>
      <m:oMath>
        <m:f>
          <m:fPr>
            <m:type m:val="lin"/>
            <m:ctrlPr>
              <w:rPr>
                <w:rFonts w:hint="default" w:ascii="Cambria Math" w:hAnsi="Cambria Math" w:eastAsia="宋体" w:cs="Times New Roman"/>
                <w:color w:val="auto"/>
                <w:sz w:val="24"/>
                <w:szCs w:val="24"/>
              </w:rPr>
            </m:ctrlPr>
          </m:fPr>
          <m:num>
            <m:sSubSup>
              <m:sSubSupPr>
                <m:ctrlPr>
                  <w:rPr>
                    <w:rFonts w:hint="default" w:ascii="Cambria Math" w:hAnsi="Cambria Math" w:eastAsia="宋体" w:cs="Times New Roman"/>
                    <w:i/>
                    <w:color w:val="auto"/>
                    <w:sz w:val="24"/>
                    <w:szCs w:val="24"/>
                  </w:rPr>
                </m:ctrlPr>
              </m:sSubSupPr>
              <m:e>
                <m:r>
                  <m:rPr>
                    <m:nor/>
                    <m:sty m:val="p"/>
                  </m:rPr>
                  <w:rPr>
                    <w:rFonts w:hint="default" w:ascii="Times New Roman" w:hAnsi="Times New Roman" w:eastAsia="宋体" w:cs="Times New Roman"/>
                    <w:b w:val="0"/>
                    <w:i w:val="0"/>
                    <w:color w:val="auto"/>
                    <w:sz w:val="24"/>
                    <w:szCs w:val="24"/>
                  </w:rPr>
                  <m:t>(</m:t>
                </m:r>
                <m:r>
                  <m:rPr>
                    <m:nor/>
                  </m:rPr>
                  <w:rPr>
                    <w:rFonts w:hint="default" w:ascii="Times New Roman" w:hAnsi="Times New Roman" w:eastAsia="宋体" w:cs="Times New Roman"/>
                    <w:i/>
                    <w:color w:val="auto"/>
                    <w:sz w:val="24"/>
                    <w:szCs w:val="24"/>
                  </w:rPr>
                  <m:t>M</m:t>
                </m:r>
                <m:ctrlPr>
                  <w:rPr>
                    <w:rFonts w:hint="default" w:ascii="Cambria Math" w:hAnsi="Cambria Math" w:eastAsia="宋体" w:cs="Times New Roman"/>
                    <w:i/>
                    <w:color w:val="auto"/>
                    <w:sz w:val="24"/>
                    <w:szCs w:val="24"/>
                  </w:rPr>
                </m:ctrlPr>
              </m:e>
              <m:sub>
                <m:r>
                  <m:rPr>
                    <m:nor/>
                    <m:sty m:val="p"/>
                  </m:rPr>
                  <w:rPr>
                    <w:rFonts w:hint="default" w:ascii="Times New Roman" w:hAnsi="Times New Roman" w:eastAsia="宋体" w:cs="Times New Roman"/>
                    <w:b w:val="0"/>
                    <w:i w:val="0"/>
                    <w:color w:val="auto"/>
                    <w:sz w:val="24"/>
                    <w:szCs w:val="24"/>
                  </w:rPr>
                  <m:t>cua</m:t>
                </m:r>
                <m:ctrlPr>
                  <w:rPr>
                    <w:rFonts w:hint="default" w:ascii="Cambria Math" w:hAnsi="Cambria Math" w:eastAsia="宋体" w:cs="Times New Roman"/>
                    <w:i/>
                    <w:color w:val="auto"/>
                    <w:sz w:val="24"/>
                    <w:szCs w:val="24"/>
                  </w:rPr>
                </m:ctrlPr>
              </m:sub>
              <m:sup>
                <m:r>
                  <m:rPr>
                    <m:nor/>
                    <m:sty m:val="p"/>
                  </m:rPr>
                  <w:rPr>
                    <w:rFonts w:hint="default" w:ascii="Times New Roman" w:hAnsi="Times New Roman" w:eastAsia="宋体" w:cs="Times New Roman"/>
                    <w:b w:val="0"/>
                    <w:i w:val="0"/>
                    <w:color w:val="auto"/>
                    <w:sz w:val="24"/>
                    <w:szCs w:val="24"/>
                  </w:rPr>
                  <m:t>t</m:t>
                </m:r>
                <m:ctrlPr>
                  <w:rPr>
                    <w:rFonts w:hint="default" w:ascii="Cambria Math" w:hAnsi="Cambria Math" w:eastAsia="宋体" w:cs="Times New Roman"/>
                    <w:i/>
                    <w:color w:val="auto"/>
                    <w:sz w:val="24"/>
                    <w:szCs w:val="24"/>
                  </w:rPr>
                </m:ctrlPr>
              </m:sup>
            </m:sSubSup>
            <m:r>
              <m:rPr>
                <m:nor/>
                <m:sty m:val="p"/>
              </m:rPr>
              <w:rPr>
                <w:rFonts w:hint="default" w:ascii="Times New Roman" w:hAnsi="Times New Roman" w:eastAsia="宋体" w:cs="Times New Roman"/>
                <w:b w:val="0"/>
                <w:i w:val="0"/>
                <w:color w:val="auto"/>
                <w:sz w:val="24"/>
                <w:szCs w:val="24"/>
              </w:rPr>
              <m:t>+</m:t>
            </m:r>
            <m:sSubSup>
              <m:sSubSupPr>
                <m:ctrlPr>
                  <w:rPr>
                    <w:rFonts w:hint="default" w:ascii="Cambria Math" w:hAnsi="Cambria Math" w:eastAsia="宋体" w:cs="Times New Roman"/>
                    <w:i/>
                    <w:color w:val="auto"/>
                    <w:sz w:val="24"/>
                    <w:szCs w:val="24"/>
                  </w:rPr>
                </m:ctrlPr>
              </m:sSubSupPr>
              <m:e>
                <m:r>
                  <m:rPr>
                    <m:nor/>
                  </m:rPr>
                  <w:rPr>
                    <w:rFonts w:hint="default" w:ascii="Times New Roman" w:hAnsi="Times New Roman" w:eastAsia="宋体" w:cs="Times New Roman"/>
                    <w:i/>
                    <w:color w:val="auto"/>
                    <w:sz w:val="24"/>
                    <w:szCs w:val="24"/>
                  </w:rPr>
                  <m:t>M</m:t>
                </m:r>
                <m:ctrlPr>
                  <w:rPr>
                    <w:rFonts w:hint="default" w:ascii="Cambria Math" w:hAnsi="Cambria Math" w:eastAsia="宋体" w:cs="Times New Roman"/>
                    <w:i/>
                    <w:color w:val="auto"/>
                    <w:sz w:val="24"/>
                    <w:szCs w:val="24"/>
                  </w:rPr>
                </m:ctrlPr>
              </m:e>
              <m:sub>
                <m:r>
                  <m:rPr>
                    <m:nor/>
                    <m:sty m:val="p"/>
                  </m:rPr>
                  <w:rPr>
                    <w:rFonts w:hint="default" w:ascii="Times New Roman" w:hAnsi="Times New Roman" w:eastAsia="宋体" w:cs="Times New Roman"/>
                    <w:b w:val="0"/>
                    <w:i w:val="0"/>
                    <w:color w:val="auto"/>
                    <w:sz w:val="24"/>
                    <w:szCs w:val="24"/>
                  </w:rPr>
                  <m:t>cua</m:t>
                </m:r>
                <m:ctrlPr>
                  <w:rPr>
                    <w:rFonts w:hint="default" w:ascii="Cambria Math" w:hAnsi="Cambria Math" w:eastAsia="宋体" w:cs="Times New Roman"/>
                    <w:i/>
                    <w:color w:val="auto"/>
                    <w:sz w:val="24"/>
                    <w:szCs w:val="24"/>
                  </w:rPr>
                </m:ctrlPr>
              </m:sub>
              <m:sup>
                <m:r>
                  <m:rPr>
                    <m:nor/>
                    <m:sty m:val="p"/>
                  </m:rPr>
                  <w:rPr>
                    <w:rFonts w:hint="default" w:ascii="Times New Roman" w:hAnsi="Times New Roman" w:eastAsia="宋体" w:cs="Times New Roman"/>
                    <w:b w:val="0"/>
                    <w:i w:val="0"/>
                    <w:color w:val="auto"/>
                    <w:sz w:val="24"/>
                    <w:szCs w:val="24"/>
                  </w:rPr>
                  <m:t>b</m:t>
                </m:r>
                <m:ctrlPr>
                  <w:rPr>
                    <w:rFonts w:hint="default" w:ascii="Cambria Math" w:hAnsi="Cambria Math" w:eastAsia="宋体" w:cs="Times New Roman"/>
                    <w:i/>
                    <w:color w:val="auto"/>
                    <w:sz w:val="24"/>
                    <w:szCs w:val="24"/>
                  </w:rPr>
                </m:ctrlPr>
              </m:sup>
            </m:sSubSup>
            <m:r>
              <m:rPr>
                <m:nor/>
                <m:sty m:val="p"/>
              </m:rPr>
              <w:rPr>
                <w:rFonts w:hint="default" w:ascii="Times New Roman" w:hAnsi="Times New Roman" w:eastAsia="宋体" w:cs="Times New Roman"/>
                <w:b w:val="0"/>
                <w:i w:val="0"/>
                <w:color w:val="auto"/>
                <w:sz w:val="24"/>
                <w:szCs w:val="24"/>
              </w:rPr>
              <m:t>)</m:t>
            </m:r>
            <m:ctrlPr>
              <w:rPr>
                <w:rFonts w:hint="default" w:ascii="Cambria Math" w:hAnsi="Cambria Math" w:eastAsia="宋体" w:cs="Times New Roman"/>
                <w:color w:val="auto"/>
                <w:sz w:val="24"/>
                <w:szCs w:val="24"/>
              </w:rPr>
            </m:ctrlPr>
          </m:num>
          <m:den>
            <m:sSub>
              <m:sSubPr>
                <m:ctrlPr>
                  <w:rPr>
                    <w:rFonts w:hint="default" w:ascii="Cambria Math" w:hAnsi="Cambria Math" w:eastAsia="宋体" w:cs="Times New Roman"/>
                    <w:color w:val="auto"/>
                    <w:sz w:val="24"/>
                    <w:szCs w:val="24"/>
                  </w:rPr>
                </m:ctrlPr>
              </m:sSubPr>
              <m:e>
                <m:r>
                  <m:rPr>
                    <m:nor/>
                  </m:rPr>
                  <w:rPr>
                    <w:rFonts w:hint="default" w:ascii="Times New Roman" w:hAnsi="Times New Roman" w:eastAsia="宋体" w:cs="Times New Roman"/>
                    <w:i/>
                    <w:color w:val="auto"/>
                    <w:sz w:val="24"/>
                    <w:szCs w:val="24"/>
                  </w:rPr>
                  <m:t>H</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rPr>
                  <m:t>n</m:t>
                </m:r>
                <m:ctrlPr>
                  <w:rPr>
                    <w:rFonts w:hint="default" w:ascii="Cambria Math" w:hAnsi="Cambria Math" w:eastAsia="宋体" w:cs="Times New Roman"/>
                    <w:color w:val="auto"/>
                    <w:sz w:val="24"/>
                    <w:szCs w:val="24"/>
                  </w:rPr>
                </m:ctrlPr>
              </m:sub>
            </m:sSub>
            <m:ctrlPr>
              <w:rPr>
                <w:rFonts w:hint="default" w:ascii="Cambria Math" w:hAnsi="Cambria Math" w:eastAsia="宋体" w:cs="Times New Roman"/>
                <w:color w:val="auto"/>
                <w:sz w:val="24"/>
                <w:szCs w:val="24"/>
              </w:rPr>
            </m:ctrlPr>
          </m:den>
        </m:f>
      </m:oMath>
      <w:r>
        <w:rPr>
          <w:rFonts w:hint="default" w:ascii="Times New Roman" w:hAnsi="Times New Roman" w:eastAsia="宋体" w:cs="Times New Roman"/>
          <w:color w:val="auto"/>
          <w:sz w:val="24"/>
          <w:szCs w:val="24"/>
        </w:rPr>
        <w:t xml:space="preserve">                       （9.4.11-2）</w:t>
      </w:r>
    </w:p>
    <w:tbl>
      <w:tblPr>
        <w:tblStyle w:val="25"/>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80"/>
        <w:gridCol w:w="462"/>
        <w:gridCol w:w="7037"/>
      </w:tblGrid>
      <w:tr w14:paraId="6D1F1B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80" w:type="pct"/>
          </w:tcPr>
          <w:p w14:paraId="0ADD9BD8">
            <w:pPr>
              <w:pStyle w:val="12"/>
              <w:spacing w:line="360" w:lineRule="auto"/>
              <w:ind w:firstLine="0" w:firstLineChars="0"/>
              <w:jc w:val="righ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w:t>
            </w:r>
            <m:oMath>
              <m:sSubSup>
                <m:sSubSupPr>
                  <m:ctrlPr>
                    <w:rPr>
                      <w:rFonts w:hint="default" w:ascii="Cambria Math" w:hAnsi="Cambria Math" w:eastAsia="宋体" w:cs="Times New Roman"/>
                      <w:color w:val="auto"/>
                      <w:sz w:val="24"/>
                      <w:szCs w:val="24"/>
                    </w:rPr>
                  </m:ctrlPr>
                </m:sSubSupPr>
                <m:e>
                  <m:r>
                    <m:rPr>
                      <m:nor/>
                    </m:rPr>
                    <w:rPr>
                      <w:rFonts w:hint="default" w:ascii="Times New Roman" w:hAnsi="Times New Roman" w:eastAsia="宋体" w:cs="Times New Roman"/>
                      <w:i/>
                      <w:color w:val="auto"/>
                      <w:sz w:val="24"/>
                      <w:szCs w:val="24"/>
                    </w:rPr>
                    <m:t>M</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rPr>
                    <m:t>bua</m:t>
                  </m:r>
                  <m:ctrlPr>
                    <w:rPr>
                      <w:rFonts w:hint="default" w:ascii="Cambria Math" w:hAnsi="Cambria Math" w:eastAsia="宋体" w:cs="Times New Roman"/>
                      <w:color w:val="auto"/>
                      <w:sz w:val="24"/>
                      <w:szCs w:val="24"/>
                    </w:rPr>
                  </m:ctrlPr>
                </m:sub>
                <m:sup>
                  <m:r>
                    <m:rPr>
                      <m:nor/>
                      <m:sty m:val="p"/>
                    </m:rPr>
                    <w:rPr>
                      <w:rFonts w:hint="default" w:ascii="Times New Roman" w:hAnsi="Times New Roman" w:eastAsia="宋体" w:cs="Times New Roman"/>
                      <w:b w:val="0"/>
                      <w:i w:val="0"/>
                      <w:color w:val="auto"/>
                      <w:sz w:val="24"/>
                      <w:szCs w:val="24"/>
                    </w:rPr>
                    <m:t>l</m:t>
                  </m:r>
                  <m:ctrlPr>
                    <w:rPr>
                      <w:rFonts w:hint="default" w:ascii="Cambria Math" w:hAnsi="Cambria Math" w:eastAsia="宋体" w:cs="Times New Roman"/>
                      <w:color w:val="auto"/>
                      <w:sz w:val="24"/>
                      <w:szCs w:val="24"/>
                    </w:rPr>
                  </m:ctrlPr>
                </m:sup>
              </m:sSubSup>
            </m:oMath>
            <w:r>
              <w:rPr>
                <w:rFonts w:hint="default" w:ascii="Times New Roman" w:hAnsi="Times New Roman" w:eastAsia="宋体" w:cs="Times New Roman"/>
                <w:color w:val="auto"/>
                <w:sz w:val="24"/>
                <w:szCs w:val="24"/>
              </w:rPr>
              <w:t>、</w:t>
            </w:r>
            <m:oMath>
              <m:sSubSup>
                <m:sSubSupPr>
                  <m:ctrlPr>
                    <w:rPr>
                      <w:rFonts w:hint="default" w:ascii="Cambria Math" w:hAnsi="Cambria Math" w:eastAsia="宋体" w:cs="Times New Roman"/>
                      <w:color w:val="auto"/>
                      <w:sz w:val="24"/>
                      <w:szCs w:val="24"/>
                    </w:rPr>
                  </m:ctrlPr>
                </m:sSubSupPr>
                <m:e>
                  <m:r>
                    <m:rPr>
                      <m:nor/>
                    </m:rPr>
                    <w:rPr>
                      <w:rFonts w:hint="default" w:ascii="Times New Roman" w:hAnsi="Times New Roman" w:eastAsia="宋体" w:cs="Times New Roman"/>
                      <w:i/>
                      <w:color w:val="auto"/>
                      <w:sz w:val="24"/>
                      <w:szCs w:val="24"/>
                    </w:rPr>
                    <m:t>M</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rPr>
                    <m:t>bua</m:t>
                  </m:r>
                  <m:ctrlPr>
                    <w:rPr>
                      <w:rFonts w:hint="default" w:ascii="Cambria Math" w:hAnsi="Cambria Math" w:eastAsia="宋体" w:cs="Times New Roman"/>
                      <w:color w:val="auto"/>
                      <w:sz w:val="24"/>
                      <w:szCs w:val="24"/>
                    </w:rPr>
                  </m:ctrlPr>
                </m:sub>
                <m:sup>
                  <m:r>
                    <m:rPr>
                      <m:nor/>
                    </m:rPr>
                    <w:rPr>
                      <w:rFonts w:hint="default" w:ascii="Times New Roman" w:hAnsi="Times New Roman" w:eastAsia="宋体" w:cs="Times New Roman"/>
                      <w:i/>
                      <w:color w:val="auto"/>
                      <w:sz w:val="24"/>
                      <w:szCs w:val="24"/>
                    </w:rPr>
                    <m:t>r</m:t>
                  </m:r>
                  <m:ctrlPr>
                    <w:rPr>
                      <w:rFonts w:hint="default" w:ascii="Cambria Math" w:hAnsi="Cambria Math" w:eastAsia="宋体" w:cs="Times New Roman"/>
                      <w:color w:val="auto"/>
                      <w:sz w:val="24"/>
                      <w:szCs w:val="24"/>
                    </w:rPr>
                  </m:ctrlPr>
                </m:sup>
              </m:sSubSup>
            </m:oMath>
          </w:p>
        </w:tc>
        <w:tc>
          <w:tcPr>
            <w:tcW w:w="229" w:type="pct"/>
          </w:tcPr>
          <w:p w14:paraId="4276FB1C">
            <w:pPr>
              <w:pStyle w:val="12"/>
              <w:spacing w:line="360" w:lineRule="auto"/>
              <w:ind w:firstLine="0" w:firstLineChars="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3491" w:type="pct"/>
          </w:tcPr>
          <w:p w14:paraId="250089DA">
            <w:pPr>
              <w:pStyle w:val="12"/>
              <w:spacing w:line="360" w:lineRule="auto"/>
              <w:ind w:firstLine="0" w:firstLineChars="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梁左、右端截面顺时针或逆时针方向实配的正截面受弯承载力所对应的弯矩值，可根据实配钢筋面积、材料最小极限强度进行计算；</w:t>
            </w:r>
          </w:p>
        </w:tc>
      </w:tr>
      <w:tr w14:paraId="094712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80" w:type="pct"/>
          </w:tcPr>
          <w:p w14:paraId="336CF495">
            <w:pPr>
              <w:pStyle w:val="12"/>
              <w:spacing w:line="360" w:lineRule="auto"/>
              <w:ind w:firstLine="720" w:firstLineChars="300"/>
              <w:jc w:val="right"/>
              <w:rPr>
                <w:rFonts w:hint="default" w:ascii="Times New Roman" w:hAnsi="Times New Roman" w:eastAsia="宋体" w:cs="Times New Roman"/>
                <w:color w:val="auto"/>
                <w:sz w:val="24"/>
                <w:szCs w:val="24"/>
              </w:rPr>
            </w:pPr>
            <m:oMath>
              <m:sSubSup>
                <m:sSubSupPr>
                  <m:ctrlPr>
                    <w:rPr>
                      <w:rFonts w:hint="default" w:ascii="Cambria Math" w:hAnsi="Cambria Math" w:eastAsia="宋体" w:cs="Times New Roman"/>
                      <w:color w:val="auto"/>
                      <w:sz w:val="24"/>
                      <w:szCs w:val="24"/>
                    </w:rPr>
                  </m:ctrlPr>
                </m:sSubSupPr>
                <m:e>
                  <m:r>
                    <m:rPr>
                      <m:nor/>
                    </m:rPr>
                    <w:rPr>
                      <w:rFonts w:hint="default" w:ascii="Times New Roman" w:hAnsi="Times New Roman" w:eastAsia="宋体" w:cs="Times New Roman"/>
                      <w:i/>
                      <w:color w:val="auto"/>
                      <w:sz w:val="24"/>
                      <w:szCs w:val="24"/>
                    </w:rPr>
                    <m:t>M</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rPr>
                    <m:t>cua</m:t>
                  </m:r>
                  <m:ctrlPr>
                    <w:rPr>
                      <w:rFonts w:hint="default" w:ascii="Cambria Math" w:hAnsi="Cambria Math" w:eastAsia="宋体" w:cs="Times New Roman"/>
                      <w:color w:val="auto"/>
                      <w:sz w:val="24"/>
                      <w:szCs w:val="24"/>
                    </w:rPr>
                  </m:ctrlPr>
                </m:sub>
                <m:sup>
                  <m:r>
                    <m:rPr>
                      <m:nor/>
                      <m:sty m:val="p"/>
                    </m:rPr>
                    <w:rPr>
                      <w:rFonts w:hint="default" w:ascii="Times New Roman" w:hAnsi="Times New Roman" w:eastAsia="宋体" w:cs="Times New Roman"/>
                      <w:b w:val="0"/>
                      <w:i w:val="0"/>
                      <w:color w:val="auto"/>
                      <w:sz w:val="24"/>
                      <w:szCs w:val="24"/>
                    </w:rPr>
                    <m:t>t</m:t>
                  </m:r>
                  <m:ctrlPr>
                    <w:rPr>
                      <w:rFonts w:hint="default" w:ascii="Cambria Math" w:hAnsi="Cambria Math" w:eastAsia="宋体" w:cs="Times New Roman"/>
                      <w:color w:val="auto"/>
                      <w:sz w:val="24"/>
                      <w:szCs w:val="24"/>
                    </w:rPr>
                  </m:ctrlPr>
                </m:sup>
              </m:sSubSup>
            </m:oMath>
            <w:r>
              <w:rPr>
                <w:rFonts w:hint="default" w:ascii="Times New Roman" w:hAnsi="Times New Roman" w:eastAsia="宋体" w:cs="Times New Roman"/>
                <w:color w:val="auto"/>
                <w:sz w:val="24"/>
                <w:szCs w:val="24"/>
              </w:rPr>
              <w:t>、</w:t>
            </w:r>
            <m:oMath>
              <m:sSubSup>
                <m:sSubSupPr>
                  <m:ctrlPr>
                    <w:rPr>
                      <w:rFonts w:hint="default" w:ascii="Cambria Math" w:hAnsi="Cambria Math" w:eastAsia="宋体" w:cs="Times New Roman"/>
                      <w:color w:val="auto"/>
                      <w:sz w:val="24"/>
                      <w:szCs w:val="24"/>
                    </w:rPr>
                  </m:ctrlPr>
                </m:sSubSupPr>
                <m:e>
                  <m:r>
                    <m:rPr>
                      <m:nor/>
                    </m:rPr>
                    <w:rPr>
                      <w:rFonts w:hint="default" w:ascii="Times New Roman" w:hAnsi="Times New Roman" w:eastAsia="宋体" w:cs="Times New Roman"/>
                      <w:i/>
                      <w:color w:val="auto"/>
                      <w:sz w:val="24"/>
                      <w:szCs w:val="24"/>
                    </w:rPr>
                    <m:t>M</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rPr>
                    <m:t>cua</m:t>
                  </m:r>
                  <m:ctrlPr>
                    <w:rPr>
                      <w:rFonts w:hint="default" w:ascii="Cambria Math" w:hAnsi="Cambria Math" w:eastAsia="宋体" w:cs="Times New Roman"/>
                      <w:color w:val="auto"/>
                      <w:sz w:val="24"/>
                      <w:szCs w:val="24"/>
                    </w:rPr>
                  </m:ctrlPr>
                </m:sub>
                <m:sup>
                  <m:r>
                    <m:rPr>
                      <m:nor/>
                      <m:sty m:val="p"/>
                    </m:rPr>
                    <w:rPr>
                      <w:rFonts w:hint="default" w:ascii="Times New Roman" w:hAnsi="Times New Roman" w:eastAsia="宋体" w:cs="Times New Roman"/>
                      <w:b w:val="0"/>
                      <w:i w:val="0"/>
                      <w:color w:val="auto"/>
                      <w:sz w:val="24"/>
                      <w:szCs w:val="24"/>
                    </w:rPr>
                    <m:t>b</m:t>
                  </m:r>
                  <m:ctrlPr>
                    <w:rPr>
                      <w:rFonts w:hint="default" w:ascii="Cambria Math" w:hAnsi="Cambria Math" w:eastAsia="宋体" w:cs="Times New Roman"/>
                      <w:color w:val="auto"/>
                      <w:sz w:val="24"/>
                      <w:szCs w:val="24"/>
                    </w:rPr>
                  </m:ctrlPr>
                </m:sup>
              </m:sSubSup>
            </m:oMath>
          </w:p>
        </w:tc>
        <w:tc>
          <w:tcPr>
            <w:tcW w:w="229" w:type="pct"/>
          </w:tcPr>
          <w:p w14:paraId="7DF04613">
            <w:pPr>
              <w:pStyle w:val="12"/>
              <w:spacing w:line="360" w:lineRule="auto"/>
              <w:ind w:firstLine="0" w:firstLineChars="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3491" w:type="pct"/>
          </w:tcPr>
          <w:p w14:paraId="3F7A6604">
            <w:pPr>
              <w:pStyle w:val="12"/>
              <w:spacing w:line="360" w:lineRule="auto"/>
              <w:ind w:firstLine="0" w:firstLineChars="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柱或墙上、下端顺时针或逆时针方向实配的正截面受弯承载力所对应的弯矩值，可根据实配钢筋面积、材料最小极限强度和重力荷载代表值产生的轴向压力进行计算；</w:t>
            </w:r>
          </w:p>
        </w:tc>
      </w:tr>
      <w:tr w14:paraId="269CE8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80" w:type="pct"/>
          </w:tcPr>
          <w:p w14:paraId="13E03C83">
            <w:pPr>
              <w:pStyle w:val="12"/>
              <w:spacing w:line="360" w:lineRule="auto"/>
              <w:ind w:firstLine="420"/>
              <w:jc w:val="right"/>
              <w:rPr>
                <w:rFonts w:hint="default" w:ascii="Times New Roman" w:hAnsi="Times New Roman" w:eastAsia="宋体" w:cs="Times New Roman"/>
                <w:color w:val="auto"/>
                <w:sz w:val="24"/>
                <w:szCs w:val="24"/>
              </w:rPr>
            </w:pPr>
            <m:oMathPara>
              <m:oMathParaPr>
                <m:jc m:val="right"/>
              </m:oMathParaPr>
              <m:oMath>
                <m:sSub>
                  <m:sSubPr>
                    <m:ctrlPr>
                      <w:rPr>
                        <w:rFonts w:hint="default" w:ascii="Cambria Math" w:hAnsi="Cambria Math" w:eastAsia="宋体" w:cs="Times New Roman"/>
                        <w:color w:val="auto"/>
                        <w:sz w:val="24"/>
                        <w:szCs w:val="24"/>
                      </w:rPr>
                    </m:ctrlPr>
                  </m:sSubPr>
                  <m:e>
                    <m:r>
                      <m:rPr>
                        <m:nor/>
                      </m:rPr>
                      <w:rPr>
                        <w:rFonts w:hint="default" w:ascii="Times New Roman" w:hAnsi="Times New Roman" w:eastAsia="宋体" w:cs="Times New Roman"/>
                        <w:i/>
                        <w:color w:val="auto"/>
                        <w:sz w:val="24"/>
                        <w:szCs w:val="24"/>
                      </w:rPr>
                      <m:t>V</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rPr>
                      <m:t>Gb</m:t>
                    </m:r>
                    <m:ctrlPr>
                      <w:rPr>
                        <w:rFonts w:hint="default" w:ascii="Cambria Math" w:hAnsi="Cambria Math" w:eastAsia="宋体" w:cs="Times New Roman"/>
                        <w:color w:val="auto"/>
                        <w:sz w:val="24"/>
                        <w:szCs w:val="24"/>
                      </w:rPr>
                    </m:ctrlPr>
                  </m:sub>
                </m:sSub>
              </m:oMath>
            </m:oMathPara>
          </w:p>
        </w:tc>
        <w:tc>
          <w:tcPr>
            <w:tcW w:w="229" w:type="pct"/>
          </w:tcPr>
          <w:p w14:paraId="4B146DC4">
            <w:pPr>
              <w:pStyle w:val="12"/>
              <w:spacing w:line="360" w:lineRule="auto"/>
              <w:ind w:firstLine="0" w:firstLineChars="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3491" w:type="pct"/>
          </w:tcPr>
          <w:p w14:paraId="22EED549">
            <w:pPr>
              <w:pStyle w:val="12"/>
              <w:spacing w:line="360" w:lineRule="auto"/>
              <w:ind w:firstLine="0" w:firstLineChars="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梁在重力荷载代表值作用下按简支梁分析的梁端截面剪力标准值；</w:t>
            </w:r>
          </w:p>
        </w:tc>
      </w:tr>
      <w:tr w14:paraId="12C3A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80" w:type="pct"/>
          </w:tcPr>
          <w:p w14:paraId="52B9C036">
            <w:pPr>
              <w:pStyle w:val="12"/>
              <w:spacing w:line="360" w:lineRule="auto"/>
              <w:ind w:firstLine="420"/>
              <w:jc w:val="right"/>
              <w:rPr>
                <w:rFonts w:hint="default" w:ascii="Times New Roman" w:hAnsi="Times New Roman" w:eastAsia="宋体" w:cs="Times New Roman"/>
                <w:color w:val="auto"/>
                <w:sz w:val="24"/>
                <w:szCs w:val="24"/>
              </w:rPr>
            </w:pPr>
            <m:oMath>
              <m:sSub>
                <m:sSubPr>
                  <m:ctrlPr>
                    <w:rPr>
                      <w:rFonts w:hint="default" w:ascii="Cambria Math" w:hAnsi="Cambria Math" w:eastAsia="宋体" w:cs="Times New Roman"/>
                      <w:color w:val="auto"/>
                      <w:sz w:val="24"/>
                      <w:szCs w:val="24"/>
                    </w:rPr>
                  </m:ctrlPr>
                </m:sSubPr>
                <m:e>
                  <m:r>
                    <m:rPr>
                      <m:nor/>
                    </m:rPr>
                    <w:rPr>
                      <w:rFonts w:hint="default" w:ascii="Times New Roman" w:hAnsi="Times New Roman" w:eastAsia="宋体" w:cs="Times New Roman"/>
                      <w:i/>
                      <w:color w:val="auto"/>
                      <w:sz w:val="24"/>
                      <w:szCs w:val="24"/>
                    </w:rPr>
                    <m:t>l</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rPr>
                    <m:t>n</m:t>
                  </m:r>
                  <m:ctrlPr>
                    <w:rPr>
                      <w:rFonts w:hint="default" w:ascii="Cambria Math" w:hAnsi="Cambria Math" w:eastAsia="宋体" w:cs="Times New Roman"/>
                      <w:color w:val="auto"/>
                      <w:sz w:val="24"/>
                      <w:szCs w:val="24"/>
                    </w:rPr>
                  </m:ctrlPr>
                </m:sub>
              </m:sSub>
            </m:oMath>
            <w:r>
              <w:rPr>
                <w:rFonts w:hint="default" w:ascii="Times New Roman" w:hAnsi="Times New Roman" w:eastAsia="宋体" w:cs="Times New Roman"/>
                <w:color w:val="auto"/>
                <w:sz w:val="24"/>
                <w:szCs w:val="24"/>
              </w:rPr>
              <w:t>、</w:t>
            </w:r>
            <m:oMath>
              <m:sSub>
                <m:sSubPr>
                  <m:ctrlPr>
                    <w:rPr>
                      <w:rFonts w:hint="default" w:ascii="Cambria Math" w:hAnsi="Cambria Math" w:eastAsia="宋体" w:cs="Times New Roman"/>
                      <w:color w:val="auto"/>
                      <w:sz w:val="24"/>
                      <w:szCs w:val="24"/>
                    </w:rPr>
                  </m:ctrlPr>
                </m:sSubPr>
                <m:e>
                  <m:r>
                    <m:rPr>
                      <m:nor/>
                    </m:rPr>
                    <w:rPr>
                      <w:rFonts w:hint="default" w:ascii="Times New Roman" w:hAnsi="Times New Roman" w:eastAsia="宋体" w:cs="Times New Roman"/>
                      <w:i/>
                      <w:color w:val="auto"/>
                      <w:sz w:val="24"/>
                      <w:szCs w:val="24"/>
                    </w:rPr>
                    <m:t>H</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rPr>
                    <m:t>n</m:t>
                  </m:r>
                  <m:ctrlPr>
                    <w:rPr>
                      <w:rFonts w:hint="default" w:ascii="Cambria Math" w:hAnsi="Cambria Math" w:eastAsia="宋体" w:cs="Times New Roman"/>
                      <w:color w:val="auto"/>
                      <w:sz w:val="24"/>
                      <w:szCs w:val="24"/>
                    </w:rPr>
                  </m:ctrlPr>
                </m:sub>
              </m:sSub>
            </m:oMath>
          </w:p>
        </w:tc>
        <w:tc>
          <w:tcPr>
            <w:tcW w:w="229" w:type="pct"/>
          </w:tcPr>
          <w:p w14:paraId="2D1066C1">
            <w:pPr>
              <w:pStyle w:val="12"/>
              <w:spacing w:line="360" w:lineRule="auto"/>
              <w:ind w:firstLine="0" w:firstLineChars="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3491" w:type="pct"/>
          </w:tcPr>
          <w:p w14:paraId="25597479">
            <w:pPr>
              <w:pStyle w:val="12"/>
              <w:spacing w:line="360" w:lineRule="auto"/>
              <w:ind w:firstLine="0" w:firstLineChars="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梁的净长、柱或墙的净高。</w:t>
            </w:r>
          </w:p>
        </w:tc>
      </w:tr>
    </w:tbl>
    <w:p w14:paraId="3412435A">
      <w:pPr>
        <w:pStyle w:val="12"/>
        <w:spacing w:line="360" w:lineRule="auto"/>
        <w:ind w:firstLine="422"/>
        <w:rPr>
          <w:rFonts w:hint="default" w:ascii="Times New Roman" w:hAnsi="Times New Roman" w:eastAsia="宋体" w:cs="Times New Roman"/>
          <w:color w:val="auto"/>
          <w:sz w:val="24"/>
          <w:szCs w:val="24"/>
          <w:lang w:eastAsia="zh-CN"/>
        </w:rPr>
      </w:pPr>
      <w:bookmarkStart w:id="240" w:name="_Toc15810"/>
      <w:r>
        <w:rPr>
          <w:rFonts w:hint="default" w:ascii="Times New Roman" w:hAnsi="Times New Roman" w:eastAsia="宋体" w:cs="Times New Roman"/>
          <w:b/>
          <w:snapToGrid/>
          <w:color w:val="auto"/>
          <w:kern w:val="2"/>
          <w:sz w:val="24"/>
          <w:szCs w:val="24"/>
          <w:lang w:eastAsia="zh-CN"/>
        </w:rPr>
        <w:t>2</w:t>
      </w:r>
      <w:r>
        <w:rPr>
          <w:rFonts w:hint="default" w:ascii="Times New Roman" w:hAnsi="Times New Roman" w:eastAsia="宋体" w:cs="Times New Roman"/>
          <w:color w:val="auto"/>
          <w:sz w:val="24"/>
          <w:szCs w:val="24"/>
          <w:lang w:eastAsia="zh-CN"/>
        </w:rPr>
        <w:t xml:space="preserve"> 钢筋混凝土构件的最小受剪截面验算应符合下列要求：</w:t>
      </w:r>
      <w:bookmarkEnd w:id="240"/>
    </w:p>
    <w:p w14:paraId="0AE6F950">
      <w:pPr>
        <w:pStyle w:val="12"/>
        <w:spacing w:line="360" w:lineRule="auto"/>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跨高比大于2.5的梁及剪跨比大于2的柱，</w:t>
      </w:r>
    </w:p>
    <w:p w14:paraId="3B0B90B7">
      <w:pPr>
        <w:pStyle w:val="12"/>
        <w:spacing w:line="360" w:lineRule="auto"/>
        <w:ind w:firstLine="420"/>
        <w:jc w:val="right"/>
        <w:rPr>
          <w:rFonts w:hint="default" w:ascii="Times New Roman" w:hAnsi="Times New Roman" w:eastAsia="宋体" w:cs="Times New Roman"/>
          <w:color w:val="auto"/>
          <w:sz w:val="24"/>
          <w:szCs w:val="24"/>
        </w:rPr>
      </w:pPr>
      <w:r>
        <w:rPr>
          <w:rFonts w:hint="default" w:ascii="Times New Roman" w:hAnsi="Times New Roman" w:eastAsia="宋体" w:cs="Times New Roman"/>
          <w:i/>
          <w:color w:val="auto"/>
          <w:sz w:val="24"/>
          <w:szCs w:val="24"/>
        </w:rPr>
        <w:t>V</w:t>
      </w:r>
      <w:r>
        <w:rPr>
          <w:rFonts w:hint="default" w:ascii="Times New Roman" w:hAnsi="Times New Roman" w:eastAsia="宋体" w:cs="Times New Roman"/>
          <w:color w:val="auto"/>
          <w:sz w:val="24"/>
          <w:szCs w:val="24"/>
        </w:rPr>
        <w:t>≤0.2</w:t>
      </w:r>
      <m:oMath>
        <m:sSub>
          <m:sSubPr>
            <m:ctrlPr>
              <w:rPr>
                <w:rFonts w:hint="default" w:ascii="Cambria Math" w:hAnsi="Cambria Math" w:eastAsia="宋体" w:cs="Times New Roman"/>
                <w:color w:val="auto"/>
                <w:sz w:val="24"/>
                <w:szCs w:val="24"/>
              </w:rPr>
            </m:ctrlPr>
          </m:sSubPr>
          <m:e>
            <m:r>
              <m:rPr>
                <m:nor/>
              </m:rPr>
              <w:rPr>
                <w:rFonts w:hint="default" w:ascii="Times New Roman" w:hAnsi="Times New Roman" w:eastAsia="宋体" w:cs="Times New Roman"/>
                <w:i/>
                <w:color w:val="auto"/>
                <w:sz w:val="24"/>
                <w:szCs w:val="24"/>
              </w:rPr>
              <m:t>β</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rPr>
              <m:t>c</m:t>
            </m:r>
            <m:ctrlPr>
              <w:rPr>
                <w:rFonts w:hint="default" w:ascii="Cambria Math" w:hAnsi="Cambria Math" w:eastAsia="宋体" w:cs="Times New Roman"/>
                <w:color w:val="auto"/>
                <w:sz w:val="24"/>
                <w:szCs w:val="24"/>
              </w:rPr>
            </m:ctrlPr>
          </m:sub>
        </m:sSub>
        <m:sSub>
          <m:sSubPr>
            <m:ctrlPr>
              <w:rPr>
                <w:rFonts w:hint="default" w:ascii="Cambria Math" w:hAnsi="Cambria Math" w:eastAsia="宋体" w:cs="Times New Roman"/>
                <w:color w:val="auto"/>
                <w:sz w:val="24"/>
                <w:szCs w:val="24"/>
              </w:rPr>
            </m:ctrlPr>
          </m:sSubPr>
          <m:e>
            <m:r>
              <m:rPr>
                <m:nor/>
              </m:rPr>
              <w:rPr>
                <w:rFonts w:hint="default" w:ascii="Times New Roman" w:hAnsi="Times New Roman" w:eastAsia="宋体" w:cs="Times New Roman"/>
                <w:i/>
                <w:color w:val="auto"/>
                <w:sz w:val="24"/>
                <w:szCs w:val="24"/>
              </w:rPr>
              <m:t>f</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rPr>
              <m:t>ck</m:t>
            </m:r>
            <m:ctrlPr>
              <w:rPr>
                <w:rFonts w:hint="default" w:ascii="Cambria Math" w:hAnsi="Cambria Math" w:eastAsia="宋体" w:cs="Times New Roman"/>
                <w:color w:val="auto"/>
                <w:sz w:val="24"/>
                <w:szCs w:val="24"/>
              </w:rPr>
            </m:ctrlPr>
          </m:sub>
        </m:sSub>
        <m:sSub>
          <m:sSubPr>
            <m:ctrlPr>
              <w:rPr>
                <w:rFonts w:hint="default" w:ascii="Cambria Math" w:hAnsi="Cambria Math" w:eastAsia="宋体" w:cs="Times New Roman"/>
                <w:color w:val="auto"/>
                <w:sz w:val="24"/>
                <w:szCs w:val="24"/>
              </w:rPr>
            </m:ctrlPr>
          </m:sSubPr>
          <m:e>
            <m:r>
              <m:rPr>
                <m:nor/>
              </m:rPr>
              <w:rPr>
                <w:rFonts w:hint="default" w:ascii="Times New Roman" w:hAnsi="Times New Roman" w:eastAsia="宋体" w:cs="Times New Roman"/>
                <w:i/>
                <w:color w:val="auto"/>
                <w:sz w:val="24"/>
                <w:szCs w:val="24"/>
              </w:rPr>
              <m:t>b</m:t>
            </m:r>
            <m:r>
              <m:rPr>
                <m:nor/>
                <m:sty m:val="p"/>
              </m:rPr>
              <w:rPr>
                <w:rFonts w:hint="default" w:ascii="Times New Roman" w:hAnsi="Times New Roman" w:eastAsia="宋体" w:cs="Times New Roman"/>
                <w:b w:val="0"/>
                <w:i w:val="0"/>
                <w:color w:val="auto"/>
                <w:sz w:val="24"/>
                <w:szCs w:val="24"/>
              </w:rPr>
              <m:t>ℎ</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rPr>
              <m:t>0</m:t>
            </m:r>
            <m:ctrlPr>
              <w:rPr>
                <w:rFonts w:hint="default" w:ascii="Cambria Math" w:hAnsi="Cambria Math" w:eastAsia="宋体" w:cs="Times New Roman"/>
                <w:color w:val="auto"/>
                <w:sz w:val="24"/>
                <w:szCs w:val="24"/>
              </w:rPr>
            </m:ctrlPr>
          </m:sub>
        </m:sSub>
      </m:oMath>
      <w:r>
        <w:rPr>
          <w:rFonts w:hint="default" w:ascii="Times New Roman" w:hAnsi="Times New Roman" w:eastAsia="宋体" w:cs="Times New Roman"/>
          <w:color w:val="auto"/>
          <w:sz w:val="24"/>
          <w:szCs w:val="24"/>
        </w:rPr>
        <w:t xml:space="preserve">                       （9.4.11-3）</w:t>
      </w:r>
    </w:p>
    <w:p w14:paraId="413FE55D">
      <w:pPr>
        <w:pStyle w:val="12"/>
        <w:spacing w:line="360" w:lineRule="auto"/>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跨高比不大于2.5的梁及剪跨比不大于2的柱，</w:t>
      </w:r>
    </w:p>
    <w:p w14:paraId="132A181D">
      <w:pPr>
        <w:pStyle w:val="12"/>
        <w:spacing w:line="360" w:lineRule="auto"/>
        <w:ind w:firstLine="420"/>
        <w:jc w:val="right"/>
        <w:rPr>
          <w:rFonts w:hint="default" w:ascii="Times New Roman" w:hAnsi="Times New Roman" w:eastAsia="宋体" w:cs="Times New Roman"/>
          <w:color w:val="auto"/>
          <w:sz w:val="24"/>
          <w:szCs w:val="24"/>
        </w:rPr>
      </w:pPr>
      <w:r>
        <w:rPr>
          <w:rFonts w:hint="default" w:ascii="Times New Roman" w:hAnsi="Times New Roman" w:eastAsia="宋体" w:cs="Times New Roman"/>
          <w:i/>
          <w:color w:val="auto"/>
          <w:sz w:val="24"/>
          <w:szCs w:val="24"/>
        </w:rPr>
        <w:t>V</w:t>
      </w:r>
      <w:r>
        <w:rPr>
          <w:rFonts w:hint="default" w:ascii="Times New Roman" w:hAnsi="Times New Roman" w:eastAsia="宋体" w:cs="Times New Roman"/>
          <w:color w:val="auto"/>
          <w:sz w:val="24"/>
          <w:szCs w:val="24"/>
        </w:rPr>
        <w:t>≤0.15</w:t>
      </w:r>
      <m:oMath>
        <m:sSub>
          <m:sSubPr>
            <m:ctrlPr>
              <w:rPr>
                <w:rFonts w:hint="default" w:ascii="Cambria Math" w:hAnsi="Cambria Math" w:eastAsia="宋体" w:cs="Times New Roman"/>
                <w:color w:val="auto"/>
                <w:sz w:val="24"/>
                <w:szCs w:val="24"/>
              </w:rPr>
            </m:ctrlPr>
          </m:sSubPr>
          <m:e>
            <m:r>
              <m:rPr>
                <m:nor/>
              </m:rPr>
              <w:rPr>
                <w:rFonts w:hint="default" w:ascii="Times New Roman" w:hAnsi="Times New Roman" w:eastAsia="宋体" w:cs="Times New Roman"/>
                <w:i/>
                <w:color w:val="auto"/>
                <w:sz w:val="24"/>
                <w:szCs w:val="24"/>
              </w:rPr>
              <m:t>β</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rPr>
              <m:t>c</m:t>
            </m:r>
            <m:ctrlPr>
              <w:rPr>
                <w:rFonts w:hint="default" w:ascii="Cambria Math" w:hAnsi="Cambria Math" w:eastAsia="宋体" w:cs="Times New Roman"/>
                <w:color w:val="auto"/>
                <w:sz w:val="24"/>
                <w:szCs w:val="24"/>
              </w:rPr>
            </m:ctrlPr>
          </m:sub>
        </m:sSub>
        <m:sSub>
          <m:sSubPr>
            <m:ctrlPr>
              <w:rPr>
                <w:rFonts w:hint="default" w:ascii="Cambria Math" w:hAnsi="Cambria Math" w:eastAsia="宋体" w:cs="Times New Roman"/>
                <w:color w:val="auto"/>
                <w:sz w:val="24"/>
                <w:szCs w:val="24"/>
              </w:rPr>
            </m:ctrlPr>
          </m:sSubPr>
          <m:e>
            <m:r>
              <m:rPr>
                <m:nor/>
              </m:rPr>
              <w:rPr>
                <w:rFonts w:hint="default" w:ascii="Times New Roman" w:hAnsi="Times New Roman" w:eastAsia="宋体" w:cs="Times New Roman"/>
                <w:i/>
                <w:color w:val="auto"/>
                <w:sz w:val="24"/>
                <w:szCs w:val="24"/>
              </w:rPr>
              <m:t>f</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rPr>
              <m:t>ck</m:t>
            </m:r>
            <m:ctrlPr>
              <w:rPr>
                <w:rFonts w:hint="default" w:ascii="Cambria Math" w:hAnsi="Cambria Math" w:eastAsia="宋体" w:cs="Times New Roman"/>
                <w:color w:val="auto"/>
                <w:sz w:val="24"/>
                <w:szCs w:val="24"/>
              </w:rPr>
            </m:ctrlPr>
          </m:sub>
        </m:sSub>
        <m:sSub>
          <m:sSubPr>
            <m:ctrlPr>
              <w:rPr>
                <w:rFonts w:hint="default" w:ascii="Cambria Math" w:hAnsi="Cambria Math" w:eastAsia="宋体" w:cs="Times New Roman"/>
                <w:color w:val="auto"/>
                <w:sz w:val="24"/>
                <w:szCs w:val="24"/>
              </w:rPr>
            </m:ctrlPr>
          </m:sSubPr>
          <m:e>
            <m:r>
              <m:rPr>
                <m:nor/>
              </m:rPr>
              <w:rPr>
                <w:rFonts w:hint="default" w:ascii="Times New Roman" w:hAnsi="Times New Roman" w:eastAsia="宋体" w:cs="Times New Roman"/>
                <w:i/>
                <w:color w:val="auto"/>
                <w:sz w:val="24"/>
                <w:szCs w:val="24"/>
              </w:rPr>
              <m:t>b</m:t>
            </m:r>
            <m:r>
              <m:rPr>
                <m:nor/>
                <m:sty m:val="p"/>
              </m:rPr>
              <w:rPr>
                <w:rFonts w:hint="default" w:ascii="Times New Roman" w:hAnsi="Times New Roman" w:eastAsia="宋体" w:cs="Times New Roman"/>
                <w:b w:val="0"/>
                <w:i w:val="0"/>
                <w:color w:val="auto"/>
                <w:sz w:val="24"/>
                <w:szCs w:val="24"/>
              </w:rPr>
              <m:t>ℎ</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rPr>
              <m:t>0</m:t>
            </m:r>
            <m:ctrlPr>
              <w:rPr>
                <w:rFonts w:hint="default" w:ascii="Cambria Math" w:hAnsi="Cambria Math" w:eastAsia="宋体" w:cs="Times New Roman"/>
                <w:color w:val="auto"/>
                <w:sz w:val="24"/>
                <w:szCs w:val="24"/>
              </w:rPr>
            </m:ctrlPr>
          </m:sub>
        </m:sSub>
      </m:oMath>
      <w:r>
        <w:rPr>
          <w:rFonts w:hint="default" w:ascii="Times New Roman" w:hAnsi="Times New Roman" w:eastAsia="宋体" w:cs="Times New Roman"/>
          <w:color w:val="auto"/>
          <w:sz w:val="24"/>
          <w:szCs w:val="24"/>
        </w:rPr>
        <w:t xml:space="preserve">                      （9.4.11-4）</w:t>
      </w:r>
    </w:p>
    <w:p w14:paraId="79C4F5DE">
      <w:pPr>
        <w:pStyle w:val="12"/>
        <w:spacing w:line="360" w:lineRule="auto"/>
        <w:ind w:firstLine="422"/>
        <w:rPr>
          <w:rFonts w:hint="default" w:ascii="Times New Roman" w:hAnsi="Times New Roman" w:eastAsia="宋体" w:cs="Times New Roman"/>
          <w:color w:val="auto"/>
          <w:sz w:val="24"/>
          <w:szCs w:val="24"/>
          <w:lang w:eastAsia="zh-CN"/>
        </w:rPr>
      </w:pPr>
      <w:bookmarkStart w:id="241" w:name="_Toc25925"/>
      <w:r>
        <w:rPr>
          <w:rFonts w:hint="default" w:ascii="Times New Roman" w:hAnsi="Times New Roman" w:eastAsia="宋体" w:cs="Times New Roman"/>
          <w:b/>
          <w:snapToGrid/>
          <w:color w:val="auto"/>
          <w:kern w:val="2"/>
          <w:sz w:val="24"/>
          <w:szCs w:val="24"/>
          <w:lang w:eastAsia="zh-CN"/>
        </w:rPr>
        <w:t>3</w:t>
      </w:r>
      <w:r>
        <w:rPr>
          <w:rFonts w:hint="default" w:ascii="Times New Roman" w:hAnsi="Times New Roman" w:eastAsia="宋体" w:cs="Times New Roman"/>
          <w:color w:val="auto"/>
          <w:sz w:val="24"/>
          <w:szCs w:val="24"/>
          <w:lang w:eastAsia="zh-CN"/>
        </w:rPr>
        <w:t xml:space="preserve"> 型钢混凝土构件的最小受剪截面验算应符合下列要求：</w:t>
      </w:r>
      <w:bookmarkEnd w:id="241"/>
    </w:p>
    <w:p w14:paraId="24F5BB89">
      <w:pPr>
        <w:pStyle w:val="12"/>
        <w:spacing w:line="360" w:lineRule="auto"/>
        <w:ind w:firstLine="420"/>
        <w:jc w:val="right"/>
        <w:rPr>
          <w:rFonts w:hint="default" w:ascii="Times New Roman" w:hAnsi="Times New Roman" w:eastAsia="宋体" w:cs="Times New Roman"/>
          <w:color w:val="auto"/>
          <w:sz w:val="24"/>
          <w:szCs w:val="24"/>
        </w:rPr>
      </w:pPr>
      <w:r>
        <w:rPr>
          <w:rFonts w:hint="default" w:ascii="Times New Roman" w:hAnsi="Times New Roman" w:eastAsia="宋体" w:cs="Times New Roman"/>
          <w:i/>
          <w:color w:val="auto"/>
          <w:sz w:val="24"/>
          <w:szCs w:val="24"/>
        </w:rPr>
        <w:t>V</w:t>
      </w:r>
      <w:r>
        <w:rPr>
          <w:rFonts w:hint="default" w:ascii="Times New Roman" w:hAnsi="Times New Roman" w:eastAsia="宋体" w:cs="Times New Roman"/>
          <w:color w:val="auto"/>
          <w:sz w:val="24"/>
          <w:szCs w:val="24"/>
        </w:rPr>
        <w:t>≤0.36</w:t>
      </w:r>
      <m:oMath>
        <m:sSub>
          <m:sSubPr>
            <m:ctrlPr>
              <w:rPr>
                <w:rFonts w:hint="default" w:ascii="Cambria Math" w:hAnsi="Cambria Math" w:eastAsia="宋体" w:cs="Times New Roman"/>
                <w:color w:val="auto"/>
                <w:sz w:val="24"/>
                <w:szCs w:val="24"/>
              </w:rPr>
            </m:ctrlPr>
          </m:sSubPr>
          <m:e>
            <m:r>
              <m:rPr>
                <m:nor/>
              </m:rPr>
              <w:rPr>
                <w:rFonts w:hint="default" w:ascii="Times New Roman" w:hAnsi="Times New Roman" w:eastAsia="宋体" w:cs="Times New Roman"/>
                <w:i/>
                <w:color w:val="auto"/>
                <w:sz w:val="24"/>
                <w:szCs w:val="24"/>
              </w:rPr>
              <m:t>β</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rPr>
              <m:t>c</m:t>
            </m:r>
            <m:ctrlPr>
              <w:rPr>
                <w:rFonts w:hint="default" w:ascii="Cambria Math" w:hAnsi="Cambria Math" w:eastAsia="宋体" w:cs="Times New Roman"/>
                <w:color w:val="auto"/>
                <w:sz w:val="24"/>
                <w:szCs w:val="24"/>
              </w:rPr>
            </m:ctrlPr>
          </m:sub>
        </m:sSub>
        <m:sSub>
          <m:sSubPr>
            <m:ctrlPr>
              <w:rPr>
                <w:rFonts w:hint="default" w:ascii="Cambria Math" w:hAnsi="Cambria Math" w:eastAsia="宋体" w:cs="Times New Roman"/>
                <w:color w:val="auto"/>
                <w:sz w:val="24"/>
                <w:szCs w:val="24"/>
              </w:rPr>
            </m:ctrlPr>
          </m:sSubPr>
          <m:e>
            <m:r>
              <m:rPr>
                <m:nor/>
              </m:rPr>
              <w:rPr>
                <w:rFonts w:hint="default" w:ascii="Times New Roman" w:hAnsi="Times New Roman" w:eastAsia="宋体" w:cs="Times New Roman"/>
                <w:i/>
                <w:color w:val="auto"/>
                <w:sz w:val="24"/>
                <w:szCs w:val="24"/>
              </w:rPr>
              <m:t>f</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rPr>
              <m:t>ck</m:t>
            </m:r>
            <m:ctrlPr>
              <w:rPr>
                <w:rFonts w:hint="default" w:ascii="Cambria Math" w:hAnsi="Cambria Math" w:eastAsia="宋体" w:cs="Times New Roman"/>
                <w:color w:val="auto"/>
                <w:sz w:val="24"/>
                <w:szCs w:val="24"/>
              </w:rPr>
            </m:ctrlPr>
          </m:sub>
        </m:sSub>
        <m:sSub>
          <m:sSubPr>
            <m:ctrlPr>
              <w:rPr>
                <w:rFonts w:hint="default" w:ascii="Cambria Math" w:hAnsi="Cambria Math" w:eastAsia="宋体" w:cs="Times New Roman"/>
                <w:color w:val="auto"/>
                <w:sz w:val="24"/>
                <w:szCs w:val="24"/>
              </w:rPr>
            </m:ctrlPr>
          </m:sSubPr>
          <m:e>
            <m:r>
              <m:rPr>
                <m:nor/>
              </m:rPr>
              <w:rPr>
                <w:rFonts w:hint="default" w:ascii="Times New Roman" w:hAnsi="Times New Roman" w:eastAsia="宋体" w:cs="Times New Roman"/>
                <w:i/>
                <w:color w:val="auto"/>
                <w:sz w:val="24"/>
                <w:szCs w:val="24"/>
              </w:rPr>
              <m:t>b</m:t>
            </m:r>
            <m:r>
              <m:rPr>
                <m:nor/>
                <m:sty m:val="p"/>
              </m:rPr>
              <w:rPr>
                <w:rFonts w:hint="default" w:ascii="Times New Roman" w:hAnsi="Times New Roman" w:eastAsia="宋体" w:cs="Times New Roman"/>
                <w:b w:val="0"/>
                <w:i w:val="0"/>
                <w:color w:val="auto"/>
                <w:sz w:val="24"/>
                <w:szCs w:val="24"/>
              </w:rPr>
              <m:t>ℎ</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rPr>
              <m:t>0</m:t>
            </m:r>
            <m:ctrlPr>
              <w:rPr>
                <w:rFonts w:hint="default" w:ascii="Cambria Math" w:hAnsi="Cambria Math" w:eastAsia="宋体" w:cs="Times New Roman"/>
                <w:color w:val="auto"/>
                <w:sz w:val="24"/>
                <w:szCs w:val="24"/>
              </w:rPr>
            </m:ctrlPr>
          </m:sub>
        </m:sSub>
      </m:oMath>
      <w:r>
        <w:rPr>
          <w:rFonts w:hint="default" w:ascii="Times New Roman" w:hAnsi="Times New Roman" w:eastAsia="宋体" w:cs="Times New Roman"/>
          <w:color w:val="auto"/>
          <w:sz w:val="24"/>
          <w:szCs w:val="24"/>
        </w:rPr>
        <w:t xml:space="preserve">                      （9.4.11-5）</w:t>
      </w:r>
    </w:p>
    <w:p w14:paraId="5155CDB2">
      <w:pPr>
        <w:pStyle w:val="12"/>
        <w:spacing w:line="360" w:lineRule="auto"/>
        <w:ind w:firstLine="422"/>
        <w:rPr>
          <w:rFonts w:hint="default" w:ascii="Times New Roman" w:hAnsi="Times New Roman" w:eastAsia="宋体" w:cs="Times New Roman"/>
          <w:color w:val="auto"/>
          <w:sz w:val="24"/>
          <w:szCs w:val="24"/>
          <w:lang w:eastAsia="zh-CN"/>
        </w:rPr>
      </w:pPr>
      <w:bookmarkStart w:id="242" w:name="_Toc16504"/>
      <w:r>
        <w:rPr>
          <w:rFonts w:hint="default" w:ascii="Times New Roman" w:hAnsi="Times New Roman" w:eastAsia="宋体" w:cs="Times New Roman"/>
          <w:b/>
          <w:snapToGrid/>
          <w:color w:val="auto"/>
          <w:kern w:val="2"/>
          <w:sz w:val="24"/>
          <w:szCs w:val="24"/>
          <w:lang w:eastAsia="zh-CN"/>
        </w:rPr>
        <w:t>4</w:t>
      </w:r>
      <w:r>
        <w:rPr>
          <w:rFonts w:hint="default" w:ascii="Times New Roman" w:hAnsi="Times New Roman" w:eastAsia="宋体" w:cs="Times New Roman"/>
          <w:color w:val="auto"/>
          <w:sz w:val="24"/>
          <w:szCs w:val="24"/>
          <w:lang w:eastAsia="zh-CN"/>
        </w:rPr>
        <w:t xml:space="preserve"> 钢-混凝土组合剪力墙的最小受剪截面验算应符合</w:t>
      </w:r>
      <w:r>
        <w:rPr>
          <w:rFonts w:hint="default" w:ascii="Times New Roman" w:hAnsi="Times New Roman" w:eastAsia="宋体" w:cs="Times New Roman"/>
          <w:color w:val="auto"/>
          <w:sz w:val="24"/>
          <w:szCs w:val="24"/>
          <w:lang w:val="en-US" w:eastAsia="zh-CN"/>
        </w:rPr>
        <w:t>下列</w:t>
      </w:r>
      <w:r>
        <w:rPr>
          <w:rFonts w:hint="default" w:ascii="Times New Roman" w:hAnsi="Times New Roman" w:eastAsia="宋体" w:cs="Times New Roman"/>
          <w:color w:val="auto"/>
          <w:sz w:val="24"/>
          <w:szCs w:val="24"/>
          <w:lang w:eastAsia="zh-CN"/>
        </w:rPr>
        <w:t>要求：</w:t>
      </w:r>
      <w:bookmarkEnd w:id="242"/>
    </w:p>
    <w:p w14:paraId="66AF8D9A">
      <w:pPr>
        <w:pStyle w:val="12"/>
        <w:spacing w:line="360" w:lineRule="auto"/>
        <w:ind w:firstLine="42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跨高比大于2.5时，</w:t>
      </w:r>
    </w:p>
    <w:p w14:paraId="246D3812">
      <w:pPr>
        <w:pStyle w:val="12"/>
        <w:spacing w:line="360" w:lineRule="auto"/>
        <w:ind w:firstLine="420"/>
        <w:jc w:val="right"/>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i/>
          <w:color w:val="auto"/>
          <w:sz w:val="24"/>
          <w:szCs w:val="24"/>
          <w:lang w:eastAsia="zh-CN"/>
        </w:rPr>
        <w:t>V</w:t>
      </w:r>
      <w:r>
        <w:rPr>
          <w:rFonts w:hint="default" w:ascii="Times New Roman" w:hAnsi="Times New Roman" w:eastAsia="宋体" w:cs="Times New Roman"/>
          <w:color w:val="auto"/>
          <w:sz w:val="24"/>
          <w:szCs w:val="24"/>
          <w:lang w:eastAsia="zh-CN"/>
        </w:rPr>
        <w:t>-0.5（</w:t>
      </w:r>
      <m:oMath>
        <m:sSub>
          <m:sSubPr>
            <m:ctrlPr>
              <w:rPr>
                <w:rFonts w:hint="default" w:ascii="Cambria Math" w:hAnsi="Cambria Math" w:eastAsia="宋体" w:cs="Times New Roman"/>
                <w:color w:val="auto"/>
                <w:sz w:val="24"/>
                <w:szCs w:val="24"/>
              </w:rPr>
            </m:ctrlPr>
          </m:sSubPr>
          <m:e>
            <m:r>
              <m:rPr>
                <m:nor/>
              </m:rPr>
              <w:rPr>
                <w:rFonts w:hint="default" w:ascii="Times New Roman" w:hAnsi="Times New Roman" w:eastAsia="宋体" w:cs="Times New Roman"/>
                <w:i/>
                <w:color w:val="auto"/>
                <w:sz w:val="24"/>
                <w:szCs w:val="24"/>
                <w:lang w:eastAsia="zh-CN"/>
              </w:rPr>
              <m:t>f</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lang w:eastAsia="zh-CN"/>
              </w:rPr>
              <m:t>ak</m:t>
            </m:r>
            <m:ctrlPr>
              <w:rPr>
                <w:rFonts w:hint="default" w:ascii="Cambria Math" w:hAnsi="Cambria Math" w:eastAsia="宋体" w:cs="Times New Roman"/>
                <w:color w:val="auto"/>
                <w:sz w:val="24"/>
                <w:szCs w:val="24"/>
              </w:rPr>
            </m:ctrlPr>
          </m:sub>
        </m:sSub>
        <m:sSub>
          <m:sSubPr>
            <m:ctrlPr>
              <w:rPr>
                <w:rFonts w:hint="default" w:ascii="Cambria Math" w:hAnsi="Cambria Math" w:eastAsia="宋体" w:cs="Times New Roman"/>
                <w:color w:val="auto"/>
                <w:sz w:val="24"/>
                <w:szCs w:val="24"/>
              </w:rPr>
            </m:ctrlPr>
          </m:sSubPr>
          <m:e>
            <m:r>
              <m:rPr>
                <m:nor/>
              </m:rPr>
              <w:rPr>
                <w:rFonts w:hint="default" w:ascii="Times New Roman" w:hAnsi="Times New Roman" w:eastAsia="宋体" w:cs="Times New Roman"/>
                <w:i/>
                <w:color w:val="auto"/>
                <w:sz w:val="24"/>
                <w:szCs w:val="24"/>
                <w:lang w:eastAsia="zh-CN"/>
              </w:rPr>
              <m:t>A</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lang w:eastAsia="zh-CN"/>
              </w:rPr>
              <m:t>a</m:t>
            </m:r>
            <m:ctrlPr>
              <w:rPr>
                <w:rFonts w:hint="default" w:ascii="Cambria Math" w:hAnsi="Cambria Math" w:eastAsia="宋体" w:cs="Times New Roman"/>
                <w:color w:val="auto"/>
                <w:sz w:val="24"/>
                <w:szCs w:val="24"/>
              </w:rPr>
            </m:ctrlPr>
          </m:sub>
        </m:sSub>
        <m:r>
          <m:rPr>
            <m:nor/>
            <m:sty m:val="p"/>
          </m:rPr>
          <w:rPr>
            <w:rFonts w:hint="default" w:ascii="Times New Roman" w:hAnsi="Times New Roman" w:eastAsia="宋体" w:cs="Times New Roman"/>
            <w:b w:val="0"/>
            <w:i w:val="0"/>
            <w:color w:val="auto"/>
            <w:sz w:val="24"/>
            <w:szCs w:val="24"/>
            <w:lang w:eastAsia="zh-CN"/>
          </w:rPr>
          <m:t>+</m:t>
        </m:r>
        <m:sSub>
          <m:sSubPr>
            <m:ctrlPr>
              <w:rPr>
                <w:rFonts w:hint="default" w:ascii="Cambria Math" w:hAnsi="Cambria Math" w:eastAsia="宋体" w:cs="Times New Roman"/>
                <w:color w:val="auto"/>
                <w:sz w:val="24"/>
                <w:szCs w:val="24"/>
              </w:rPr>
            </m:ctrlPr>
          </m:sSubPr>
          <m:e>
            <m:r>
              <m:rPr>
                <m:nor/>
              </m:rPr>
              <w:rPr>
                <w:rFonts w:hint="default" w:ascii="Times New Roman" w:hAnsi="Times New Roman" w:eastAsia="宋体" w:cs="Times New Roman"/>
                <w:i/>
                <w:color w:val="auto"/>
                <w:sz w:val="24"/>
                <w:szCs w:val="24"/>
                <w:lang w:eastAsia="zh-CN"/>
              </w:rPr>
              <m:t>f</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lang w:eastAsia="zh-CN"/>
              </w:rPr>
              <m:t>spk</m:t>
            </m:r>
            <m:ctrlPr>
              <w:rPr>
                <w:rFonts w:hint="default" w:ascii="Cambria Math" w:hAnsi="Cambria Math" w:eastAsia="宋体" w:cs="Times New Roman"/>
                <w:color w:val="auto"/>
                <w:sz w:val="24"/>
                <w:szCs w:val="24"/>
              </w:rPr>
            </m:ctrlPr>
          </m:sub>
        </m:sSub>
        <m:sSub>
          <m:sSubPr>
            <m:ctrlPr>
              <w:rPr>
                <w:rFonts w:hint="default" w:ascii="Cambria Math" w:hAnsi="Cambria Math" w:eastAsia="宋体" w:cs="Times New Roman"/>
                <w:color w:val="auto"/>
                <w:sz w:val="24"/>
                <w:szCs w:val="24"/>
              </w:rPr>
            </m:ctrlPr>
          </m:sSubPr>
          <m:e>
            <m:r>
              <m:rPr>
                <m:nor/>
              </m:rPr>
              <w:rPr>
                <w:rFonts w:hint="default" w:ascii="Times New Roman" w:hAnsi="Times New Roman" w:eastAsia="宋体" w:cs="Times New Roman"/>
                <w:i/>
                <w:color w:val="auto"/>
                <w:sz w:val="24"/>
                <w:szCs w:val="24"/>
                <w:lang w:eastAsia="zh-CN"/>
              </w:rPr>
              <m:t>A</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lang w:eastAsia="zh-CN"/>
              </w:rPr>
              <m:t>sp</m:t>
            </m:r>
            <m:ctrlPr>
              <w:rPr>
                <w:rFonts w:hint="default" w:ascii="Cambria Math" w:hAnsi="Cambria Math" w:eastAsia="宋体" w:cs="Times New Roman"/>
                <w:color w:val="auto"/>
                <w:sz w:val="24"/>
                <w:szCs w:val="24"/>
              </w:rPr>
            </m:ctrlPr>
          </m:sub>
        </m:sSub>
      </m:oMath>
      <w:r>
        <w:rPr>
          <w:rFonts w:hint="default" w:ascii="Times New Roman" w:hAnsi="Times New Roman" w:eastAsia="宋体" w:cs="Times New Roman"/>
          <w:color w:val="auto"/>
          <w:sz w:val="24"/>
          <w:szCs w:val="24"/>
          <w:lang w:eastAsia="zh-CN"/>
        </w:rPr>
        <w:t>）≤0.2</w:t>
      </w:r>
      <m:oMath>
        <m:sSub>
          <m:sSubPr>
            <m:ctrlPr>
              <w:rPr>
                <w:rFonts w:hint="default" w:ascii="Cambria Math" w:hAnsi="Cambria Math" w:eastAsia="宋体" w:cs="Times New Roman"/>
                <w:color w:val="auto"/>
                <w:sz w:val="24"/>
                <w:szCs w:val="24"/>
              </w:rPr>
            </m:ctrlPr>
          </m:sSubPr>
          <m:e>
            <m:r>
              <m:rPr>
                <m:nor/>
              </m:rPr>
              <w:rPr>
                <w:rFonts w:hint="default" w:ascii="Times New Roman" w:hAnsi="Times New Roman" w:eastAsia="宋体" w:cs="Times New Roman"/>
                <w:i/>
                <w:color w:val="auto"/>
                <w:sz w:val="24"/>
                <w:szCs w:val="24"/>
                <w:lang w:eastAsia="zh-CN"/>
              </w:rPr>
              <m:t>f</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lang w:eastAsia="zh-CN"/>
              </w:rPr>
              <m:t>ck</m:t>
            </m:r>
            <m:ctrlPr>
              <w:rPr>
                <w:rFonts w:hint="default" w:ascii="Cambria Math" w:hAnsi="Cambria Math" w:eastAsia="宋体" w:cs="Times New Roman"/>
                <w:color w:val="auto"/>
                <w:sz w:val="24"/>
                <w:szCs w:val="24"/>
              </w:rPr>
            </m:ctrlPr>
          </m:sub>
        </m:sSub>
        <m:sSub>
          <m:sSubPr>
            <m:ctrlPr>
              <w:rPr>
                <w:rFonts w:hint="default" w:ascii="Cambria Math" w:hAnsi="Cambria Math" w:eastAsia="宋体" w:cs="Times New Roman"/>
                <w:color w:val="auto"/>
                <w:sz w:val="24"/>
                <w:szCs w:val="24"/>
              </w:rPr>
            </m:ctrlPr>
          </m:sSubPr>
          <m:e>
            <m:r>
              <m:rPr>
                <m:nor/>
              </m:rPr>
              <w:rPr>
                <w:rFonts w:hint="default" w:ascii="Times New Roman" w:hAnsi="Times New Roman" w:eastAsia="宋体" w:cs="Times New Roman"/>
                <w:i/>
                <w:color w:val="auto"/>
                <w:sz w:val="24"/>
                <w:szCs w:val="24"/>
                <w:lang w:eastAsia="zh-CN"/>
              </w:rPr>
              <m:t>b</m:t>
            </m:r>
            <m:r>
              <m:rPr>
                <m:nor/>
                <m:sty m:val="p"/>
              </m:rPr>
              <w:rPr>
                <w:rFonts w:hint="default" w:ascii="Times New Roman" w:hAnsi="Times New Roman" w:eastAsia="宋体" w:cs="Times New Roman"/>
                <w:b w:val="0"/>
                <w:i w:val="0"/>
                <w:color w:val="auto"/>
                <w:sz w:val="24"/>
                <w:szCs w:val="24"/>
                <w:lang w:eastAsia="zh-CN"/>
              </w:rPr>
              <m:t>ℎ</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lang w:eastAsia="zh-CN"/>
              </w:rPr>
              <m:t>0</m:t>
            </m:r>
            <m:ctrlPr>
              <w:rPr>
                <w:rFonts w:hint="default" w:ascii="Cambria Math" w:hAnsi="Cambria Math" w:eastAsia="宋体" w:cs="Times New Roman"/>
                <w:color w:val="auto"/>
                <w:sz w:val="24"/>
                <w:szCs w:val="24"/>
              </w:rPr>
            </m:ctrlPr>
          </m:sub>
        </m:sSub>
      </m:oMath>
      <w:r>
        <w:rPr>
          <w:rFonts w:hint="default" w:ascii="Times New Roman" w:hAnsi="Times New Roman" w:eastAsia="宋体" w:cs="Times New Roman"/>
          <w:color w:val="auto"/>
          <w:sz w:val="24"/>
          <w:szCs w:val="24"/>
          <w:lang w:eastAsia="zh-CN"/>
        </w:rPr>
        <w:t xml:space="preserve">              （9.4.11-6）</w:t>
      </w:r>
    </w:p>
    <w:p w14:paraId="44975A8B">
      <w:pPr>
        <w:pStyle w:val="12"/>
        <w:spacing w:line="360" w:lineRule="auto"/>
        <w:ind w:firstLine="42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跨高比不大于2.5时，</w:t>
      </w:r>
    </w:p>
    <w:p w14:paraId="6F3DA6F0">
      <w:pPr>
        <w:pStyle w:val="12"/>
        <w:spacing w:line="360" w:lineRule="auto"/>
        <w:ind w:firstLine="420"/>
        <w:jc w:val="right"/>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i/>
          <w:color w:val="auto"/>
          <w:sz w:val="24"/>
          <w:szCs w:val="24"/>
          <w:lang w:eastAsia="zh-CN"/>
        </w:rPr>
        <w:t>V</w:t>
      </w:r>
      <w:r>
        <w:rPr>
          <w:rFonts w:hint="default" w:ascii="Times New Roman" w:hAnsi="Times New Roman" w:eastAsia="宋体" w:cs="Times New Roman"/>
          <w:color w:val="auto"/>
          <w:sz w:val="24"/>
          <w:szCs w:val="24"/>
          <w:lang w:eastAsia="zh-CN"/>
        </w:rPr>
        <w:t>-0.5（</w:t>
      </w:r>
      <m:oMath>
        <m:sSub>
          <m:sSubPr>
            <m:ctrlPr>
              <w:rPr>
                <w:rFonts w:hint="default" w:ascii="Cambria Math" w:hAnsi="Cambria Math" w:eastAsia="宋体" w:cs="Times New Roman"/>
                <w:color w:val="auto"/>
                <w:sz w:val="24"/>
                <w:szCs w:val="24"/>
              </w:rPr>
            </m:ctrlPr>
          </m:sSubPr>
          <m:e>
            <m:r>
              <m:rPr>
                <m:nor/>
              </m:rPr>
              <w:rPr>
                <w:rFonts w:hint="default" w:ascii="Times New Roman" w:hAnsi="Times New Roman" w:eastAsia="宋体" w:cs="Times New Roman"/>
                <w:i/>
                <w:color w:val="auto"/>
                <w:sz w:val="24"/>
                <w:szCs w:val="24"/>
                <w:lang w:eastAsia="zh-CN"/>
              </w:rPr>
              <m:t>f</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lang w:eastAsia="zh-CN"/>
              </w:rPr>
              <m:t>ak</m:t>
            </m:r>
            <m:ctrlPr>
              <w:rPr>
                <w:rFonts w:hint="default" w:ascii="Cambria Math" w:hAnsi="Cambria Math" w:eastAsia="宋体" w:cs="Times New Roman"/>
                <w:color w:val="auto"/>
                <w:sz w:val="24"/>
                <w:szCs w:val="24"/>
              </w:rPr>
            </m:ctrlPr>
          </m:sub>
        </m:sSub>
        <m:sSub>
          <m:sSubPr>
            <m:ctrlPr>
              <w:rPr>
                <w:rFonts w:hint="default" w:ascii="Cambria Math" w:hAnsi="Cambria Math" w:eastAsia="宋体" w:cs="Times New Roman"/>
                <w:color w:val="auto"/>
                <w:sz w:val="24"/>
                <w:szCs w:val="24"/>
              </w:rPr>
            </m:ctrlPr>
          </m:sSubPr>
          <m:e>
            <m:r>
              <m:rPr>
                <m:nor/>
              </m:rPr>
              <w:rPr>
                <w:rFonts w:hint="default" w:ascii="Times New Roman" w:hAnsi="Times New Roman" w:eastAsia="宋体" w:cs="Times New Roman"/>
                <w:i/>
                <w:color w:val="auto"/>
                <w:sz w:val="24"/>
                <w:szCs w:val="24"/>
                <w:lang w:eastAsia="zh-CN"/>
              </w:rPr>
              <m:t>A</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lang w:eastAsia="zh-CN"/>
              </w:rPr>
              <m:t>a</m:t>
            </m:r>
            <m:ctrlPr>
              <w:rPr>
                <w:rFonts w:hint="default" w:ascii="Cambria Math" w:hAnsi="Cambria Math" w:eastAsia="宋体" w:cs="Times New Roman"/>
                <w:color w:val="auto"/>
                <w:sz w:val="24"/>
                <w:szCs w:val="24"/>
              </w:rPr>
            </m:ctrlPr>
          </m:sub>
        </m:sSub>
        <m:r>
          <m:rPr>
            <m:nor/>
            <m:sty m:val="p"/>
          </m:rPr>
          <w:rPr>
            <w:rFonts w:hint="default" w:ascii="Times New Roman" w:hAnsi="Times New Roman" w:eastAsia="宋体" w:cs="Times New Roman"/>
            <w:b w:val="0"/>
            <w:i w:val="0"/>
            <w:color w:val="auto"/>
            <w:sz w:val="24"/>
            <w:szCs w:val="24"/>
            <w:lang w:eastAsia="zh-CN"/>
          </w:rPr>
          <m:t>+</m:t>
        </m:r>
        <m:sSub>
          <m:sSubPr>
            <m:ctrlPr>
              <w:rPr>
                <w:rFonts w:hint="default" w:ascii="Cambria Math" w:hAnsi="Cambria Math" w:eastAsia="宋体" w:cs="Times New Roman"/>
                <w:color w:val="auto"/>
                <w:sz w:val="24"/>
                <w:szCs w:val="24"/>
              </w:rPr>
            </m:ctrlPr>
          </m:sSubPr>
          <m:e>
            <m:r>
              <m:rPr>
                <m:nor/>
              </m:rPr>
              <w:rPr>
                <w:rFonts w:hint="default" w:ascii="Times New Roman" w:hAnsi="Times New Roman" w:eastAsia="宋体" w:cs="Times New Roman"/>
                <w:i/>
                <w:color w:val="auto"/>
                <w:sz w:val="24"/>
                <w:szCs w:val="24"/>
                <w:lang w:eastAsia="zh-CN"/>
              </w:rPr>
              <m:t>f</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lang w:eastAsia="zh-CN"/>
              </w:rPr>
              <m:t>spk</m:t>
            </m:r>
            <m:ctrlPr>
              <w:rPr>
                <w:rFonts w:hint="default" w:ascii="Cambria Math" w:hAnsi="Cambria Math" w:eastAsia="宋体" w:cs="Times New Roman"/>
                <w:color w:val="auto"/>
                <w:sz w:val="24"/>
                <w:szCs w:val="24"/>
              </w:rPr>
            </m:ctrlPr>
          </m:sub>
        </m:sSub>
        <m:sSub>
          <m:sSubPr>
            <m:ctrlPr>
              <w:rPr>
                <w:rFonts w:hint="default" w:ascii="Cambria Math" w:hAnsi="Cambria Math" w:eastAsia="宋体" w:cs="Times New Roman"/>
                <w:color w:val="auto"/>
                <w:sz w:val="24"/>
                <w:szCs w:val="24"/>
              </w:rPr>
            </m:ctrlPr>
          </m:sSubPr>
          <m:e>
            <m:r>
              <m:rPr>
                <m:nor/>
              </m:rPr>
              <w:rPr>
                <w:rFonts w:hint="default" w:ascii="Times New Roman" w:hAnsi="Times New Roman" w:eastAsia="宋体" w:cs="Times New Roman"/>
                <w:i/>
                <w:color w:val="auto"/>
                <w:sz w:val="24"/>
                <w:szCs w:val="24"/>
                <w:lang w:eastAsia="zh-CN"/>
              </w:rPr>
              <m:t>A</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lang w:eastAsia="zh-CN"/>
              </w:rPr>
              <m:t>sp</m:t>
            </m:r>
            <m:ctrlPr>
              <w:rPr>
                <w:rFonts w:hint="default" w:ascii="Cambria Math" w:hAnsi="Cambria Math" w:eastAsia="宋体" w:cs="Times New Roman"/>
                <w:color w:val="auto"/>
                <w:sz w:val="24"/>
                <w:szCs w:val="24"/>
              </w:rPr>
            </m:ctrlPr>
          </m:sub>
        </m:sSub>
      </m:oMath>
      <w:r>
        <w:rPr>
          <w:rFonts w:hint="default" w:ascii="Times New Roman" w:hAnsi="Times New Roman" w:eastAsia="宋体" w:cs="Times New Roman"/>
          <w:color w:val="auto"/>
          <w:sz w:val="24"/>
          <w:szCs w:val="24"/>
          <w:lang w:eastAsia="zh-CN"/>
        </w:rPr>
        <w:t>）≤0.15</w:t>
      </w:r>
      <m:oMath>
        <m:sSub>
          <m:sSubPr>
            <m:ctrlPr>
              <w:rPr>
                <w:rFonts w:hint="default" w:ascii="Cambria Math" w:hAnsi="Cambria Math" w:eastAsia="宋体" w:cs="Times New Roman"/>
                <w:color w:val="auto"/>
                <w:sz w:val="24"/>
                <w:szCs w:val="24"/>
              </w:rPr>
            </m:ctrlPr>
          </m:sSubPr>
          <m:e>
            <m:r>
              <m:rPr>
                <m:nor/>
              </m:rPr>
              <w:rPr>
                <w:rFonts w:hint="default" w:ascii="Times New Roman" w:hAnsi="Times New Roman" w:eastAsia="宋体" w:cs="Times New Roman"/>
                <w:i/>
                <w:color w:val="auto"/>
                <w:sz w:val="24"/>
                <w:szCs w:val="24"/>
                <w:lang w:eastAsia="zh-CN"/>
              </w:rPr>
              <m:t>f</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lang w:eastAsia="zh-CN"/>
              </w:rPr>
              <m:t>ck</m:t>
            </m:r>
            <m:ctrlPr>
              <w:rPr>
                <w:rFonts w:hint="default" w:ascii="Cambria Math" w:hAnsi="Cambria Math" w:eastAsia="宋体" w:cs="Times New Roman"/>
                <w:color w:val="auto"/>
                <w:sz w:val="24"/>
                <w:szCs w:val="24"/>
              </w:rPr>
            </m:ctrlPr>
          </m:sub>
        </m:sSub>
        <m:sSub>
          <m:sSubPr>
            <m:ctrlPr>
              <w:rPr>
                <w:rFonts w:hint="default" w:ascii="Cambria Math" w:hAnsi="Cambria Math" w:eastAsia="宋体" w:cs="Times New Roman"/>
                <w:color w:val="auto"/>
                <w:sz w:val="24"/>
                <w:szCs w:val="24"/>
              </w:rPr>
            </m:ctrlPr>
          </m:sSubPr>
          <m:e>
            <m:r>
              <m:rPr>
                <m:nor/>
              </m:rPr>
              <w:rPr>
                <w:rFonts w:hint="default" w:ascii="Times New Roman" w:hAnsi="Times New Roman" w:eastAsia="宋体" w:cs="Times New Roman"/>
                <w:i/>
                <w:color w:val="auto"/>
                <w:sz w:val="24"/>
                <w:szCs w:val="24"/>
                <w:lang w:eastAsia="zh-CN"/>
              </w:rPr>
              <m:t>b</m:t>
            </m:r>
            <m:r>
              <m:rPr>
                <m:nor/>
                <m:sty m:val="p"/>
              </m:rPr>
              <w:rPr>
                <w:rFonts w:hint="default" w:ascii="Times New Roman" w:hAnsi="Times New Roman" w:eastAsia="宋体" w:cs="Times New Roman"/>
                <w:b w:val="0"/>
                <w:i w:val="0"/>
                <w:color w:val="auto"/>
                <w:sz w:val="24"/>
                <w:szCs w:val="24"/>
                <w:lang w:eastAsia="zh-CN"/>
              </w:rPr>
              <m:t>ℎ</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lang w:eastAsia="zh-CN"/>
              </w:rPr>
              <m:t>0</m:t>
            </m:r>
            <m:ctrlPr>
              <w:rPr>
                <w:rFonts w:hint="default" w:ascii="Cambria Math" w:hAnsi="Cambria Math" w:eastAsia="宋体" w:cs="Times New Roman"/>
                <w:color w:val="auto"/>
                <w:sz w:val="24"/>
                <w:szCs w:val="24"/>
              </w:rPr>
            </m:ctrlPr>
          </m:sub>
        </m:sSub>
      </m:oMath>
      <w:r>
        <w:rPr>
          <w:rFonts w:hint="default" w:ascii="Times New Roman" w:hAnsi="Times New Roman" w:eastAsia="宋体" w:cs="Times New Roman"/>
          <w:color w:val="auto"/>
          <w:sz w:val="24"/>
          <w:szCs w:val="24"/>
          <w:lang w:eastAsia="zh-CN"/>
        </w:rPr>
        <w:t xml:space="preserve">              （9.4.11-7）</w:t>
      </w:r>
    </w:p>
    <w:tbl>
      <w:tblPr>
        <w:tblStyle w:val="25"/>
        <w:tblW w:w="4659" w:type="pct"/>
        <w:tblInd w:w="28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50"/>
        <w:gridCol w:w="456"/>
        <w:gridCol w:w="7486"/>
      </w:tblGrid>
      <w:tr w14:paraId="707774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77" w:type="pct"/>
          </w:tcPr>
          <w:p w14:paraId="6D870C74">
            <w:pPr>
              <w:pStyle w:val="12"/>
              <w:spacing w:line="360" w:lineRule="auto"/>
              <w:ind w:firstLine="0" w:firstLineChars="0"/>
              <w:jc w:val="righ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w:t>
            </w:r>
            <m:oMath>
              <m:sSub>
                <m:sSubPr>
                  <m:ctrlPr>
                    <w:rPr>
                      <w:rFonts w:hint="default" w:ascii="Cambria Math" w:hAnsi="Cambria Math" w:eastAsia="宋体" w:cs="Times New Roman"/>
                      <w:color w:val="auto"/>
                      <w:sz w:val="24"/>
                      <w:szCs w:val="24"/>
                    </w:rPr>
                  </m:ctrlPr>
                </m:sSubPr>
                <m:e>
                  <m:r>
                    <m:rPr>
                      <m:nor/>
                    </m:rPr>
                    <w:rPr>
                      <w:rFonts w:hint="default" w:ascii="Times New Roman" w:hAnsi="Times New Roman" w:eastAsia="宋体" w:cs="Times New Roman"/>
                      <w:i/>
                      <w:color w:val="auto"/>
                      <w:sz w:val="24"/>
                      <w:szCs w:val="24"/>
                    </w:rPr>
                    <m:t>β</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rPr>
                    <m:t>c</m:t>
                  </m:r>
                  <m:ctrlPr>
                    <w:rPr>
                      <w:rFonts w:hint="default" w:ascii="Cambria Math" w:hAnsi="Cambria Math" w:eastAsia="宋体" w:cs="Times New Roman"/>
                      <w:color w:val="auto"/>
                      <w:sz w:val="24"/>
                      <w:szCs w:val="24"/>
                    </w:rPr>
                  </m:ctrlPr>
                </m:sub>
              </m:sSub>
            </m:oMath>
          </w:p>
        </w:tc>
        <w:tc>
          <w:tcPr>
            <w:tcW w:w="233" w:type="pct"/>
          </w:tcPr>
          <w:p w14:paraId="2457CB81">
            <w:pPr>
              <w:pStyle w:val="12"/>
              <w:spacing w:line="360" w:lineRule="auto"/>
              <w:ind w:firstLine="0" w:firstLineChars="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3990" w:type="pct"/>
          </w:tcPr>
          <w:p w14:paraId="5FD12832">
            <w:pPr>
              <w:pStyle w:val="12"/>
              <w:spacing w:line="360" w:lineRule="auto"/>
              <w:ind w:firstLine="0" w:firstLineChars="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混凝土强度影响系数，当混凝土强度等级不超过C50时，</w:t>
            </w:r>
            <m:oMath>
              <m:sSub>
                <m:sSubPr>
                  <m:ctrlPr>
                    <w:rPr>
                      <w:rFonts w:hint="default" w:ascii="Cambria Math" w:hAnsi="Cambria Math" w:eastAsia="宋体" w:cs="Times New Roman"/>
                      <w:color w:val="auto"/>
                      <w:sz w:val="24"/>
                      <w:szCs w:val="24"/>
                    </w:rPr>
                  </m:ctrlPr>
                </m:sSubPr>
                <m:e>
                  <m:r>
                    <m:rPr>
                      <m:nor/>
                    </m:rPr>
                    <w:rPr>
                      <w:rFonts w:hint="default" w:ascii="Times New Roman" w:hAnsi="Times New Roman" w:eastAsia="宋体" w:cs="Times New Roman"/>
                      <w:i/>
                      <w:color w:val="auto"/>
                      <w:sz w:val="24"/>
                      <w:szCs w:val="24"/>
                      <w:lang w:eastAsia="zh-CN"/>
                    </w:rPr>
                    <m:t>β</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lang w:eastAsia="zh-CN"/>
                    </w:rPr>
                    <m:t>c</m:t>
                  </m:r>
                  <m:ctrlPr>
                    <w:rPr>
                      <w:rFonts w:hint="default" w:ascii="Cambria Math" w:hAnsi="Cambria Math" w:eastAsia="宋体" w:cs="Times New Roman"/>
                      <w:color w:val="auto"/>
                      <w:sz w:val="24"/>
                      <w:szCs w:val="24"/>
                    </w:rPr>
                  </m:ctrlPr>
                </m:sub>
              </m:sSub>
            </m:oMath>
            <w:r>
              <w:rPr>
                <w:rFonts w:hint="default" w:ascii="Times New Roman" w:hAnsi="Times New Roman" w:eastAsia="宋体" w:cs="Times New Roman"/>
                <w:color w:val="auto"/>
                <w:sz w:val="24"/>
                <w:szCs w:val="24"/>
                <w:lang w:eastAsia="zh-CN"/>
              </w:rPr>
              <w:t>取1.0；当混凝土强度等级为C80时，</w:t>
            </w:r>
            <m:oMath>
              <m:sSub>
                <m:sSubPr>
                  <m:ctrlPr>
                    <w:rPr>
                      <w:rFonts w:hint="default" w:ascii="Cambria Math" w:hAnsi="Cambria Math" w:eastAsia="宋体" w:cs="Times New Roman"/>
                      <w:color w:val="auto"/>
                      <w:sz w:val="24"/>
                      <w:szCs w:val="24"/>
                    </w:rPr>
                  </m:ctrlPr>
                </m:sSubPr>
                <m:e>
                  <m:r>
                    <m:rPr>
                      <m:nor/>
                    </m:rPr>
                    <w:rPr>
                      <w:rFonts w:hint="default" w:ascii="Times New Roman" w:hAnsi="Times New Roman" w:eastAsia="宋体" w:cs="Times New Roman"/>
                      <w:i/>
                      <w:color w:val="auto"/>
                      <w:sz w:val="24"/>
                      <w:szCs w:val="24"/>
                      <w:lang w:eastAsia="zh-CN"/>
                    </w:rPr>
                    <m:t>β</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lang w:eastAsia="zh-CN"/>
                    </w:rPr>
                    <m:t>c</m:t>
                  </m:r>
                  <m:ctrlPr>
                    <w:rPr>
                      <w:rFonts w:hint="default" w:ascii="Cambria Math" w:hAnsi="Cambria Math" w:eastAsia="宋体" w:cs="Times New Roman"/>
                      <w:color w:val="auto"/>
                      <w:sz w:val="24"/>
                      <w:szCs w:val="24"/>
                    </w:rPr>
                  </m:ctrlPr>
                </m:sub>
              </m:sSub>
            </m:oMath>
            <w:r>
              <w:rPr>
                <w:rFonts w:hint="default" w:ascii="Times New Roman" w:hAnsi="Times New Roman" w:eastAsia="宋体" w:cs="Times New Roman"/>
                <w:color w:val="auto"/>
                <w:sz w:val="24"/>
                <w:szCs w:val="24"/>
                <w:lang w:eastAsia="zh-CN"/>
              </w:rPr>
              <w:t>取0.8；其间按线性内插法确定;</w:t>
            </w:r>
          </w:p>
        </w:tc>
      </w:tr>
      <w:tr w14:paraId="4D204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77" w:type="pct"/>
          </w:tcPr>
          <w:p w14:paraId="5AFAB2EA">
            <w:pPr>
              <w:pStyle w:val="12"/>
              <w:spacing w:line="360" w:lineRule="auto"/>
              <w:ind w:firstLine="420"/>
              <w:jc w:val="right"/>
              <w:rPr>
                <w:rFonts w:hint="default" w:ascii="Times New Roman" w:hAnsi="Times New Roman" w:eastAsia="宋体" w:cs="Times New Roman"/>
                <w:color w:val="auto"/>
                <w:sz w:val="24"/>
                <w:szCs w:val="24"/>
              </w:rPr>
            </w:pPr>
            <m:oMath>
              <m:r>
                <m:rPr>
                  <m:nor/>
                </m:rPr>
                <w:rPr>
                  <w:rFonts w:hint="default" w:ascii="Times New Roman" w:hAnsi="Times New Roman" w:eastAsia="宋体" w:cs="Times New Roman"/>
                  <w:i/>
                  <w:color w:val="auto"/>
                  <w:sz w:val="24"/>
                  <w:szCs w:val="24"/>
                </w:rPr>
                <m:t>b</m:t>
              </m:r>
            </m:oMath>
            <w:r>
              <w:rPr>
                <w:rFonts w:hint="default" w:ascii="Times New Roman" w:hAnsi="Times New Roman" w:eastAsia="宋体" w:cs="Times New Roman"/>
                <w:color w:val="auto"/>
                <w:sz w:val="24"/>
                <w:szCs w:val="24"/>
              </w:rPr>
              <w:t>、</w:t>
            </w:r>
            <m:oMath>
              <m:sSub>
                <m:sSubPr>
                  <m:ctrlPr>
                    <w:rPr>
                      <w:rFonts w:hint="default" w:ascii="Cambria Math" w:hAnsi="Cambria Math" w:eastAsia="宋体" w:cs="Times New Roman"/>
                      <w:color w:val="auto"/>
                      <w:sz w:val="24"/>
                      <w:szCs w:val="24"/>
                    </w:rPr>
                  </m:ctrlPr>
                </m:sSubPr>
                <m:e>
                  <m:r>
                    <m:rPr>
                      <m:nor/>
                      <m:sty m:val="p"/>
                    </m:rPr>
                    <w:rPr>
                      <w:rFonts w:hint="default" w:ascii="Times New Roman" w:hAnsi="Times New Roman" w:eastAsia="宋体" w:cs="Times New Roman"/>
                      <w:b w:val="0"/>
                      <w:i w:val="0"/>
                      <w:color w:val="auto"/>
                      <w:sz w:val="24"/>
                      <w:szCs w:val="24"/>
                    </w:rPr>
                    <m:t>ℎ</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rPr>
                    <m:t>0</m:t>
                  </m:r>
                  <m:ctrlPr>
                    <w:rPr>
                      <w:rFonts w:hint="default" w:ascii="Cambria Math" w:hAnsi="Cambria Math" w:eastAsia="宋体" w:cs="Times New Roman"/>
                      <w:color w:val="auto"/>
                      <w:sz w:val="24"/>
                      <w:szCs w:val="24"/>
                    </w:rPr>
                  </m:ctrlPr>
                </m:sub>
              </m:sSub>
            </m:oMath>
          </w:p>
        </w:tc>
        <w:tc>
          <w:tcPr>
            <w:tcW w:w="233" w:type="pct"/>
          </w:tcPr>
          <w:p w14:paraId="6CE5402B">
            <w:pPr>
              <w:pStyle w:val="12"/>
              <w:spacing w:line="360" w:lineRule="auto"/>
              <w:ind w:firstLine="0" w:firstLineChars="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3990" w:type="pct"/>
          </w:tcPr>
          <w:p w14:paraId="087BE6CB">
            <w:pPr>
              <w:pStyle w:val="12"/>
              <w:spacing w:line="360" w:lineRule="auto"/>
              <w:ind w:firstLine="0" w:firstLineChars="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构件的截面宽度和有效高度;</w:t>
            </w:r>
          </w:p>
        </w:tc>
      </w:tr>
      <w:tr w14:paraId="381F3A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77" w:type="pct"/>
          </w:tcPr>
          <w:p w14:paraId="21EA1006">
            <w:pPr>
              <w:pStyle w:val="12"/>
              <w:spacing w:line="360" w:lineRule="auto"/>
              <w:ind w:firstLine="420"/>
              <w:jc w:val="right"/>
              <w:rPr>
                <w:rFonts w:hint="default" w:ascii="Times New Roman" w:hAnsi="Times New Roman" w:eastAsia="宋体" w:cs="Times New Roman"/>
                <w:color w:val="auto"/>
                <w:sz w:val="24"/>
                <w:szCs w:val="24"/>
              </w:rPr>
            </w:pPr>
            <m:oMathPara>
              <m:oMathParaPr>
                <m:jc m:val="right"/>
              </m:oMathParaPr>
              <m:oMath>
                <m:sSub>
                  <m:sSubPr>
                    <m:ctrlPr>
                      <w:rPr>
                        <w:rFonts w:hint="default" w:ascii="Cambria Math" w:hAnsi="Cambria Math" w:eastAsia="宋体" w:cs="Times New Roman"/>
                        <w:color w:val="auto"/>
                        <w:sz w:val="24"/>
                        <w:szCs w:val="24"/>
                      </w:rPr>
                    </m:ctrlPr>
                  </m:sSubPr>
                  <m:e>
                    <m:r>
                      <m:rPr>
                        <m:nor/>
                      </m:rPr>
                      <w:rPr>
                        <w:rFonts w:hint="default" w:ascii="Times New Roman" w:hAnsi="Times New Roman" w:eastAsia="宋体" w:cs="Times New Roman"/>
                        <w:i/>
                        <w:color w:val="auto"/>
                        <w:sz w:val="24"/>
                        <w:szCs w:val="24"/>
                      </w:rPr>
                      <m:t>f</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rPr>
                      <m:t>ak</m:t>
                    </m:r>
                    <m:ctrlPr>
                      <w:rPr>
                        <w:rFonts w:hint="default" w:ascii="Cambria Math" w:hAnsi="Cambria Math" w:eastAsia="宋体" w:cs="Times New Roman"/>
                        <w:color w:val="auto"/>
                        <w:sz w:val="24"/>
                        <w:szCs w:val="24"/>
                      </w:rPr>
                    </m:ctrlPr>
                  </m:sub>
                </m:sSub>
              </m:oMath>
            </m:oMathPara>
          </w:p>
        </w:tc>
        <w:tc>
          <w:tcPr>
            <w:tcW w:w="233" w:type="pct"/>
          </w:tcPr>
          <w:p w14:paraId="26292746">
            <w:pPr>
              <w:pStyle w:val="12"/>
              <w:spacing w:line="360" w:lineRule="auto"/>
              <w:ind w:firstLine="0" w:firstLineChars="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3990" w:type="pct"/>
          </w:tcPr>
          <w:p w14:paraId="39E34058">
            <w:pPr>
              <w:pStyle w:val="12"/>
              <w:spacing w:line="360" w:lineRule="auto"/>
              <w:ind w:firstLine="0" w:firstLineChars="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剪力墙端部暗柱中型钢的强度标准值；</w:t>
            </w:r>
          </w:p>
        </w:tc>
      </w:tr>
      <w:tr w14:paraId="34006D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77" w:type="pct"/>
          </w:tcPr>
          <w:p w14:paraId="4239E1E0">
            <w:pPr>
              <w:pStyle w:val="12"/>
              <w:spacing w:line="360" w:lineRule="auto"/>
              <w:ind w:firstLine="420"/>
              <w:jc w:val="right"/>
              <w:rPr>
                <w:rFonts w:hint="default" w:ascii="Times New Roman" w:hAnsi="Times New Roman" w:eastAsia="宋体" w:cs="Times New Roman"/>
                <w:color w:val="auto"/>
                <w:sz w:val="24"/>
                <w:szCs w:val="24"/>
              </w:rPr>
            </w:pPr>
            <m:oMathPara>
              <m:oMathParaPr>
                <m:jc m:val="right"/>
              </m:oMathParaPr>
              <m:oMath>
                <m:sSub>
                  <m:sSubPr>
                    <m:ctrlPr>
                      <w:rPr>
                        <w:rFonts w:hint="default" w:ascii="Cambria Math" w:hAnsi="Cambria Math" w:eastAsia="宋体" w:cs="Times New Roman"/>
                        <w:color w:val="auto"/>
                        <w:sz w:val="24"/>
                        <w:szCs w:val="24"/>
                      </w:rPr>
                    </m:ctrlPr>
                  </m:sSubPr>
                  <m:e>
                    <m:r>
                      <m:rPr>
                        <m:nor/>
                      </m:rPr>
                      <w:rPr>
                        <w:rFonts w:hint="default" w:ascii="Times New Roman" w:hAnsi="Times New Roman" w:eastAsia="宋体" w:cs="Times New Roman"/>
                        <w:i/>
                        <w:color w:val="auto"/>
                        <w:sz w:val="24"/>
                        <w:szCs w:val="24"/>
                      </w:rPr>
                      <m:t>A</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rPr>
                      <m:t>a</m:t>
                    </m:r>
                    <m:ctrlPr>
                      <w:rPr>
                        <w:rFonts w:hint="default" w:ascii="Cambria Math" w:hAnsi="Cambria Math" w:eastAsia="宋体" w:cs="Times New Roman"/>
                        <w:color w:val="auto"/>
                        <w:sz w:val="24"/>
                        <w:szCs w:val="24"/>
                      </w:rPr>
                    </m:ctrlPr>
                  </m:sub>
                </m:sSub>
              </m:oMath>
            </m:oMathPara>
          </w:p>
        </w:tc>
        <w:tc>
          <w:tcPr>
            <w:tcW w:w="233" w:type="pct"/>
          </w:tcPr>
          <w:p w14:paraId="7952EB58">
            <w:pPr>
              <w:pStyle w:val="12"/>
              <w:spacing w:line="360" w:lineRule="auto"/>
              <w:ind w:firstLine="0" w:firstLineChars="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3990" w:type="pct"/>
          </w:tcPr>
          <w:p w14:paraId="6FEC3BB9">
            <w:pPr>
              <w:pStyle w:val="12"/>
              <w:spacing w:line="360" w:lineRule="auto"/>
              <w:ind w:firstLine="0" w:firstLineChars="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剪力墙端部暗柱中型钢在受剪方向的截面面积；</w:t>
            </w:r>
          </w:p>
        </w:tc>
      </w:tr>
      <w:tr w14:paraId="50000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77" w:type="pct"/>
          </w:tcPr>
          <w:p w14:paraId="6EDED1E9">
            <w:pPr>
              <w:pStyle w:val="12"/>
              <w:spacing w:line="360" w:lineRule="auto"/>
              <w:ind w:firstLine="420"/>
              <w:jc w:val="right"/>
              <w:rPr>
                <w:rFonts w:hint="default" w:ascii="Times New Roman" w:hAnsi="Times New Roman" w:eastAsia="宋体" w:cs="Times New Roman"/>
                <w:color w:val="auto"/>
                <w:sz w:val="24"/>
                <w:szCs w:val="24"/>
              </w:rPr>
            </w:pPr>
            <m:oMathPara>
              <m:oMathParaPr>
                <m:jc m:val="right"/>
              </m:oMathParaPr>
              <m:oMath>
                <m:sSub>
                  <m:sSubPr>
                    <m:ctrlPr>
                      <w:rPr>
                        <w:rFonts w:hint="default" w:ascii="Cambria Math" w:hAnsi="Cambria Math" w:eastAsia="宋体" w:cs="Times New Roman"/>
                        <w:color w:val="auto"/>
                        <w:sz w:val="24"/>
                        <w:szCs w:val="24"/>
                      </w:rPr>
                    </m:ctrlPr>
                  </m:sSubPr>
                  <m:e>
                    <m:r>
                      <m:rPr>
                        <m:nor/>
                      </m:rPr>
                      <w:rPr>
                        <w:rFonts w:hint="default" w:ascii="Times New Roman" w:hAnsi="Times New Roman" w:eastAsia="宋体" w:cs="Times New Roman"/>
                        <w:i/>
                        <w:color w:val="auto"/>
                        <w:sz w:val="24"/>
                        <w:szCs w:val="24"/>
                      </w:rPr>
                      <m:t>f</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rPr>
                      <m:t>spk</m:t>
                    </m:r>
                    <m:ctrlPr>
                      <w:rPr>
                        <w:rFonts w:hint="default" w:ascii="Cambria Math" w:hAnsi="Cambria Math" w:eastAsia="宋体" w:cs="Times New Roman"/>
                        <w:color w:val="auto"/>
                        <w:sz w:val="24"/>
                        <w:szCs w:val="24"/>
                      </w:rPr>
                    </m:ctrlPr>
                  </m:sub>
                </m:sSub>
              </m:oMath>
            </m:oMathPara>
          </w:p>
        </w:tc>
        <w:tc>
          <w:tcPr>
            <w:tcW w:w="233" w:type="pct"/>
          </w:tcPr>
          <w:p w14:paraId="2CBD5B99">
            <w:pPr>
              <w:pStyle w:val="12"/>
              <w:spacing w:line="360" w:lineRule="auto"/>
              <w:ind w:firstLine="0" w:firstLineChars="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3990" w:type="pct"/>
          </w:tcPr>
          <w:p w14:paraId="27DD74A3">
            <w:pPr>
              <w:pStyle w:val="12"/>
              <w:spacing w:line="360" w:lineRule="auto"/>
              <w:ind w:firstLine="0" w:firstLineChars="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剪力墙墙内钢板的强度标准值；</w:t>
            </w:r>
          </w:p>
        </w:tc>
      </w:tr>
      <w:tr w14:paraId="04F87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77" w:type="pct"/>
          </w:tcPr>
          <w:p w14:paraId="123904D0">
            <w:pPr>
              <w:pStyle w:val="12"/>
              <w:spacing w:line="360" w:lineRule="auto"/>
              <w:ind w:firstLine="420"/>
              <w:jc w:val="right"/>
              <w:rPr>
                <w:rFonts w:hint="default" w:ascii="Times New Roman" w:hAnsi="Times New Roman" w:eastAsia="宋体" w:cs="Times New Roman"/>
                <w:color w:val="auto"/>
                <w:sz w:val="24"/>
                <w:szCs w:val="24"/>
              </w:rPr>
            </w:pPr>
            <m:oMathPara>
              <m:oMathParaPr>
                <m:jc m:val="right"/>
              </m:oMathParaPr>
              <m:oMath>
                <m:sSub>
                  <m:sSubPr>
                    <m:ctrlPr>
                      <w:rPr>
                        <w:rFonts w:hint="default" w:ascii="Cambria Math" w:hAnsi="Cambria Math" w:eastAsia="宋体" w:cs="Times New Roman"/>
                        <w:color w:val="auto"/>
                        <w:sz w:val="24"/>
                        <w:szCs w:val="24"/>
                      </w:rPr>
                    </m:ctrlPr>
                  </m:sSubPr>
                  <m:e>
                    <m:r>
                      <m:rPr>
                        <m:nor/>
                      </m:rPr>
                      <w:rPr>
                        <w:rFonts w:hint="default" w:ascii="Times New Roman" w:hAnsi="Times New Roman" w:eastAsia="宋体" w:cs="Times New Roman"/>
                        <w:i/>
                        <w:color w:val="auto"/>
                        <w:sz w:val="24"/>
                        <w:szCs w:val="24"/>
                      </w:rPr>
                      <m:t>A</m:t>
                    </m:r>
                    <m:ctrlPr>
                      <w:rPr>
                        <w:rFonts w:hint="default" w:ascii="Cambria Math" w:hAnsi="Cambria Math" w:eastAsia="宋体" w:cs="Times New Roman"/>
                        <w:color w:val="auto"/>
                        <w:sz w:val="24"/>
                        <w:szCs w:val="24"/>
                      </w:rPr>
                    </m:ctrlPr>
                  </m:e>
                  <m:sub>
                    <m:r>
                      <m:rPr>
                        <m:nor/>
                        <m:sty m:val="p"/>
                      </m:rPr>
                      <w:rPr>
                        <w:rFonts w:hint="default" w:ascii="Times New Roman" w:hAnsi="Times New Roman" w:eastAsia="宋体" w:cs="Times New Roman"/>
                        <w:b w:val="0"/>
                        <w:i w:val="0"/>
                        <w:color w:val="auto"/>
                        <w:sz w:val="24"/>
                        <w:szCs w:val="24"/>
                      </w:rPr>
                      <m:t>sp</m:t>
                    </m:r>
                    <m:ctrlPr>
                      <w:rPr>
                        <w:rFonts w:hint="default" w:ascii="Cambria Math" w:hAnsi="Cambria Math" w:eastAsia="宋体" w:cs="Times New Roman"/>
                        <w:color w:val="auto"/>
                        <w:sz w:val="24"/>
                        <w:szCs w:val="24"/>
                      </w:rPr>
                    </m:ctrlPr>
                  </m:sub>
                </m:sSub>
              </m:oMath>
            </m:oMathPara>
          </w:p>
        </w:tc>
        <w:tc>
          <w:tcPr>
            <w:tcW w:w="233" w:type="pct"/>
          </w:tcPr>
          <w:p w14:paraId="0175A0C4">
            <w:pPr>
              <w:pStyle w:val="12"/>
              <w:spacing w:line="360" w:lineRule="auto"/>
              <w:ind w:firstLine="0" w:firstLineChars="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3990" w:type="pct"/>
          </w:tcPr>
          <w:p w14:paraId="181E672F">
            <w:pPr>
              <w:pStyle w:val="12"/>
              <w:spacing w:line="360" w:lineRule="auto"/>
              <w:ind w:firstLine="0" w:firstLineChars="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剪力墙墙内钢板的横截面面积。</w:t>
            </w:r>
          </w:p>
        </w:tc>
      </w:tr>
    </w:tbl>
    <w:p w14:paraId="4C8CEF64">
      <w:pPr>
        <w:spacing w:line="360" w:lineRule="exact"/>
        <w:rPr>
          <w:rFonts w:hint="default" w:ascii="Times New Roman" w:hAnsi="Times New Roman" w:eastAsia="宋体" w:cs="Times New Roman"/>
          <w:color w:val="auto"/>
          <w:sz w:val="24"/>
          <w:szCs w:val="24"/>
        </w:rPr>
      </w:pPr>
      <w:bookmarkStart w:id="243" w:name="OLE_LINK56"/>
      <w:bookmarkStart w:id="244" w:name="OLE_LINK55"/>
      <w:r>
        <w:rPr>
          <w:rFonts w:hint="default" w:ascii="Times New Roman" w:hAnsi="Times New Roman" w:eastAsia="宋体" w:cs="Times New Roman"/>
          <w:b/>
          <w:color w:val="auto"/>
          <w:sz w:val="24"/>
          <w:szCs w:val="24"/>
        </w:rPr>
        <w:t xml:space="preserve">9.4.12 </w:t>
      </w:r>
      <w:bookmarkEnd w:id="243"/>
      <w:bookmarkEnd w:id="244"/>
      <w:r>
        <w:rPr>
          <w:rFonts w:hint="default" w:ascii="Times New Roman" w:hAnsi="Times New Roman" w:eastAsia="宋体" w:cs="Times New Roman"/>
          <w:color w:val="auto"/>
          <w:sz w:val="24"/>
          <w:szCs w:val="24"/>
        </w:rPr>
        <w:t>罕遇地震作用下，对于弹塑性时程分析时按弹性简化的构件分量，应补充其承载力验算。</w:t>
      </w:r>
    </w:p>
    <w:p w14:paraId="2694D388">
      <w:pPr>
        <w:spacing w:before="120" w:after="120"/>
        <w:jc w:val="center"/>
        <w:rPr>
          <w:rFonts w:hint="default" w:ascii="Times New Roman" w:hAnsi="Times New Roman" w:eastAsia="宋体" w:cs="Times New Roman"/>
          <w:color w:val="auto"/>
          <w:sz w:val="24"/>
          <w:szCs w:val="24"/>
        </w:rPr>
      </w:pPr>
      <w:bookmarkStart w:id="245" w:name="_Toc28757"/>
      <w:r>
        <w:rPr>
          <w:rFonts w:hint="default" w:ascii="Times New Roman" w:hAnsi="Times New Roman" w:eastAsia="宋体" w:cs="Times New Roman"/>
          <w:b/>
          <w:color w:val="auto"/>
          <w:sz w:val="24"/>
          <w:szCs w:val="24"/>
        </w:rPr>
        <w:t xml:space="preserve">IV </w:t>
      </w:r>
      <w:r>
        <w:rPr>
          <w:rFonts w:hint="default" w:ascii="Times New Roman" w:hAnsi="Times New Roman" w:eastAsia="宋体" w:cs="Times New Roman"/>
          <w:color w:val="auto"/>
          <w:sz w:val="24"/>
          <w:szCs w:val="24"/>
        </w:rPr>
        <w:t>抗震构造措施复核和构件损坏程度评价</w:t>
      </w:r>
      <w:bookmarkEnd w:id="245"/>
    </w:p>
    <w:p w14:paraId="72701992">
      <w:pPr>
        <w:spacing w:line="360" w:lineRule="exact"/>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rPr>
        <w:t>9.4.13</w:t>
      </w:r>
      <w:r>
        <w:rPr>
          <w:rFonts w:hint="default" w:ascii="Times New Roman" w:hAnsi="Times New Roman" w:eastAsia="宋体" w:cs="Times New Roman"/>
          <w:color w:val="auto"/>
          <w:sz w:val="24"/>
          <w:szCs w:val="24"/>
        </w:rPr>
        <w:t xml:space="preserve"> 对于A类和B类建筑，结构构件的抗震构造措施应按现行国家标准《建筑抗震鉴定标准》GB 50023的对应要求进行复核。</w:t>
      </w:r>
    </w:p>
    <w:p w14:paraId="5884F32B">
      <w:pPr>
        <w:spacing w:line="360" w:lineRule="exact"/>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rPr>
        <w:t xml:space="preserve">9.4.14 </w:t>
      </w:r>
      <w:r>
        <w:rPr>
          <w:rFonts w:hint="default" w:ascii="Times New Roman" w:hAnsi="Times New Roman" w:eastAsia="宋体" w:cs="Times New Roman"/>
          <w:color w:val="auto"/>
          <w:sz w:val="24"/>
          <w:szCs w:val="24"/>
        </w:rPr>
        <w:t>对于后续工作年限为50年的C类建筑，应按国家现行标准的对应要求进行复核；对于后续工作年限少于50年的C类建筑，宜按国家现行标准的对应要求进行复核，但当限于技术条件难以执行现行国家标准时，允许按建造时的设计标准进行复核。</w:t>
      </w:r>
    </w:p>
    <w:p w14:paraId="66ED62B1">
      <w:pPr>
        <w:spacing w:line="360" w:lineRule="exact"/>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rPr>
        <w:t>9.4.15</w:t>
      </w:r>
      <w:r>
        <w:rPr>
          <w:rFonts w:hint="default" w:ascii="Times New Roman" w:hAnsi="Times New Roman" w:eastAsia="宋体" w:cs="Times New Roman"/>
          <w:color w:val="auto"/>
          <w:sz w:val="24"/>
          <w:szCs w:val="24"/>
        </w:rPr>
        <w:t xml:space="preserve"> 当结构在罕遇地震作用下的楼层弹塑性层间位移角满足下列要求时，既有构件的抗震构造要求可适当放松：</w:t>
      </w:r>
    </w:p>
    <w:p w14:paraId="56186DE0">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snapToGrid/>
          <w:color w:val="auto"/>
          <w:kern w:val="2"/>
          <w:sz w:val="24"/>
          <w:szCs w:val="24"/>
          <w:lang w:eastAsia="zh-CN"/>
        </w:rPr>
        <w:t>1</w:t>
      </w:r>
      <w:r>
        <w:rPr>
          <w:rFonts w:hint="default" w:ascii="Times New Roman" w:hAnsi="Times New Roman" w:eastAsia="宋体" w:cs="Times New Roman"/>
          <w:color w:val="auto"/>
          <w:sz w:val="24"/>
          <w:szCs w:val="24"/>
          <w:lang w:eastAsia="zh-CN"/>
        </w:rPr>
        <w:t xml:space="preserve"> 罕遇地震下最大层间位移角不大于1.2[</w:t>
      </w:r>
      <w:r>
        <w:rPr>
          <w:rFonts w:hint="default" w:ascii="Times New Roman" w:hAnsi="Times New Roman" w:eastAsia="宋体" w:cs="Times New Roman"/>
          <w:i/>
          <w:iCs/>
          <w:color w:val="auto"/>
          <w:sz w:val="24"/>
          <w:szCs w:val="24"/>
        </w:rPr>
        <w:t>θ</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i/>
          <w:iCs/>
          <w:color w:val="auto"/>
          <w:sz w:val="24"/>
          <w:szCs w:val="24"/>
        </w:rPr>
        <w:t>θ</w:t>
      </w:r>
      <w:r>
        <w:rPr>
          <w:rFonts w:hint="default" w:ascii="Times New Roman" w:hAnsi="Times New Roman" w:eastAsia="宋体" w:cs="Times New Roman"/>
          <w:color w:val="auto"/>
          <w:sz w:val="24"/>
          <w:szCs w:val="24"/>
          <w:lang w:eastAsia="zh-CN"/>
        </w:rPr>
        <w:t>]为多遇地震作用下结构弹性层间位移角限值)时，B、C类钢筋混凝土房屋宜按不低于6度丙类建筑的抗震构造措施采用，A类钢筋混凝土房屋可采用持久设计状态下钢筋混凝土结构的构造措施。</w:t>
      </w:r>
    </w:p>
    <w:p w14:paraId="5B3990EE">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snapToGrid/>
          <w:color w:val="auto"/>
          <w:kern w:val="2"/>
          <w:sz w:val="24"/>
          <w:szCs w:val="24"/>
          <w:lang w:eastAsia="zh-CN"/>
        </w:rPr>
        <w:t>2</w:t>
      </w:r>
      <w:r>
        <w:rPr>
          <w:rFonts w:hint="default" w:ascii="Times New Roman" w:hAnsi="Times New Roman" w:eastAsia="宋体" w:cs="Times New Roman"/>
          <w:color w:val="auto"/>
          <w:sz w:val="24"/>
          <w:szCs w:val="24"/>
          <w:lang w:eastAsia="zh-CN"/>
        </w:rPr>
        <w:t xml:space="preserve"> 罕遇地震下最大层间位移角为(1.2，2.0]×[</w:t>
      </w:r>
      <w:r>
        <w:rPr>
          <w:rFonts w:hint="default" w:ascii="Times New Roman" w:hAnsi="Times New Roman" w:eastAsia="宋体" w:cs="Times New Roman"/>
          <w:i/>
          <w:iCs/>
          <w:color w:val="auto"/>
          <w:sz w:val="24"/>
          <w:szCs w:val="24"/>
        </w:rPr>
        <w:t>θ</w:t>
      </w:r>
      <w:r>
        <w:rPr>
          <w:rFonts w:hint="default" w:ascii="Times New Roman" w:hAnsi="Times New Roman" w:eastAsia="宋体" w:cs="Times New Roman"/>
          <w:color w:val="auto"/>
          <w:sz w:val="24"/>
          <w:szCs w:val="24"/>
          <w:lang w:eastAsia="zh-CN"/>
        </w:rPr>
        <w:t>]时，B、C类钢筋混凝土房屋可按常规设计的有关规定降低两度且不低于6度丙类建筑的抗震构造措施采用，A类钢筋混凝土房屋宜采用现行国家标准《建筑抗震鉴定标准》GB 50023中不低于A类建筑的抗震构造措施。</w:t>
      </w:r>
    </w:p>
    <w:p w14:paraId="17AD6CD1">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snapToGrid/>
          <w:color w:val="auto"/>
          <w:kern w:val="2"/>
          <w:sz w:val="24"/>
          <w:szCs w:val="24"/>
          <w:lang w:eastAsia="zh-CN"/>
        </w:rPr>
        <w:t>3</w:t>
      </w:r>
      <w:r>
        <w:rPr>
          <w:rFonts w:hint="default" w:ascii="Times New Roman" w:hAnsi="Times New Roman" w:eastAsia="宋体" w:cs="Times New Roman"/>
          <w:color w:val="auto"/>
          <w:sz w:val="24"/>
          <w:szCs w:val="24"/>
          <w:lang w:eastAsia="zh-CN"/>
        </w:rPr>
        <w:t xml:space="preserve"> 罕遇地震下最大层间位移角为(2.0，4.0]×[</w:t>
      </w:r>
      <w:r>
        <w:rPr>
          <w:rFonts w:hint="default" w:ascii="Times New Roman" w:hAnsi="Times New Roman" w:eastAsia="宋体" w:cs="Times New Roman"/>
          <w:i/>
          <w:iCs/>
          <w:color w:val="auto"/>
          <w:sz w:val="24"/>
          <w:szCs w:val="24"/>
        </w:rPr>
        <w:t>θ</w:t>
      </w:r>
      <w:r>
        <w:rPr>
          <w:rFonts w:hint="default" w:ascii="Times New Roman" w:hAnsi="Times New Roman" w:eastAsia="宋体" w:cs="Times New Roman"/>
          <w:color w:val="auto"/>
          <w:sz w:val="24"/>
          <w:szCs w:val="24"/>
          <w:lang w:eastAsia="zh-CN"/>
        </w:rPr>
        <w:t>]时，B、C类钢筋混凝土结构房屋可按常规设计的有关规定降低一度且不低于6度丙类建筑的抗震构造措施采用，A类钢筋混凝土房屋应采用现行国家标准《建筑抗震鉴定标准》GB 50023中A类建筑的抗震构造措施。</w:t>
      </w:r>
    </w:p>
    <w:p w14:paraId="248E19A3">
      <w:pPr>
        <w:spacing w:line="360" w:lineRule="exact"/>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rPr>
        <w:t xml:space="preserve">9.4.16 </w:t>
      </w:r>
      <w:r>
        <w:rPr>
          <w:rFonts w:hint="default" w:ascii="Times New Roman" w:hAnsi="Times New Roman" w:eastAsia="宋体" w:cs="Times New Roman"/>
          <w:color w:val="auto"/>
          <w:sz w:val="24"/>
          <w:szCs w:val="24"/>
        </w:rPr>
        <w:t>对于既有建筑改造时新增的结构构件，其抗震构造措施应满足国家现行有关标准的要求；对抗震构造措施复核不满足要求的既有构件，可根据其在罕遇地震下的损坏程度确定是否采取抗震加固措施。当既有构件的损坏程度满足要求时，可允许不采取抗震构造加固措施。</w:t>
      </w:r>
    </w:p>
    <w:p w14:paraId="4BE58713">
      <w:pPr>
        <w:spacing w:line="360" w:lineRule="exact"/>
        <w:rPr>
          <w:rFonts w:hint="default" w:ascii="Times New Roman" w:hAnsi="Times New Roman" w:eastAsia="宋体" w:cs="Times New Roman"/>
          <w:color w:val="auto"/>
          <w:sz w:val="24"/>
          <w:szCs w:val="24"/>
        </w:rPr>
      </w:pPr>
      <w:bookmarkStart w:id="246" w:name="_Toc14412"/>
      <w:r>
        <w:rPr>
          <w:rFonts w:hint="default" w:ascii="Times New Roman" w:hAnsi="Times New Roman" w:eastAsia="宋体" w:cs="Times New Roman"/>
          <w:b/>
          <w:color w:val="auto"/>
          <w:sz w:val="24"/>
          <w:szCs w:val="24"/>
        </w:rPr>
        <w:t>9.4.17</w:t>
      </w:r>
      <w:r>
        <w:rPr>
          <w:rFonts w:hint="default" w:ascii="Times New Roman" w:hAnsi="Times New Roman" w:eastAsia="宋体" w:cs="Times New Roman"/>
          <w:color w:val="auto"/>
          <w:sz w:val="24"/>
          <w:szCs w:val="24"/>
        </w:rPr>
        <w:t xml:space="preserve"> 构件在罕遇地震作用下的损坏程度应按下列流程进行评价：</w:t>
      </w:r>
      <w:bookmarkEnd w:id="246"/>
    </w:p>
    <w:p w14:paraId="021AFA84">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snapToGrid/>
          <w:color w:val="auto"/>
          <w:kern w:val="2"/>
          <w:sz w:val="24"/>
          <w:szCs w:val="24"/>
          <w:lang w:eastAsia="zh-CN"/>
        </w:rPr>
        <w:t xml:space="preserve">1 </w:t>
      </w:r>
      <w:r>
        <w:rPr>
          <w:rFonts w:hint="default" w:ascii="Times New Roman" w:hAnsi="Times New Roman" w:eastAsia="宋体" w:cs="Times New Roman"/>
          <w:color w:val="auto"/>
          <w:sz w:val="24"/>
          <w:szCs w:val="24"/>
          <w:lang w:eastAsia="zh-CN"/>
        </w:rPr>
        <w:t>根据结构预设性能目标和构件性能设计指标，确定构件的允许损坏等级；</w:t>
      </w:r>
    </w:p>
    <w:p w14:paraId="25575C80">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snapToGrid/>
          <w:color w:val="auto"/>
          <w:kern w:val="2"/>
          <w:sz w:val="24"/>
          <w:szCs w:val="24"/>
          <w:lang w:eastAsia="zh-CN"/>
        </w:rPr>
        <w:t>2</w:t>
      </w:r>
      <w:r>
        <w:rPr>
          <w:rFonts w:hint="default" w:ascii="Times New Roman" w:hAnsi="Times New Roman" w:eastAsia="宋体" w:cs="Times New Roman"/>
          <w:color w:val="auto"/>
          <w:sz w:val="24"/>
          <w:szCs w:val="24"/>
          <w:lang w:eastAsia="zh-CN"/>
        </w:rPr>
        <w:t xml:space="preserve"> 对抗震加固后的结构进行罕遇地震作用下的弹塑性分析，并计算构件的弹塑性变形、材料应变或损伤变量；</w:t>
      </w:r>
    </w:p>
    <w:p w14:paraId="2F99255C">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snapToGrid/>
          <w:color w:val="auto"/>
          <w:kern w:val="2"/>
          <w:sz w:val="24"/>
          <w:szCs w:val="24"/>
          <w:lang w:eastAsia="zh-CN"/>
        </w:rPr>
        <w:t>3</w:t>
      </w:r>
      <w:r>
        <w:rPr>
          <w:rFonts w:hint="default" w:ascii="Times New Roman" w:hAnsi="Times New Roman" w:eastAsia="宋体" w:cs="Times New Roman"/>
          <w:color w:val="auto"/>
          <w:sz w:val="24"/>
          <w:szCs w:val="24"/>
          <w:lang w:eastAsia="zh-CN"/>
        </w:rPr>
        <w:t xml:space="preserve"> 根据混凝土构件的实际配箍率、钢构件的板件宽厚比，评估构件在罕遇地震下的损坏等级；</w:t>
      </w:r>
    </w:p>
    <w:p w14:paraId="2DAE61E0">
      <w:pPr>
        <w:pStyle w:val="12"/>
        <w:ind w:firstLine="42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snapToGrid/>
          <w:color w:val="auto"/>
          <w:kern w:val="2"/>
          <w:sz w:val="24"/>
          <w:szCs w:val="24"/>
          <w:lang w:eastAsia="zh-CN"/>
        </w:rPr>
        <w:t>4</w:t>
      </w:r>
      <w:r>
        <w:rPr>
          <w:rFonts w:hint="default" w:ascii="Times New Roman" w:hAnsi="Times New Roman" w:eastAsia="宋体" w:cs="Times New Roman"/>
          <w:color w:val="auto"/>
          <w:sz w:val="24"/>
          <w:szCs w:val="24"/>
          <w:lang w:eastAsia="zh-CN"/>
        </w:rPr>
        <w:t xml:space="preserve"> 当构件的损坏等级超过允许损坏等级时，应采取提高构件延性的抗震构造加固措施。</w:t>
      </w:r>
    </w:p>
    <w:p w14:paraId="37CA1414">
      <w:pPr>
        <w:spacing w:line="360" w:lineRule="exact"/>
        <w:rPr>
          <w:rFonts w:hint="default" w:ascii="Times New Roman" w:hAnsi="Times New Roman" w:cs="Times New Roman" w:eastAsiaTheme="majorEastAsia"/>
          <w:color w:val="auto"/>
          <w:sz w:val="24"/>
          <w:szCs w:val="24"/>
        </w:rPr>
      </w:pPr>
      <w:r>
        <w:rPr>
          <w:rFonts w:hint="default" w:ascii="Times New Roman" w:hAnsi="Times New Roman" w:eastAsia="宋体" w:cs="Times New Roman"/>
          <w:b/>
          <w:color w:val="auto"/>
          <w:sz w:val="24"/>
          <w:szCs w:val="24"/>
        </w:rPr>
        <w:t xml:space="preserve">9.4.18 </w:t>
      </w:r>
      <w:r>
        <w:rPr>
          <w:rFonts w:hint="default" w:ascii="Times New Roman" w:hAnsi="Times New Roman" w:eastAsia="宋体" w:cs="Times New Roman"/>
          <w:color w:val="auto"/>
          <w:sz w:val="24"/>
          <w:szCs w:val="24"/>
        </w:rPr>
        <w:t>当抗震构造措施复核或损坏程度评价不满足要求的构件较多时，宜采用增设剪力墙、钢支撑等提高结构抗侧刚度的整体加固措施或设置消能减震装置。</w:t>
      </w:r>
    </w:p>
    <w:p w14:paraId="7D1C1E08">
      <w:pPr>
        <w:spacing w:line="360" w:lineRule="exact"/>
        <w:rPr>
          <w:rFonts w:hint="default" w:ascii="Times New Roman" w:hAnsi="Times New Roman" w:cs="Times New Roman" w:eastAsiaTheme="majorEastAsia"/>
          <w:color w:val="auto"/>
          <w:sz w:val="24"/>
          <w:szCs w:val="24"/>
        </w:rPr>
      </w:pPr>
    </w:p>
    <w:p w14:paraId="5C94EDD2">
      <w:pPr>
        <w:spacing w:line="360" w:lineRule="exact"/>
        <w:rPr>
          <w:rFonts w:hint="default" w:ascii="Times New Roman" w:hAnsi="Times New Roman" w:cs="Times New Roman" w:eastAsiaTheme="majorEastAsia"/>
          <w:color w:val="auto"/>
          <w:sz w:val="24"/>
          <w:szCs w:val="24"/>
        </w:rPr>
      </w:pPr>
    </w:p>
    <w:sectPr>
      <w:headerReference r:id="rId11" w:type="default"/>
      <w:footerReference r:id="rId12" w:type="default"/>
      <w:pgSz w:w="11905" w:h="16838"/>
      <w:pgMar w:top="1247" w:right="1021" w:bottom="907" w:left="1021" w:header="851" w:footer="907" w:gutter="0"/>
      <w:pgBorders>
        <w:top w:val="none" w:sz="0" w:space="0"/>
        <w:left w:val="none" w:sz="0" w:space="0"/>
        <w:bottom w:val="none" w:sz="0" w:space="0"/>
        <w:right w:val="none" w:sz="0" w:space="0"/>
      </w:pgBorders>
      <w:cols w:space="0" w:num="1"/>
      <w:docGrid w:linePitch="312" w:charSpace="0"/>
    </w:sectPr>
  </w:body>
</w:document>
</file>

<file path=word/customizations.xml><?xml version="1.0" encoding="utf-8"?>
<wne:tcg xmlns:r="http://schemas.openxmlformats.org/officeDocument/2006/relationships" xmlns:wne="http://schemas.microsoft.com/office/word/2006/wordml">
  <wne:keymaps>
    <wne:keymap wne:kcmPrimary="0630">
      <wne:acd wne:acdName="acd0"/>
    </wne:keymap>
    <wne:keymap wne:kcmPrimary="0631">
      <wne:acd wne:acdName="acd1"/>
    </wne:keymap>
    <wne:keymap wne:kcmPrimary="0632">
      <wne:acd wne:acdName="acd2"/>
    </wne:keymap>
  </wne:keymaps>
  <wne:acds>
    <wne:acd wne:argValue="AgBhZ7l+9IsOZg==" wne:acdName="acd0" wne:fciIndexBasedOn="0065"/>
    <wne:acd wne:argValue="AQAAAAEA" wne:acdName="acd1" wne:fciIndexBasedOn="0065"/>
    <wne:acd wne:argValue="AQAAAAIA" wne:acdName="acd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方正小标宋简体">
    <w:altName w:val="方正舒体"/>
    <w:panose1 w:val="02010601030101010101"/>
    <w:charset w:val="86"/>
    <w:family w:val="auto"/>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3D3BB">
    <w:pPr>
      <w:pStyle w:val="1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4830C3">
    <w:pPr>
      <w:pStyle w:val="1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8CC424">
    <w:pPr>
      <w:spacing w:line="174" w:lineRule="auto"/>
      <w:ind w:left="4701"/>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26367">
    <w:pPr>
      <w:spacing w:line="179" w:lineRule="auto"/>
      <w:ind w:left="25"/>
      <w:rPr>
        <w:rFonts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CC5063">
    <w:pPr>
      <w:pStyle w:val="17"/>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CD6228">
    <w:pPr>
      <w:pStyle w:val="1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8D8834">
    <w:pPr>
      <w:pStyle w:val="17"/>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07F89">
    <w:pPr>
      <w:pStyle w:val="1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F598C"/>
    <w:multiLevelType w:val="singleLevel"/>
    <w:tmpl w:val="A68F598C"/>
    <w:lvl w:ilvl="0" w:tentative="0">
      <w:start w:val="1"/>
      <w:numFmt w:val="decimal"/>
      <w:suff w:val="nothing"/>
      <w:lvlText w:val="%1）"/>
      <w:lvlJc w:val="left"/>
    </w:lvl>
  </w:abstractNum>
  <w:abstractNum w:abstractNumId="1">
    <w:nsid w:val="42D446D4"/>
    <w:multiLevelType w:val="singleLevel"/>
    <w:tmpl w:val="42D446D4"/>
    <w:lvl w:ilvl="0" w:tentative="0">
      <w:start w:val="1"/>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hideSpellingErrors/>
  <w:documentProtection w:enforcement="0"/>
  <w:defaultTabStop w:val="420"/>
  <w:drawingGridHorizontalSpacing w:val="21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BiYjUwNTViYjVjOGJkYzkzZjY5M2VkMmFjZmRhZTQifQ=="/>
  </w:docVars>
  <w:rsids>
    <w:rsidRoot w:val="008736EF"/>
    <w:rsid w:val="00000084"/>
    <w:rsid w:val="000011D3"/>
    <w:rsid w:val="00001A86"/>
    <w:rsid w:val="0000398D"/>
    <w:rsid w:val="0001338A"/>
    <w:rsid w:val="00013648"/>
    <w:rsid w:val="00016305"/>
    <w:rsid w:val="000170B4"/>
    <w:rsid w:val="000173E3"/>
    <w:rsid w:val="00025618"/>
    <w:rsid w:val="000277D7"/>
    <w:rsid w:val="000314C8"/>
    <w:rsid w:val="00033C71"/>
    <w:rsid w:val="00040B07"/>
    <w:rsid w:val="00043799"/>
    <w:rsid w:val="00046AE2"/>
    <w:rsid w:val="00047F7B"/>
    <w:rsid w:val="00051896"/>
    <w:rsid w:val="000534B9"/>
    <w:rsid w:val="000540BF"/>
    <w:rsid w:val="000569CF"/>
    <w:rsid w:val="0005702D"/>
    <w:rsid w:val="0006080F"/>
    <w:rsid w:val="00061B31"/>
    <w:rsid w:val="000635DC"/>
    <w:rsid w:val="0006637F"/>
    <w:rsid w:val="00067EA7"/>
    <w:rsid w:val="0007060E"/>
    <w:rsid w:val="0007141A"/>
    <w:rsid w:val="0007444A"/>
    <w:rsid w:val="000751C6"/>
    <w:rsid w:val="00076F09"/>
    <w:rsid w:val="000772F8"/>
    <w:rsid w:val="000775BC"/>
    <w:rsid w:val="00077938"/>
    <w:rsid w:val="00077D6B"/>
    <w:rsid w:val="00084A0B"/>
    <w:rsid w:val="0009502F"/>
    <w:rsid w:val="000976DB"/>
    <w:rsid w:val="000A4070"/>
    <w:rsid w:val="000A4531"/>
    <w:rsid w:val="000B15B5"/>
    <w:rsid w:val="000C1117"/>
    <w:rsid w:val="000C4F30"/>
    <w:rsid w:val="000E7A87"/>
    <w:rsid w:val="000E7CD9"/>
    <w:rsid w:val="000F18A3"/>
    <w:rsid w:val="000F3A00"/>
    <w:rsid w:val="000F4B56"/>
    <w:rsid w:val="000F64D6"/>
    <w:rsid w:val="00100295"/>
    <w:rsid w:val="00102013"/>
    <w:rsid w:val="001041C2"/>
    <w:rsid w:val="001104EC"/>
    <w:rsid w:val="00114BF7"/>
    <w:rsid w:val="001158E1"/>
    <w:rsid w:val="0012658E"/>
    <w:rsid w:val="00131B6A"/>
    <w:rsid w:val="00131BF9"/>
    <w:rsid w:val="00132DBD"/>
    <w:rsid w:val="00137611"/>
    <w:rsid w:val="00146E63"/>
    <w:rsid w:val="00150FFD"/>
    <w:rsid w:val="0015286A"/>
    <w:rsid w:val="00154747"/>
    <w:rsid w:val="00154885"/>
    <w:rsid w:val="00155D91"/>
    <w:rsid w:val="0015774B"/>
    <w:rsid w:val="001578D2"/>
    <w:rsid w:val="001579D1"/>
    <w:rsid w:val="00164A7D"/>
    <w:rsid w:val="001669DE"/>
    <w:rsid w:val="00167FE7"/>
    <w:rsid w:val="0017136B"/>
    <w:rsid w:val="001729C3"/>
    <w:rsid w:val="0018367B"/>
    <w:rsid w:val="00183CDF"/>
    <w:rsid w:val="00190F75"/>
    <w:rsid w:val="00192419"/>
    <w:rsid w:val="001955A1"/>
    <w:rsid w:val="001A005B"/>
    <w:rsid w:val="001A009A"/>
    <w:rsid w:val="001A179F"/>
    <w:rsid w:val="001A6FA3"/>
    <w:rsid w:val="001B0207"/>
    <w:rsid w:val="001B1891"/>
    <w:rsid w:val="001B33B4"/>
    <w:rsid w:val="001B4229"/>
    <w:rsid w:val="001B46A1"/>
    <w:rsid w:val="001B6AAF"/>
    <w:rsid w:val="001B76F7"/>
    <w:rsid w:val="001B794E"/>
    <w:rsid w:val="001B7C23"/>
    <w:rsid w:val="001D161F"/>
    <w:rsid w:val="001D3093"/>
    <w:rsid w:val="001E1C40"/>
    <w:rsid w:val="001E3610"/>
    <w:rsid w:val="001E36ED"/>
    <w:rsid w:val="001E4639"/>
    <w:rsid w:val="001E600B"/>
    <w:rsid w:val="001F1A08"/>
    <w:rsid w:val="001F410F"/>
    <w:rsid w:val="001F72BE"/>
    <w:rsid w:val="002029DD"/>
    <w:rsid w:val="002056EF"/>
    <w:rsid w:val="002101A7"/>
    <w:rsid w:val="00210AA1"/>
    <w:rsid w:val="0021409D"/>
    <w:rsid w:val="00215A5A"/>
    <w:rsid w:val="00215D37"/>
    <w:rsid w:val="00216B2F"/>
    <w:rsid w:val="00216F40"/>
    <w:rsid w:val="002204DE"/>
    <w:rsid w:val="00220DCB"/>
    <w:rsid w:val="00221FED"/>
    <w:rsid w:val="0023011C"/>
    <w:rsid w:val="00233671"/>
    <w:rsid w:val="00235897"/>
    <w:rsid w:val="00237C7A"/>
    <w:rsid w:val="00245A4A"/>
    <w:rsid w:val="00245D41"/>
    <w:rsid w:val="002468BA"/>
    <w:rsid w:val="0025286A"/>
    <w:rsid w:val="002537D1"/>
    <w:rsid w:val="00260933"/>
    <w:rsid w:val="00272DA7"/>
    <w:rsid w:val="00273EB0"/>
    <w:rsid w:val="00275DAD"/>
    <w:rsid w:val="00280A9C"/>
    <w:rsid w:val="00280C2A"/>
    <w:rsid w:val="002849D5"/>
    <w:rsid w:val="002866D6"/>
    <w:rsid w:val="00290905"/>
    <w:rsid w:val="002924BA"/>
    <w:rsid w:val="00292887"/>
    <w:rsid w:val="00294E06"/>
    <w:rsid w:val="00297379"/>
    <w:rsid w:val="002A5A3A"/>
    <w:rsid w:val="002A7845"/>
    <w:rsid w:val="002B0248"/>
    <w:rsid w:val="002B33A2"/>
    <w:rsid w:val="002B6D53"/>
    <w:rsid w:val="002C16E7"/>
    <w:rsid w:val="002C4F4A"/>
    <w:rsid w:val="002C5C98"/>
    <w:rsid w:val="002C7077"/>
    <w:rsid w:val="002D09D7"/>
    <w:rsid w:val="002D46B2"/>
    <w:rsid w:val="002D4A31"/>
    <w:rsid w:val="002D733C"/>
    <w:rsid w:val="002D73EB"/>
    <w:rsid w:val="002E1767"/>
    <w:rsid w:val="002E2138"/>
    <w:rsid w:val="002E4460"/>
    <w:rsid w:val="002E50D2"/>
    <w:rsid w:val="002E5FE8"/>
    <w:rsid w:val="002E6CF9"/>
    <w:rsid w:val="002F1E33"/>
    <w:rsid w:val="002F1FB0"/>
    <w:rsid w:val="002F2F04"/>
    <w:rsid w:val="002F4E21"/>
    <w:rsid w:val="002F6E20"/>
    <w:rsid w:val="002F77CC"/>
    <w:rsid w:val="00303AA1"/>
    <w:rsid w:val="003050EB"/>
    <w:rsid w:val="00306ED1"/>
    <w:rsid w:val="003078DF"/>
    <w:rsid w:val="00312538"/>
    <w:rsid w:val="00314F52"/>
    <w:rsid w:val="00315E1D"/>
    <w:rsid w:val="00317587"/>
    <w:rsid w:val="0032015E"/>
    <w:rsid w:val="00320384"/>
    <w:rsid w:val="00322F6C"/>
    <w:rsid w:val="00323D09"/>
    <w:rsid w:val="0033165A"/>
    <w:rsid w:val="0033694C"/>
    <w:rsid w:val="00340E93"/>
    <w:rsid w:val="00342191"/>
    <w:rsid w:val="00342371"/>
    <w:rsid w:val="00344046"/>
    <w:rsid w:val="00344597"/>
    <w:rsid w:val="003457F3"/>
    <w:rsid w:val="003504FF"/>
    <w:rsid w:val="0036585F"/>
    <w:rsid w:val="00372C78"/>
    <w:rsid w:val="00377B22"/>
    <w:rsid w:val="00380BFF"/>
    <w:rsid w:val="003843EA"/>
    <w:rsid w:val="00385A52"/>
    <w:rsid w:val="00385BB7"/>
    <w:rsid w:val="00386421"/>
    <w:rsid w:val="003866CB"/>
    <w:rsid w:val="00390CA3"/>
    <w:rsid w:val="003913A8"/>
    <w:rsid w:val="0039169B"/>
    <w:rsid w:val="00392C59"/>
    <w:rsid w:val="00396DB3"/>
    <w:rsid w:val="00397808"/>
    <w:rsid w:val="003A0D07"/>
    <w:rsid w:val="003A6A92"/>
    <w:rsid w:val="003A7735"/>
    <w:rsid w:val="003B1089"/>
    <w:rsid w:val="003B1EAA"/>
    <w:rsid w:val="003B2C6D"/>
    <w:rsid w:val="003C2ABA"/>
    <w:rsid w:val="003C56EB"/>
    <w:rsid w:val="003C58AE"/>
    <w:rsid w:val="003C6C58"/>
    <w:rsid w:val="003E3ED0"/>
    <w:rsid w:val="003E5A8F"/>
    <w:rsid w:val="003E5BEE"/>
    <w:rsid w:val="003E7B17"/>
    <w:rsid w:val="003E7DCC"/>
    <w:rsid w:val="003F76E8"/>
    <w:rsid w:val="00402104"/>
    <w:rsid w:val="0040224B"/>
    <w:rsid w:val="00411708"/>
    <w:rsid w:val="00411AA6"/>
    <w:rsid w:val="00414CD1"/>
    <w:rsid w:val="00422606"/>
    <w:rsid w:val="004226B3"/>
    <w:rsid w:val="004238D9"/>
    <w:rsid w:val="00430128"/>
    <w:rsid w:val="00431356"/>
    <w:rsid w:val="00431715"/>
    <w:rsid w:val="00432E1B"/>
    <w:rsid w:val="00435127"/>
    <w:rsid w:val="00442D61"/>
    <w:rsid w:val="00447F27"/>
    <w:rsid w:val="00450ABF"/>
    <w:rsid w:val="00451FF4"/>
    <w:rsid w:val="00452E62"/>
    <w:rsid w:val="0045394F"/>
    <w:rsid w:val="004572D8"/>
    <w:rsid w:val="00460344"/>
    <w:rsid w:val="004659E7"/>
    <w:rsid w:val="004667EE"/>
    <w:rsid w:val="004678EE"/>
    <w:rsid w:val="00473718"/>
    <w:rsid w:val="00474397"/>
    <w:rsid w:val="004750EF"/>
    <w:rsid w:val="00476D63"/>
    <w:rsid w:val="004836C3"/>
    <w:rsid w:val="00486679"/>
    <w:rsid w:val="0049190D"/>
    <w:rsid w:val="00492B36"/>
    <w:rsid w:val="00494F95"/>
    <w:rsid w:val="00496B9D"/>
    <w:rsid w:val="004A50B4"/>
    <w:rsid w:val="004A513E"/>
    <w:rsid w:val="004A53F0"/>
    <w:rsid w:val="004B119F"/>
    <w:rsid w:val="004C0C6C"/>
    <w:rsid w:val="004C0CF7"/>
    <w:rsid w:val="004C1882"/>
    <w:rsid w:val="004C38D4"/>
    <w:rsid w:val="004C38D7"/>
    <w:rsid w:val="004C4566"/>
    <w:rsid w:val="004C5A1C"/>
    <w:rsid w:val="004C70DC"/>
    <w:rsid w:val="004C7FEC"/>
    <w:rsid w:val="004D059D"/>
    <w:rsid w:val="004D18D3"/>
    <w:rsid w:val="004D1E0B"/>
    <w:rsid w:val="004D25C9"/>
    <w:rsid w:val="004D6376"/>
    <w:rsid w:val="004F0D28"/>
    <w:rsid w:val="004F2CE1"/>
    <w:rsid w:val="004F3117"/>
    <w:rsid w:val="004F3955"/>
    <w:rsid w:val="004F447F"/>
    <w:rsid w:val="004F6C29"/>
    <w:rsid w:val="00500F52"/>
    <w:rsid w:val="00510039"/>
    <w:rsid w:val="005136BC"/>
    <w:rsid w:val="00513B62"/>
    <w:rsid w:val="0051723F"/>
    <w:rsid w:val="00521162"/>
    <w:rsid w:val="00522046"/>
    <w:rsid w:val="005223FE"/>
    <w:rsid w:val="00527295"/>
    <w:rsid w:val="00531F0D"/>
    <w:rsid w:val="0053235F"/>
    <w:rsid w:val="00533003"/>
    <w:rsid w:val="005362BC"/>
    <w:rsid w:val="00540382"/>
    <w:rsid w:val="00542CF7"/>
    <w:rsid w:val="00544B54"/>
    <w:rsid w:val="00545699"/>
    <w:rsid w:val="00550F70"/>
    <w:rsid w:val="00552303"/>
    <w:rsid w:val="00552F2E"/>
    <w:rsid w:val="00553C7A"/>
    <w:rsid w:val="00556DE5"/>
    <w:rsid w:val="005605C7"/>
    <w:rsid w:val="00562DB5"/>
    <w:rsid w:val="00566D2B"/>
    <w:rsid w:val="00567D84"/>
    <w:rsid w:val="00572A1C"/>
    <w:rsid w:val="00575713"/>
    <w:rsid w:val="00575A7B"/>
    <w:rsid w:val="0057614F"/>
    <w:rsid w:val="0057785A"/>
    <w:rsid w:val="00580BF0"/>
    <w:rsid w:val="0058196B"/>
    <w:rsid w:val="0058216E"/>
    <w:rsid w:val="00582C81"/>
    <w:rsid w:val="00583020"/>
    <w:rsid w:val="00583A2E"/>
    <w:rsid w:val="00584CC3"/>
    <w:rsid w:val="0059050D"/>
    <w:rsid w:val="00592EAF"/>
    <w:rsid w:val="0059402A"/>
    <w:rsid w:val="005943B2"/>
    <w:rsid w:val="00594867"/>
    <w:rsid w:val="005A36F9"/>
    <w:rsid w:val="005B49E6"/>
    <w:rsid w:val="005C72B4"/>
    <w:rsid w:val="005D12F2"/>
    <w:rsid w:val="005D5B2C"/>
    <w:rsid w:val="005E44F1"/>
    <w:rsid w:val="005F0A1A"/>
    <w:rsid w:val="0060008C"/>
    <w:rsid w:val="00600F94"/>
    <w:rsid w:val="0060259B"/>
    <w:rsid w:val="00603309"/>
    <w:rsid w:val="006045D5"/>
    <w:rsid w:val="006046BC"/>
    <w:rsid w:val="006106B0"/>
    <w:rsid w:val="0061167E"/>
    <w:rsid w:val="006117F6"/>
    <w:rsid w:val="006155BD"/>
    <w:rsid w:val="00615685"/>
    <w:rsid w:val="00621B38"/>
    <w:rsid w:val="00625038"/>
    <w:rsid w:val="00625A18"/>
    <w:rsid w:val="006305F4"/>
    <w:rsid w:val="00633389"/>
    <w:rsid w:val="00633E1D"/>
    <w:rsid w:val="0063704E"/>
    <w:rsid w:val="00637520"/>
    <w:rsid w:val="00637720"/>
    <w:rsid w:val="0064361B"/>
    <w:rsid w:val="0064604C"/>
    <w:rsid w:val="00646CEB"/>
    <w:rsid w:val="00646FAE"/>
    <w:rsid w:val="006500B2"/>
    <w:rsid w:val="00653F22"/>
    <w:rsid w:val="00655411"/>
    <w:rsid w:val="00661116"/>
    <w:rsid w:val="0066153C"/>
    <w:rsid w:val="006664E5"/>
    <w:rsid w:val="006752A5"/>
    <w:rsid w:val="00682168"/>
    <w:rsid w:val="006845D3"/>
    <w:rsid w:val="0068627B"/>
    <w:rsid w:val="006872A4"/>
    <w:rsid w:val="00690C3A"/>
    <w:rsid w:val="00693A5A"/>
    <w:rsid w:val="0069554B"/>
    <w:rsid w:val="006958EC"/>
    <w:rsid w:val="006A791D"/>
    <w:rsid w:val="006B0954"/>
    <w:rsid w:val="006B1D1B"/>
    <w:rsid w:val="006B2815"/>
    <w:rsid w:val="006B5632"/>
    <w:rsid w:val="006C0632"/>
    <w:rsid w:val="006C1623"/>
    <w:rsid w:val="006C5B12"/>
    <w:rsid w:val="006C7B03"/>
    <w:rsid w:val="006D00B5"/>
    <w:rsid w:val="006D1B1D"/>
    <w:rsid w:val="006D4BC2"/>
    <w:rsid w:val="006D5EF7"/>
    <w:rsid w:val="006D77F4"/>
    <w:rsid w:val="006E124B"/>
    <w:rsid w:val="006F0718"/>
    <w:rsid w:val="006F4EA0"/>
    <w:rsid w:val="0070572B"/>
    <w:rsid w:val="00707B55"/>
    <w:rsid w:val="0071024E"/>
    <w:rsid w:val="00710B95"/>
    <w:rsid w:val="007122B5"/>
    <w:rsid w:val="00712C12"/>
    <w:rsid w:val="00712CC3"/>
    <w:rsid w:val="007152E0"/>
    <w:rsid w:val="007204CA"/>
    <w:rsid w:val="00722D4D"/>
    <w:rsid w:val="00723A04"/>
    <w:rsid w:val="0072752A"/>
    <w:rsid w:val="0073208F"/>
    <w:rsid w:val="007337CB"/>
    <w:rsid w:val="00740020"/>
    <w:rsid w:val="0074247A"/>
    <w:rsid w:val="00743AA1"/>
    <w:rsid w:val="007515AD"/>
    <w:rsid w:val="00751F6F"/>
    <w:rsid w:val="0075343B"/>
    <w:rsid w:val="0075600D"/>
    <w:rsid w:val="00762D90"/>
    <w:rsid w:val="00763FAA"/>
    <w:rsid w:val="00770745"/>
    <w:rsid w:val="007721F6"/>
    <w:rsid w:val="00773765"/>
    <w:rsid w:val="00773E81"/>
    <w:rsid w:val="007749DC"/>
    <w:rsid w:val="00782213"/>
    <w:rsid w:val="007902D0"/>
    <w:rsid w:val="00793BF4"/>
    <w:rsid w:val="007A1FE2"/>
    <w:rsid w:val="007A3452"/>
    <w:rsid w:val="007A773B"/>
    <w:rsid w:val="007B2151"/>
    <w:rsid w:val="007B25DD"/>
    <w:rsid w:val="007B7481"/>
    <w:rsid w:val="007C34F6"/>
    <w:rsid w:val="007C485F"/>
    <w:rsid w:val="007C7690"/>
    <w:rsid w:val="007D1160"/>
    <w:rsid w:val="007D1946"/>
    <w:rsid w:val="007D1C70"/>
    <w:rsid w:val="007D3C2F"/>
    <w:rsid w:val="007D67E4"/>
    <w:rsid w:val="007E2734"/>
    <w:rsid w:val="007E5105"/>
    <w:rsid w:val="007E5E1C"/>
    <w:rsid w:val="007F0646"/>
    <w:rsid w:val="007F0B5F"/>
    <w:rsid w:val="007F1B3E"/>
    <w:rsid w:val="007F38A4"/>
    <w:rsid w:val="007F57D7"/>
    <w:rsid w:val="007F649E"/>
    <w:rsid w:val="00801C66"/>
    <w:rsid w:val="00804D9F"/>
    <w:rsid w:val="00811918"/>
    <w:rsid w:val="00812854"/>
    <w:rsid w:val="008219C4"/>
    <w:rsid w:val="008246C1"/>
    <w:rsid w:val="00825D7B"/>
    <w:rsid w:val="00825DA2"/>
    <w:rsid w:val="0082742B"/>
    <w:rsid w:val="008308CD"/>
    <w:rsid w:val="00830A9C"/>
    <w:rsid w:val="00830C05"/>
    <w:rsid w:val="00830D1D"/>
    <w:rsid w:val="00837AB2"/>
    <w:rsid w:val="008403AD"/>
    <w:rsid w:val="00842380"/>
    <w:rsid w:val="0084325C"/>
    <w:rsid w:val="00844F39"/>
    <w:rsid w:val="00852E10"/>
    <w:rsid w:val="0085342F"/>
    <w:rsid w:val="008534E5"/>
    <w:rsid w:val="008538A2"/>
    <w:rsid w:val="00855C66"/>
    <w:rsid w:val="00857D4A"/>
    <w:rsid w:val="008645A2"/>
    <w:rsid w:val="00864710"/>
    <w:rsid w:val="00865153"/>
    <w:rsid w:val="00866012"/>
    <w:rsid w:val="00866596"/>
    <w:rsid w:val="008727AA"/>
    <w:rsid w:val="008736EF"/>
    <w:rsid w:val="00874D98"/>
    <w:rsid w:val="00881BD9"/>
    <w:rsid w:val="008827C4"/>
    <w:rsid w:val="0088355D"/>
    <w:rsid w:val="0088373C"/>
    <w:rsid w:val="008907D9"/>
    <w:rsid w:val="00893130"/>
    <w:rsid w:val="008A09C7"/>
    <w:rsid w:val="008A1D88"/>
    <w:rsid w:val="008A2BB6"/>
    <w:rsid w:val="008A4EBD"/>
    <w:rsid w:val="008A55BE"/>
    <w:rsid w:val="008A7896"/>
    <w:rsid w:val="008B39D9"/>
    <w:rsid w:val="008B6B52"/>
    <w:rsid w:val="008B7CC5"/>
    <w:rsid w:val="008C0B85"/>
    <w:rsid w:val="008C4B41"/>
    <w:rsid w:val="008C6F19"/>
    <w:rsid w:val="008D08A5"/>
    <w:rsid w:val="008D0AA5"/>
    <w:rsid w:val="008D0EB0"/>
    <w:rsid w:val="008D11A3"/>
    <w:rsid w:val="008F03C4"/>
    <w:rsid w:val="008F52D3"/>
    <w:rsid w:val="008F70A9"/>
    <w:rsid w:val="009041A8"/>
    <w:rsid w:val="009043CF"/>
    <w:rsid w:val="00911967"/>
    <w:rsid w:val="00914566"/>
    <w:rsid w:val="00917D5B"/>
    <w:rsid w:val="00922E4B"/>
    <w:rsid w:val="009244DE"/>
    <w:rsid w:val="00930876"/>
    <w:rsid w:val="00935415"/>
    <w:rsid w:val="00935E41"/>
    <w:rsid w:val="00937662"/>
    <w:rsid w:val="009433FA"/>
    <w:rsid w:val="00944F3D"/>
    <w:rsid w:val="009502AB"/>
    <w:rsid w:val="00950E19"/>
    <w:rsid w:val="00953E09"/>
    <w:rsid w:val="00954540"/>
    <w:rsid w:val="00957C65"/>
    <w:rsid w:val="009612F7"/>
    <w:rsid w:val="00961DDF"/>
    <w:rsid w:val="00963831"/>
    <w:rsid w:val="00963A5C"/>
    <w:rsid w:val="00966804"/>
    <w:rsid w:val="00967D09"/>
    <w:rsid w:val="00970ED8"/>
    <w:rsid w:val="00972CCD"/>
    <w:rsid w:val="009732A9"/>
    <w:rsid w:val="00973D58"/>
    <w:rsid w:val="00974FC7"/>
    <w:rsid w:val="0097520B"/>
    <w:rsid w:val="00982B17"/>
    <w:rsid w:val="009874C3"/>
    <w:rsid w:val="00990E84"/>
    <w:rsid w:val="00991976"/>
    <w:rsid w:val="00996AD4"/>
    <w:rsid w:val="009978FD"/>
    <w:rsid w:val="009A2719"/>
    <w:rsid w:val="009A2860"/>
    <w:rsid w:val="009A58D2"/>
    <w:rsid w:val="009A5AA1"/>
    <w:rsid w:val="009B1302"/>
    <w:rsid w:val="009B76EA"/>
    <w:rsid w:val="009D27F0"/>
    <w:rsid w:val="009D67BF"/>
    <w:rsid w:val="009E158C"/>
    <w:rsid w:val="009F3194"/>
    <w:rsid w:val="009F3FDE"/>
    <w:rsid w:val="009F4230"/>
    <w:rsid w:val="009F529E"/>
    <w:rsid w:val="00A01369"/>
    <w:rsid w:val="00A02CC5"/>
    <w:rsid w:val="00A03055"/>
    <w:rsid w:val="00A1240C"/>
    <w:rsid w:val="00A12D4D"/>
    <w:rsid w:val="00A16943"/>
    <w:rsid w:val="00A16D17"/>
    <w:rsid w:val="00A20A22"/>
    <w:rsid w:val="00A254F4"/>
    <w:rsid w:val="00A26189"/>
    <w:rsid w:val="00A3245A"/>
    <w:rsid w:val="00A3261B"/>
    <w:rsid w:val="00A3637A"/>
    <w:rsid w:val="00A45922"/>
    <w:rsid w:val="00A50748"/>
    <w:rsid w:val="00A56DAA"/>
    <w:rsid w:val="00A650B4"/>
    <w:rsid w:val="00A72651"/>
    <w:rsid w:val="00A72C8C"/>
    <w:rsid w:val="00A73B6A"/>
    <w:rsid w:val="00A74639"/>
    <w:rsid w:val="00A77775"/>
    <w:rsid w:val="00A94B2E"/>
    <w:rsid w:val="00A95A9F"/>
    <w:rsid w:val="00A96091"/>
    <w:rsid w:val="00A979A6"/>
    <w:rsid w:val="00A97C6E"/>
    <w:rsid w:val="00AA0E3E"/>
    <w:rsid w:val="00AA1B40"/>
    <w:rsid w:val="00AA2DB9"/>
    <w:rsid w:val="00AA6785"/>
    <w:rsid w:val="00AB437F"/>
    <w:rsid w:val="00AB4441"/>
    <w:rsid w:val="00AB7604"/>
    <w:rsid w:val="00AC324A"/>
    <w:rsid w:val="00AC49A1"/>
    <w:rsid w:val="00AC64C9"/>
    <w:rsid w:val="00AC6E4A"/>
    <w:rsid w:val="00AC778F"/>
    <w:rsid w:val="00AD6897"/>
    <w:rsid w:val="00AD699E"/>
    <w:rsid w:val="00AD6B3D"/>
    <w:rsid w:val="00AE26F1"/>
    <w:rsid w:val="00AE51CA"/>
    <w:rsid w:val="00AE536D"/>
    <w:rsid w:val="00AE5CBA"/>
    <w:rsid w:val="00AE7B5D"/>
    <w:rsid w:val="00AF54E5"/>
    <w:rsid w:val="00AF5E73"/>
    <w:rsid w:val="00AF65CF"/>
    <w:rsid w:val="00B02048"/>
    <w:rsid w:val="00B03A64"/>
    <w:rsid w:val="00B12034"/>
    <w:rsid w:val="00B165CE"/>
    <w:rsid w:val="00B17000"/>
    <w:rsid w:val="00B20F05"/>
    <w:rsid w:val="00B20FEB"/>
    <w:rsid w:val="00B24865"/>
    <w:rsid w:val="00B260EE"/>
    <w:rsid w:val="00B27254"/>
    <w:rsid w:val="00B30C04"/>
    <w:rsid w:val="00B3547D"/>
    <w:rsid w:val="00B43099"/>
    <w:rsid w:val="00B443DE"/>
    <w:rsid w:val="00B4445D"/>
    <w:rsid w:val="00B4502C"/>
    <w:rsid w:val="00B57EAC"/>
    <w:rsid w:val="00B60D6E"/>
    <w:rsid w:val="00B618CE"/>
    <w:rsid w:val="00B634A4"/>
    <w:rsid w:val="00B63E3C"/>
    <w:rsid w:val="00B70A61"/>
    <w:rsid w:val="00B71D7A"/>
    <w:rsid w:val="00B73CAF"/>
    <w:rsid w:val="00B763E5"/>
    <w:rsid w:val="00B77B83"/>
    <w:rsid w:val="00B80A2E"/>
    <w:rsid w:val="00B85007"/>
    <w:rsid w:val="00B859C7"/>
    <w:rsid w:val="00B87B9F"/>
    <w:rsid w:val="00B90772"/>
    <w:rsid w:val="00B926BC"/>
    <w:rsid w:val="00B965D4"/>
    <w:rsid w:val="00BA0D52"/>
    <w:rsid w:val="00BA5DF5"/>
    <w:rsid w:val="00BA768F"/>
    <w:rsid w:val="00BB2E4D"/>
    <w:rsid w:val="00BC03F3"/>
    <w:rsid w:val="00BC055A"/>
    <w:rsid w:val="00BC0E1F"/>
    <w:rsid w:val="00BC64AB"/>
    <w:rsid w:val="00BD0E4F"/>
    <w:rsid w:val="00BD144E"/>
    <w:rsid w:val="00BD517E"/>
    <w:rsid w:val="00BE194C"/>
    <w:rsid w:val="00BE3231"/>
    <w:rsid w:val="00BE66FC"/>
    <w:rsid w:val="00BF2106"/>
    <w:rsid w:val="00BF246E"/>
    <w:rsid w:val="00BF4D80"/>
    <w:rsid w:val="00BF7D82"/>
    <w:rsid w:val="00C01B5C"/>
    <w:rsid w:val="00C024C6"/>
    <w:rsid w:val="00C062A0"/>
    <w:rsid w:val="00C0781C"/>
    <w:rsid w:val="00C124E4"/>
    <w:rsid w:val="00C13009"/>
    <w:rsid w:val="00C13865"/>
    <w:rsid w:val="00C146E5"/>
    <w:rsid w:val="00C23D23"/>
    <w:rsid w:val="00C24F9B"/>
    <w:rsid w:val="00C25C9A"/>
    <w:rsid w:val="00C321C1"/>
    <w:rsid w:val="00C33A96"/>
    <w:rsid w:val="00C3537C"/>
    <w:rsid w:val="00C426D4"/>
    <w:rsid w:val="00C4279A"/>
    <w:rsid w:val="00C44488"/>
    <w:rsid w:val="00C47258"/>
    <w:rsid w:val="00C5211B"/>
    <w:rsid w:val="00C524FD"/>
    <w:rsid w:val="00C5314B"/>
    <w:rsid w:val="00C54129"/>
    <w:rsid w:val="00C603DF"/>
    <w:rsid w:val="00C60A04"/>
    <w:rsid w:val="00C63640"/>
    <w:rsid w:val="00C65E17"/>
    <w:rsid w:val="00C67EA9"/>
    <w:rsid w:val="00C70F1A"/>
    <w:rsid w:val="00C72BF1"/>
    <w:rsid w:val="00C756A1"/>
    <w:rsid w:val="00C75CCC"/>
    <w:rsid w:val="00C808B5"/>
    <w:rsid w:val="00C80C4D"/>
    <w:rsid w:val="00C85484"/>
    <w:rsid w:val="00C86360"/>
    <w:rsid w:val="00C90851"/>
    <w:rsid w:val="00C91818"/>
    <w:rsid w:val="00C9479F"/>
    <w:rsid w:val="00C95BC6"/>
    <w:rsid w:val="00C95E43"/>
    <w:rsid w:val="00C960E7"/>
    <w:rsid w:val="00C96E43"/>
    <w:rsid w:val="00CA0435"/>
    <w:rsid w:val="00CA07FC"/>
    <w:rsid w:val="00CA1A06"/>
    <w:rsid w:val="00CA35F4"/>
    <w:rsid w:val="00CA384A"/>
    <w:rsid w:val="00CB3E33"/>
    <w:rsid w:val="00CB4A3F"/>
    <w:rsid w:val="00CB5450"/>
    <w:rsid w:val="00CC3229"/>
    <w:rsid w:val="00CC3B48"/>
    <w:rsid w:val="00CC41F1"/>
    <w:rsid w:val="00CC5378"/>
    <w:rsid w:val="00CC6500"/>
    <w:rsid w:val="00CE0872"/>
    <w:rsid w:val="00CE4B7B"/>
    <w:rsid w:val="00CE661E"/>
    <w:rsid w:val="00CE6E07"/>
    <w:rsid w:val="00CE7D8F"/>
    <w:rsid w:val="00CE7F83"/>
    <w:rsid w:val="00CF34F3"/>
    <w:rsid w:val="00D0184A"/>
    <w:rsid w:val="00D0292A"/>
    <w:rsid w:val="00D03684"/>
    <w:rsid w:val="00D03DB9"/>
    <w:rsid w:val="00D04331"/>
    <w:rsid w:val="00D068AC"/>
    <w:rsid w:val="00D1101E"/>
    <w:rsid w:val="00D1169E"/>
    <w:rsid w:val="00D1596F"/>
    <w:rsid w:val="00D1661B"/>
    <w:rsid w:val="00D17582"/>
    <w:rsid w:val="00D2741B"/>
    <w:rsid w:val="00D30BF4"/>
    <w:rsid w:val="00D30F07"/>
    <w:rsid w:val="00D365F0"/>
    <w:rsid w:val="00D36FF9"/>
    <w:rsid w:val="00D376F0"/>
    <w:rsid w:val="00D40A6D"/>
    <w:rsid w:val="00D4252C"/>
    <w:rsid w:val="00D43BCB"/>
    <w:rsid w:val="00D4592B"/>
    <w:rsid w:val="00D467EA"/>
    <w:rsid w:val="00D53DA0"/>
    <w:rsid w:val="00D61F46"/>
    <w:rsid w:val="00D62382"/>
    <w:rsid w:val="00D6367D"/>
    <w:rsid w:val="00D728B8"/>
    <w:rsid w:val="00D728DF"/>
    <w:rsid w:val="00D764BE"/>
    <w:rsid w:val="00D76973"/>
    <w:rsid w:val="00D822B2"/>
    <w:rsid w:val="00D84A08"/>
    <w:rsid w:val="00D85835"/>
    <w:rsid w:val="00D86E78"/>
    <w:rsid w:val="00D86FA8"/>
    <w:rsid w:val="00D927AD"/>
    <w:rsid w:val="00D95A09"/>
    <w:rsid w:val="00DA39BB"/>
    <w:rsid w:val="00DA59A5"/>
    <w:rsid w:val="00DA603C"/>
    <w:rsid w:val="00DA67B8"/>
    <w:rsid w:val="00DB4C63"/>
    <w:rsid w:val="00DB5D62"/>
    <w:rsid w:val="00DB5FB3"/>
    <w:rsid w:val="00DB6BEC"/>
    <w:rsid w:val="00DB72A2"/>
    <w:rsid w:val="00DB7A39"/>
    <w:rsid w:val="00DC09E0"/>
    <w:rsid w:val="00DC1B78"/>
    <w:rsid w:val="00DC2B19"/>
    <w:rsid w:val="00DC497C"/>
    <w:rsid w:val="00DC4C48"/>
    <w:rsid w:val="00DC703D"/>
    <w:rsid w:val="00DC70AB"/>
    <w:rsid w:val="00DD04DE"/>
    <w:rsid w:val="00DD0A33"/>
    <w:rsid w:val="00DE54AD"/>
    <w:rsid w:val="00DE7260"/>
    <w:rsid w:val="00DF1534"/>
    <w:rsid w:val="00DF5B6A"/>
    <w:rsid w:val="00DF6B57"/>
    <w:rsid w:val="00E0090F"/>
    <w:rsid w:val="00E03D64"/>
    <w:rsid w:val="00E1010C"/>
    <w:rsid w:val="00E12BB9"/>
    <w:rsid w:val="00E13E26"/>
    <w:rsid w:val="00E14346"/>
    <w:rsid w:val="00E17ABD"/>
    <w:rsid w:val="00E207B2"/>
    <w:rsid w:val="00E20A77"/>
    <w:rsid w:val="00E24A85"/>
    <w:rsid w:val="00E25959"/>
    <w:rsid w:val="00E3580B"/>
    <w:rsid w:val="00E35D9B"/>
    <w:rsid w:val="00E41052"/>
    <w:rsid w:val="00E4112B"/>
    <w:rsid w:val="00E42BE5"/>
    <w:rsid w:val="00E42E06"/>
    <w:rsid w:val="00E43054"/>
    <w:rsid w:val="00E46C75"/>
    <w:rsid w:val="00E53DA4"/>
    <w:rsid w:val="00E54CDB"/>
    <w:rsid w:val="00E66667"/>
    <w:rsid w:val="00E70AB1"/>
    <w:rsid w:val="00E72766"/>
    <w:rsid w:val="00E801B5"/>
    <w:rsid w:val="00E8528E"/>
    <w:rsid w:val="00E95250"/>
    <w:rsid w:val="00E971F9"/>
    <w:rsid w:val="00EA2898"/>
    <w:rsid w:val="00EB2748"/>
    <w:rsid w:val="00EB4DC6"/>
    <w:rsid w:val="00EB7911"/>
    <w:rsid w:val="00EC6AC1"/>
    <w:rsid w:val="00ED1F43"/>
    <w:rsid w:val="00ED3023"/>
    <w:rsid w:val="00ED7B9F"/>
    <w:rsid w:val="00EE2767"/>
    <w:rsid w:val="00EF3CC5"/>
    <w:rsid w:val="00EF52ED"/>
    <w:rsid w:val="00EF5D49"/>
    <w:rsid w:val="00EF76C7"/>
    <w:rsid w:val="00F00869"/>
    <w:rsid w:val="00F01456"/>
    <w:rsid w:val="00F01B16"/>
    <w:rsid w:val="00F02803"/>
    <w:rsid w:val="00F0464A"/>
    <w:rsid w:val="00F1096E"/>
    <w:rsid w:val="00F11E7E"/>
    <w:rsid w:val="00F13144"/>
    <w:rsid w:val="00F132F9"/>
    <w:rsid w:val="00F136F3"/>
    <w:rsid w:val="00F14093"/>
    <w:rsid w:val="00F14E2F"/>
    <w:rsid w:val="00F15481"/>
    <w:rsid w:val="00F16642"/>
    <w:rsid w:val="00F17709"/>
    <w:rsid w:val="00F233ED"/>
    <w:rsid w:val="00F2665D"/>
    <w:rsid w:val="00F2711D"/>
    <w:rsid w:val="00F27902"/>
    <w:rsid w:val="00F3308C"/>
    <w:rsid w:val="00F342B8"/>
    <w:rsid w:val="00F367DA"/>
    <w:rsid w:val="00F40B2F"/>
    <w:rsid w:val="00F443F8"/>
    <w:rsid w:val="00F509A1"/>
    <w:rsid w:val="00F5131D"/>
    <w:rsid w:val="00F575AC"/>
    <w:rsid w:val="00F625D9"/>
    <w:rsid w:val="00F64F7E"/>
    <w:rsid w:val="00F66B39"/>
    <w:rsid w:val="00F67296"/>
    <w:rsid w:val="00F72315"/>
    <w:rsid w:val="00F72AD2"/>
    <w:rsid w:val="00F84A15"/>
    <w:rsid w:val="00F856C9"/>
    <w:rsid w:val="00F87BAC"/>
    <w:rsid w:val="00F91767"/>
    <w:rsid w:val="00F95B0D"/>
    <w:rsid w:val="00FA19D4"/>
    <w:rsid w:val="00FA27C1"/>
    <w:rsid w:val="00FA31D8"/>
    <w:rsid w:val="00FA5F2B"/>
    <w:rsid w:val="00FB068C"/>
    <w:rsid w:val="00FC61FE"/>
    <w:rsid w:val="00FD34BA"/>
    <w:rsid w:val="00FD41A3"/>
    <w:rsid w:val="00FE2AFD"/>
    <w:rsid w:val="00FE2B4A"/>
    <w:rsid w:val="00FE6D37"/>
    <w:rsid w:val="00FE73C4"/>
    <w:rsid w:val="00FE7609"/>
    <w:rsid w:val="00FF1816"/>
    <w:rsid w:val="00FF65E0"/>
    <w:rsid w:val="01155810"/>
    <w:rsid w:val="014063FE"/>
    <w:rsid w:val="016519C1"/>
    <w:rsid w:val="019839AC"/>
    <w:rsid w:val="01D654A8"/>
    <w:rsid w:val="01EC419C"/>
    <w:rsid w:val="01F77570"/>
    <w:rsid w:val="023F763D"/>
    <w:rsid w:val="0257247D"/>
    <w:rsid w:val="02663C42"/>
    <w:rsid w:val="027F2F56"/>
    <w:rsid w:val="028277E7"/>
    <w:rsid w:val="02B7624C"/>
    <w:rsid w:val="02C26517"/>
    <w:rsid w:val="02E16759"/>
    <w:rsid w:val="03072AA0"/>
    <w:rsid w:val="032D650E"/>
    <w:rsid w:val="03366612"/>
    <w:rsid w:val="037E320E"/>
    <w:rsid w:val="0385459C"/>
    <w:rsid w:val="03936CB9"/>
    <w:rsid w:val="03A463F0"/>
    <w:rsid w:val="03C828AD"/>
    <w:rsid w:val="03E95731"/>
    <w:rsid w:val="03F778FD"/>
    <w:rsid w:val="044D5ADA"/>
    <w:rsid w:val="04637AA8"/>
    <w:rsid w:val="04A26E27"/>
    <w:rsid w:val="04B07842"/>
    <w:rsid w:val="04C55482"/>
    <w:rsid w:val="04DD4E24"/>
    <w:rsid w:val="04E92E1E"/>
    <w:rsid w:val="04FC07BA"/>
    <w:rsid w:val="04FD01AC"/>
    <w:rsid w:val="05102B08"/>
    <w:rsid w:val="058551DC"/>
    <w:rsid w:val="05A15424"/>
    <w:rsid w:val="05BB6053"/>
    <w:rsid w:val="05CA27F7"/>
    <w:rsid w:val="05FF2043"/>
    <w:rsid w:val="06312DB5"/>
    <w:rsid w:val="063A2FF2"/>
    <w:rsid w:val="070C2F74"/>
    <w:rsid w:val="07124869"/>
    <w:rsid w:val="072F7455"/>
    <w:rsid w:val="074A4DDA"/>
    <w:rsid w:val="07590886"/>
    <w:rsid w:val="07837045"/>
    <w:rsid w:val="07A05C0E"/>
    <w:rsid w:val="07AA6C9E"/>
    <w:rsid w:val="07B93C8A"/>
    <w:rsid w:val="07BC587F"/>
    <w:rsid w:val="081A44BD"/>
    <w:rsid w:val="083C59FD"/>
    <w:rsid w:val="086230FE"/>
    <w:rsid w:val="08936406"/>
    <w:rsid w:val="08A97389"/>
    <w:rsid w:val="08F31161"/>
    <w:rsid w:val="09581E0B"/>
    <w:rsid w:val="09A12C23"/>
    <w:rsid w:val="09C65466"/>
    <w:rsid w:val="09D325DC"/>
    <w:rsid w:val="0A0400A7"/>
    <w:rsid w:val="0A642F0E"/>
    <w:rsid w:val="0A7528E9"/>
    <w:rsid w:val="0A782765"/>
    <w:rsid w:val="0A960A6B"/>
    <w:rsid w:val="0AB409D9"/>
    <w:rsid w:val="0AF618DB"/>
    <w:rsid w:val="0B0F299D"/>
    <w:rsid w:val="0B474469"/>
    <w:rsid w:val="0B6B0D55"/>
    <w:rsid w:val="0B725406"/>
    <w:rsid w:val="0BB542C0"/>
    <w:rsid w:val="0BF00A21"/>
    <w:rsid w:val="0C2C3B66"/>
    <w:rsid w:val="0C2F32F7"/>
    <w:rsid w:val="0C580AA0"/>
    <w:rsid w:val="0C670130"/>
    <w:rsid w:val="0C884F48"/>
    <w:rsid w:val="0CA35E55"/>
    <w:rsid w:val="0CD123A9"/>
    <w:rsid w:val="0D0942DB"/>
    <w:rsid w:val="0D4870DB"/>
    <w:rsid w:val="0D612044"/>
    <w:rsid w:val="0DD11A19"/>
    <w:rsid w:val="0E2055ED"/>
    <w:rsid w:val="0E71409B"/>
    <w:rsid w:val="0E807E3A"/>
    <w:rsid w:val="0E861CB7"/>
    <w:rsid w:val="0EB977F0"/>
    <w:rsid w:val="0EF31DCE"/>
    <w:rsid w:val="0F9242C9"/>
    <w:rsid w:val="0FFD0285"/>
    <w:rsid w:val="1029021D"/>
    <w:rsid w:val="10394744"/>
    <w:rsid w:val="104C661C"/>
    <w:rsid w:val="105E41AB"/>
    <w:rsid w:val="10B46DBA"/>
    <w:rsid w:val="10CF3662"/>
    <w:rsid w:val="11124F95"/>
    <w:rsid w:val="11161EF7"/>
    <w:rsid w:val="11205F43"/>
    <w:rsid w:val="116B779F"/>
    <w:rsid w:val="116D2C2E"/>
    <w:rsid w:val="11A46535"/>
    <w:rsid w:val="11C22033"/>
    <w:rsid w:val="11C24C0D"/>
    <w:rsid w:val="11C81F20"/>
    <w:rsid w:val="12446D21"/>
    <w:rsid w:val="12486EC1"/>
    <w:rsid w:val="129F5796"/>
    <w:rsid w:val="12B01387"/>
    <w:rsid w:val="13021765"/>
    <w:rsid w:val="13023513"/>
    <w:rsid w:val="13287F4E"/>
    <w:rsid w:val="133619F8"/>
    <w:rsid w:val="136970F1"/>
    <w:rsid w:val="13751D13"/>
    <w:rsid w:val="137A2D83"/>
    <w:rsid w:val="139D1BCE"/>
    <w:rsid w:val="13A27105"/>
    <w:rsid w:val="13B61E4A"/>
    <w:rsid w:val="13C20B7B"/>
    <w:rsid w:val="14430A9C"/>
    <w:rsid w:val="144C517B"/>
    <w:rsid w:val="14642877"/>
    <w:rsid w:val="146B60BD"/>
    <w:rsid w:val="149D101A"/>
    <w:rsid w:val="14E153AA"/>
    <w:rsid w:val="14ED2C64"/>
    <w:rsid w:val="15340D00"/>
    <w:rsid w:val="15400323"/>
    <w:rsid w:val="157533F7"/>
    <w:rsid w:val="159B7C4F"/>
    <w:rsid w:val="15AA78D9"/>
    <w:rsid w:val="15B23376"/>
    <w:rsid w:val="15C272C9"/>
    <w:rsid w:val="16292D00"/>
    <w:rsid w:val="16443E43"/>
    <w:rsid w:val="168C3143"/>
    <w:rsid w:val="16A67D58"/>
    <w:rsid w:val="170610F8"/>
    <w:rsid w:val="173D35F8"/>
    <w:rsid w:val="17622978"/>
    <w:rsid w:val="17965FAB"/>
    <w:rsid w:val="17C074F9"/>
    <w:rsid w:val="17CB1D98"/>
    <w:rsid w:val="17F453F5"/>
    <w:rsid w:val="17F6116D"/>
    <w:rsid w:val="17FD0EDF"/>
    <w:rsid w:val="18083EF0"/>
    <w:rsid w:val="184D551C"/>
    <w:rsid w:val="1882078B"/>
    <w:rsid w:val="188B5D59"/>
    <w:rsid w:val="18C77811"/>
    <w:rsid w:val="19607B71"/>
    <w:rsid w:val="19993E63"/>
    <w:rsid w:val="199B18DE"/>
    <w:rsid w:val="19C575D4"/>
    <w:rsid w:val="1A0538E9"/>
    <w:rsid w:val="1A195385"/>
    <w:rsid w:val="1A6E456A"/>
    <w:rsid w:val="1A766515"/>
    <w:rsid w:val="1A885114"/>
    <w:rsid w:val="1ABC327F"/>
    <w:rsid w:val="1AD36B2B"/>
    <w:rsid w:val="1B0C6C17"/>
    <w:rsid w:val="1B1464DA"/>
    <w:rsid w:val="1B1D6147"/>
    <w:rsid w:val="1B5C162C"/>
    <w:rsid w:val="1B6A5637"/>
    <w:rsid w:val="1B9B6B99"/>
    <w:rsid w:val="1B9E2247"/>
    <w:rsid w:val="1BA058DA"/>
    <w:rsid w:val="1BA323E9"/>
    <w:rsid w:val="1BDF2AC2"/>
    <w:rsid w:val="1C07625C"/>
    <w:rsid w:val="1C117199"/>
    <w:rsid w:val="1D1129F0"/>
    <w:rsid w:val="1D1F3553"/>
    <w:rsid w:val="1D275326"/>
    <w:rsid w:val="1D752B34"/>
    <w:rsid w:val="1DA57F75"/>
    <w:rsid w:val="1DF663A6"/>
    <w:rsid w:val="1E1B6A69"/>
    <w:rsid w:val="1E480248"/>
    <w:rsid w:val="1E5A2645"/>
    <w:rsid w:val="1EB435BF"/>
    <w:rsid w:val="1EF62FCE"/>
    <w:rsid w:val="1F3A2788"/>
    <w:rsid w:val="1F494278"/>
    <w:rsid w:val="1F536EA5"/>
    <w:rsid w:val="1F6046D2"/>
    <w:rsid w:val="1FBC5A04"/>
    <w:rsid w:val="1FF937B7"/>
    <w:rsid w:val="20020FF7"/>
    <w:rsid w:val="200E6725"/>
    <w:rsid w:val="20332C9F"/>
    <w:rsid w:val="203341F0"/>
    <w:rsid w:val="20982D61"/>
    <w:rsid w:val="20B66977"/>
    <w:rsid w:val="20C20786"/>
    <w:rsid w:val="20C36612"/>
    <w:rsid w:val="20D02EA3"/>
    <w:rsid w:val="211D3C0E"/>
    <w:rsid w:val="214376A8"/>
    <w:rsid w:val="216929AF"/>
    <w:rsid w:val="21DE0BF3"/>
    <w:rsid w:val="21E914AE"/>
    <w:rsid w:val="22351C14"/>
    <w:rsid w:val="22E72B8D"/>
    <w:rsid w:val="23592B96"/>
    <w:rsid w:val="23981225"/>
    <w:rsid w:val="23D93EAA"/>
    <w:rsid w:val="23E8484C"/>
    <w:rsid w:val="24007162"/>
    <w:rsid w:val="24205F06"/>
    <w:rsid w:val="243467AF"/>
    <w:rsid w:val="245E21B8"/>
    <w:rsid w:val="2483647E"/>
    <w:rsid w:val="24CB19CD"/>
    <w:rsid w:val="250208BF"/>
    <w:rsid w:val="250E5DBE"/>
    <w:rsid w:val="25184E18"/>
    <w:rsid w:val="25446269"/>
    <w:rsid w:val="25590A3B"/>
    <w:rsid w:val="25B80281"/>
    <w:rsid w:val="25CB59E7"/>
    <w:rsid w:val="25D34B42"/>
    <w:rsid w:val="25E50B6C"/>
    <w:rsid w:val="25E61070"/>
    <w:rsid w:val="25E62821"/>
    <w:rsid w:val="25F34F3E"/>
    <w:rsid w:val="26020B05"/>
    <w:rsid w:val="26107A00"/>
    <w:rsid w:val="26144D9B"/>
    <w:rsid w:val="26325A66"/>
    <w:rsid w:val="26415CA9"/>
    <w:rsid w:val="26555BF8"/>
    <w:rsid w:val="26AE14EA"/>
    <w:rsid w:val="272130A3"/>
    <w:rsid w:val="2730253E"/>
    <w:rsid w:val="27B0758A"/>
    <w:rsid w:val="282B6B57"/>
    <w:rsid w:val="2836292F"/>
    <w:rsid w:val="28810F26"/>
    <w:rsid w:val="28892077"/>
    <w:rsid w:val="28A14135"/>
    <w:rsid w:val="28B975DD"/>
    <w:rsid w:val="28D66B8D"/>
    <w:rsid w:val="28FB3B69"/>
    <w:rsid w:val="292024ED"/>
    <w:rsid w:val="29210C52"/>
    <w:rsid w:val="29363CD3"/>
    <w:rsid w:val="29D54F93"/>
    <w:rsid w:val="29EF5435"/>
    <w:rsid w:val="29F377BB"/>
    <w:rsid w:val="29F827C3"/>
    <w:rsid w:val="29FF3577"/>
    <w:rsid w:val="2A1862A0"/>
    <w:rsid w:val="2A8E16D9"/>
    <w:rsid w:val="2AD243CB"/>
    <w:rsid w:val="2AF87F55"/>
    <w:rsid w:val="2B066E22"/>
    <w:rsid w:val="2B5A7131"/>
    <w:rsid w:val="2BB712C3"/>
    <w:rsid w:val="2BC901E5"/>
    <w:rsid w:val="2BCB5221"/>
    <w:rsid w:val="2C98683F"/>
    <w:rsid w:val="2CC41609"/>
    <w:rsid w:val="2CDD4252"/>
    <w:rsid w:val="2CE03771"/>
    <w:rsid w:val="2CF51154"/>
    <w:rsid w:val="2CF96358"/>
    <w:rsid w:val="2D020EA0"/>
    <w:rsid w:val="2D0F41C3"/>
    <w:rsid w:val="2D1725F5"/>
    <w:rsid w:val="2D2363F2"/>
    <w:rsid w:val="2D3A54E3"/>
    <w:rsid w:val="2D5713A1"/>
    <w:rsid w:val="2D5A6E02"/>
    <w:rsid w:val="2DD92C6B"/>
    <w:rsid w:val="2E1B5A55"/>
    <w:rsid w:val="2E1F2434"/>
    <w:rsid w:val="2E2234FB"/>
    <w:rsid w:val="2E74671D"/>
    <w:rsid w:val="2EAE5336"/>
    <w:rsid w:val="2EF72818"/>
    <w:rsid w:val="2F3E547B"/>
    <w:rsid w:val="2F6A08E0"/>
    <w:rsid w:val="2F945C9C"/>
    <w:rsid w:val="2FBA00DA"/>
    <w:rsid w:val="2FCA4F61"/>
    <w:rsid w:val="2FE74FDF"/>
    <w:rsid w:val="308E41E1"/>
    <w:rsid w:val="30BF7988"/>
    <w:rsid w:val="31136863"/>
    <w:rsid w:val="31340E70"/>
    <w:rsid w:val="314174A5"/>
    <w:rsid w:val="31653193"/>
    <w:rsid w:val="318F1549"/>
    <w:rsid w:val="323731A8"/>
    <w:rsid w:val="323B3F21"/>
    <w:rsid w:val="325259D8"/>
    <w:rsid w:val="32695F00"/>
    <w:rsid w:val="32863FA2"/>
    <w:rsid w:val="329A090E"/>
    <w:rsid w:val="32C51A10"/>
    <w:rsid w:val="32D35EE3"/>
    <w:rsid w:val="32E53E60"/>
    <w:rsid w:val="32E72086"/>
    <w:rsid w:val="32F03BA2"/>
    <w:rsid w:val="3322475A"/>
    <w:rsid w:val="33681910"/>
    <w:rsid w:val="33763377"/>
    <w:rsid w:val="33A05842"/>
    <w:rsid w:val="33A22424"/>
    <w:rsid w:val="33B02259"/>
    <w:rsid w:val="33B82EE9"/>
    <w:rsid w:val="33C24ADF"/>
    <w:rsid w:val="344F0031"/>
    <w:rsid w:val="34586FDF"/>
    <w:rsid w:val="345F2E04"/>
    <w:rsid w:val="34DB1D47"/>
    <w:rsid w:val="34DB1F9D"/>
    <w:rsid w:val="34E65D27"/>
    <w:rsid w:val="358B0CEF"/>
    <w:rsid w:val="35AC6D4C"/>
    <w:rsid w:val="35CB558F"/>
    <w:rsid w:val="36592B9B"/>
    <w:rsid w:val="36822CB3"/>
    <w:rsid w:val="368F2A60"/>
    <w:rsid w:val="36A11E04"/>
    <w:rsid w:val="36D30B9F"/>
    <w:rsid w:val="36DD2AFD"/>
    <w:rsid w:val="372F7A25"/>
    <w:rsid w:val="373E372F"/>
    <w:rsid w:val="377E37D5"/>
    <w:rsid w:val="37B61AFE"/>
    <w:rsid w:val="37B8718E"/>
    <w:rsid w:val="37F063E3"/>
    <w:rsid w:val="37F30D5E"/>
    <w:rsid w:val="37F76B0F"/>
    <w:rsid w:val="386F7A6C"/>
    <w:rsid w:val="38BC7B10"/>
    <w:rsid w:val="38DD7AB3"/>
    <w:rsid w:val="39662403"/>
    <w:rsid w:val="396C0E37"/>
    <w:rsid w:val="39816306"/>
    <w:rsid w:val="39B931E8"/>
    <w:rsid w:val="39F7599E"/>
    <w:rsid w:val="39FE369B"/>
    <w:rsid w:val="3A064DE8"/>
    <w:rsid w:val="3A1F234D"/>
    <w:rsid w:val="3A213E11"/>
    <w:rsid w:val="3A231E3E"/>
    <w:rsid w:val="3A3E02CE"/>
    <w:rsid w:val="3A4A7FBF"/>
    <w:rsid w:val="3A704957"/>
    <w:rsid w:val="3A881CA1"/>
    <w:rsid w:val="3AA629F9"/>
    <w:rsid w:val="3AFE30F3"/>
    <w:rsid w:val="3B0B2274"/>
    <w:rsid w:val="3B4C2E9B"/>
    <w:rsid w:val="3B9D57E8"/>
    <w:rsid w:val="3BB54D17"/>
    <w:rsid w:val="3BF511EF"/>
    <w:rsid w:val="3C0D5D1C"/>
    <w:rsid w:val="3C447E49"/>
    <w:rsid w:val="3C47184E"/>
    <w:rsid w:val="3C681D8A"/>
    <w:rsid w:val="3C6B7ACC"/>
    <w:rsid w:val="3CB134ED"/>
    <w:rsid w:val="3CBC3BEA"/>
    <w:rsid w:val="3CC350C0"/>
    <w:rsid w:val="3CEA3AA7"/>
    <w:rsid w:val="3CFB7418"/>
    <w:rsid w:val="3D19224B"/>
    <w:rsid w:val="3D8726E3"/>
    <w:rsid w:val="3DAC0AA0"/>
    <w:rsid w:val="3DE6040A"/>
    <w:rsid w:val="3DE74D3D"/>
    <w:rsid w:val="3E135CE6"/>
    <w:rsid w:val="3E220683"/>
    <w:rsid w:val="3E2E0A96"/>
    <w:rsid w:val="3E4200F8"/>
    <w:rsid w:val="3E4B3711"/>
    <w:rsid w:val="3EC95066"/>
    <w:rsid w:val="3EEC2A4C"/>
    <w:rsid w:val="3F0D6C18"/>
    <w:rsid w:val="3F4F3D21"/>
    <w:rsid w:val="3F53519A"/>
    <w:rsid w:val="3F9F3D14"/>
    <w:rsid w:val="3FBE74AB"/>
    <w:rsid w:val="3FFD4EDF"/>
    <w:rsid w:val="40015B6F"/>
    <w:rsid w:val="40030A15"/>
    <w:rsid w:val="40330901"/>
    <w:rsid w:val="405104C6"/>
    <w:rsid w:val="40754A75"/>
    <w:rsid w:val="40B025EC"/>
    <w:rsid w:val="41193577"/>
    <w:rsid w:val="417C1E33"/>
    <w:rsid w:val="418039B2"/>
    <w:rsid w:val="41B021BF"/>
    <w:rsid w:val="41F1613D"/>
    <w:rsid w:val="41FA52CC"/>
    <w:rsid w:val="41FF1754"/>
    <w:rsid w:val="424268FC"/>
    <w:rsid w:val="42E87DB7"/>
    <w:rsid w:val="42F73078"/>
    <w:rsid w:val="433B6944"/>
    <w:rsid w:val="43503578"/>
    <w:rsid w:val="438A209A"/>
    <w:rsid w:val="439928BC"/>
    <w:rsid w:val="43B477C8"/>
    <w:rsid w:val="43DD0675"/>
    <w:rsid w:val="443133A9"/>
    <w:rsid w:val="44482501"/>
    <w:rsid w:val="4463567E"/>
    <w:rsid w:val="44BA7086"/>
    <w:rsid w:val="44C9538F"/>
    <w:rsid w:val="44D34705"/>
    <w:rsid w:val="44DA5B6C"/>
    <w:rsid w:val="44E81C0A"/>
    <w:rsid w:val="44ED72D0"/>
    <w:rsid w:val="453C1F26"/>
    <w:rsid w:val="456B4365"/>
    <w:rsid w:val="459B4F7E"/>
    <w:rsid w:val="45B0071A"/>
    <w:rsid w:val="45BE70CB"/>
    <w:rsid w:val="45F3794E"/>
    <w:rsid w:val="46222FA9"/>
    <w:rsid w:val="463830C3"/>
    <w:rsid w:val="463E538C"/>
    <w:rsid w:val="4654780E"/>
    <w:rsid w:val="466728C7"/>
    <w:rsid w:val="46D655EF"/>
    <w:rsid w:val="46F91D1D"/>
    <w:rsid w:val="46FD3630"/>
    <w:rsid w:val="478B4B7E"/>
    <w:rsid w:val="478E0BD6"/>
    <w:rsid w:val="479144A5"/>
    <w:rsid w:val="47E35CDB"/>
    <w:rsid w:val="48162654"/>
    <w:rsid w:val="48177CEE"/>
    <w:rsid w:val="482B34F2"/>
    <w:rsid w:val="48321C31"/>
    <w:rsid w:val="487B19AB"/>
    <w:rsid w:val="48945951"/>
    <w:rsid w:val="48B83FCD"/>
    <w:rsid w:val="48B96540"/>
    <w:rsid w:val="48C435C9"/>
    <w:rsid w:val="48CC1253"/>
    <w:rsid w:val="490259B0"/>
    <w:rsid w:val="495C366D"/>
    <w:rsid w:val="49BF6286"/>
    <w:rsid w:val="49DF1C3F"/>
    <w:rsid w:val="4A007AA5"/>
    <w:rsid w:val="4A65539B"/>
    <w:rsid w:val="4AAF72C6"/>
    <w:rsid w:val="4AD309EB"/>
    <w:rsid w:val="4AD8323A"/>
    <w:rsid w:val="4B1C090F"/>
    <w:rsid w:val="4B406091"/>
    <w:rsid w:val="4B447FCE"/>
    <w:rsid w:val="4B50680B"/>
    <w:rsid w:val="4B5E43CE"/>
    <w:rsid w:val="4BB51E68"/>
    <w:rsid w:val="4BDD550A"/>
    <w:rsid w:val="4BEA27BB"/>
    <w:rsid w:val="4BEC5019"/>
    <w:rsid w:val="4C0B39C0"/>
    <w:rsid w:val="4C4614A1"/>
    <w:rsid w:val="4C700C74"/>
    <w:rsid w:val="4C793B3F"/>
    <w:rsid w:val="4C7D1978"/>
    <w:rsid w:val="4C9D03AF"/>
    <w:rsid w:val="4CA43D84"/>
    <w:rsid w:val="4CBB5F06"/>
    <w:rsid w:val="4CE0771A"/>
    <w:rsid w:val="4D0621A0"/>
    <w:rsid w:val="4D2515D1"/>
    <w:rsid w:val="4D423303"/>
    <w:rsid w:val="4D425373"/>
    <w:rsid w:val="4D50117B"/>
    <w:rsid w:val="4D8C33FE"/>
    <w:rsid w:val="4D8F7800"/>
    <w:rsid w:val="4DBC303D"/>
    <w:rsid w:val="4DC20621"/>
    <w:rsid w:val="4DEC69D1"/>
    <w:rsid w:val="4E1A171C"/>
    <w:rsid w:val="4E2A50F1"/>
    <w:rsid w:val="4E467A51"/>
    <w:rsid w:val="4EA74993"/>
    <w:rsid w:val="4EB878B4"/>
    <w:rsid w:val="4ECE4A7D"/>
    <w:rsid w:val="4EE2777A"/>
    <w:rsid w:val="4EF91650"/>
    <w:rsid w:val="4F2B156D"/>
    <w:rsid w:val="4F6C1739"/>
    <w:rsid w:val="4F850C64"/>
    <w:rsid w:val="4F9A5179"/>
    <w:rsid w:val="4FB37CC9"/>
    <w:rsid w:val="4FC77275"/>
    <w:rsid w:val="4FF85A5D"/>
    <w:rsid w:val="4FF90DD8"/>
    <w:rsid w:val="502D039B"/>
    <w:rsid w:val="503A340A"/>
    <w:rsid w:val="50812FC2"/>
    <w:rsid w:val="508D557C"/>
    <w:rsid w:val="509D6459"/>
    <w:rsid w:val="50BD049E"/>
    <w:rsid w:val="50D35CFB"/>
    <w:rsid w:val="515A1860"/>
    <w:rsid w:val="518B7A2C"/>
    <w:rsid w:val="518E5997"/>
    <w:rsid w:val="51DE005C"/>
    <w:rsid w:val="51EB7DF7"/>
    <w:rsid w:val="52214A5D"/>
    <w:rsid w:val="5264189C"/>
    <w:rsid w:val="526718F4"/>
    <w:rsid w:val="529A6C74"/>
    <w:rsid w:val="52BD4163"/>
    <w:rsid w:val="52BE42C0"/>
    <w:rsid w:val="536B39F0"/>
    <w:rsid w:val="537C594E"/>
    <w:rsid w:val="53B611D5"/>
    <w:rsid w:val="53F14D39"/>
    <w:rsid w:val="54362372"/>
    <w:rsid w:val="54487A77"/>
    <w:rsid w:val="54497E11"/>
    <w:rsid w:val="54685E21"/>
    <w:rsid w:val="546A300E"/>
    <w:rsid w:val="54703441"/>
    <w:rsid w:val="5490662A"/>
    <w:rsid w:val="549503C8"/>
    <w:rsid w:val="54987D5A"/>
    <w:rsid w:val="54BB00D4"/>
    <w:rsid w:val="54C771CC"/>
    <w:rsid w:val="54D062C6"/>
    <w:rsid w:val="54DE4FE1"/>
    <w:rsid w:val="54F2448F"/>
    <w:rsid w:val="56230101"/>
    <w:rsid w:val="56524713"/>
    <w:rsid w:val="565F5B54"/>
    <w:rsid w:val="567E45E4"/>
    <w:rsid w:val="56821842"/>
    <w:rsid w:val="56B07853"/>
    <w:rsid w:val="56E11ADD"/>
    <w:rsid w:val="56ED7603"/>
    <w:rsid w:val="56FE208F"/>
    <w:rsid w:val="573C4518"/>
    <w:rsid w:val="57737EC4"/>
    <w:rsid w:val="57775F89"/>
    <w:rsid w:val="580204F1"/>
    <w:rsid w:val="58385444"/>
    <w:rsid w:val="584E2F12"/>
    <w:rsid w:val="587D1AD7"/>
    <w:rsid w:val="58987EF1"/>
    <w:rsid w:val="58B06B3A"/>
    <w:rsid w:val="590F1AB3"/>
    <w:rsid w:val="594642CF"/>
    <w:rsid w:val="59612A0E"/>
    <w:rsid w:val="59936587"/>
    <w:rsid w:val="59E63722"/>
    <w:rsid w:val="5AC16DDD"/>
    <w:rsid w:val="5ACB37B8"/>
    <w:rsid w:val="5AED1980"/>
    <w:rsid w:val="5B0F0C6B"/>
    <w:rsid w:val="5B6E17AC"/>
    <w:rsid w:val="5BA858A7"/>
    <w:rsid w:val="5C526387"/>
    <w:rsid w:val="5C5E402F"/>
    <w:rsid w:val="5D1C479E"/>
    <w:rsid w:val="5D5850AB"/>
    <w:rsid w:val="5D665A1A"/>
    <w:rsid w:val="5DBE3BC8"/>
    <w:rsid w:val="5DC70B07"/>
    <w:rsid w:val="5DD3777C"/>
    <w:rsid w:val="5DD82F19"/>
    <w:rsid w:val="5DDE39EB"/>
    <w:rsid w:val="5DEC35C1"/>
    <w:rsid w:val="5E2B76B3"/>
    <w:rsid w:val="5E3A27A1"/>
    <w:rsid w:val="5E3E1490"/>
    <w:rsid w:val="5E5461ED"/>
    <w:rsid w:val="5E805317"/>
    <w:rsid w:val="5EF441A0"/>
    <w:rsid w:val="5EFC6636"/>
    <w:rsid w:val="5F0A527B"/>
    <w:rsid w:val="5F14739B"/>
    <w:rsid w:val="5F212405"/>
    <w:rsid w:val="5F2A12F8"/>
    <w:rsid w:val="5F312A79"/>
    <w:rsid w:val="5F3C7DA3"/>
    <w:rsid w:val="5F3E6C4E"/>
    <w:rsid w:val="5F7E1979"/>
    <w:rsid w:val="5F8A3155"/>
    <w:rsid w:val="5FA22F17"/>
    <w:rsid w:val="5FB740CF"/>
    <w:rsid w:val="5FF91C7A"/>
    <w:rsid w:val="604F641A"/>
    <w:rsid w:val="607D25FD"/>
    <w:rsid w:val="608C741B"/>
    <w:rsid w:val="6098413C"/>
    <w:rsid w:val="60A85FA1"/>
    <w:rsid w:val="60B24332"/>
    <w:rsid w:val="60EE6452"/>
    <w:rsid w:val="61093C77"/>
    <w:rsid w:val="6112051D"/>
    <w:rsid w:val="614E7A33"/>
    <w:rsid w:val="61963FB3"/>
    <w:rsid w:val="61A72665"/>
    <w:rsid w:val="61AF3E33"/>
    <w:rsid w:val="61C866BF"/>
    <w:rsid w:val="61D95952"/>
    <w:rsid w:val="61E635CD"/>
    <w:rsid w:val="620B6B90"/>
    <w:rsid w:val="62254122"/>
    <w:rsid w:val="626F0A52"/>
    <w:rsid w:val="629809AC"/>
    <w:rsid w:val="62AB3421"/>
    <w:rsid w:val="62AD1E6C"/>
    <w:rsid w:val="62D90D84"/>
    <w:rsid w:val="630D14A0"/>
    <w:rsid w:val="63117C46"/>
    <w:rsid w:val="634F36D3"/>
    <w:rsid w:val="63607824"/>
    <w:rsid w:val="636603E2"/>
    <w:rsid w:val="636E0C63"/>
    <w:rsid w:val="63BF7C32"/>
    <w:rsid w:val="64234664"/>
    <w:rsid w:val="643F2304"/>
    <w:rsid w:val="6479277C"/>
    <w:rsid w:val="64852C29"/>
    <w:rsid w:val="649303EC"/>
    <w:rsid w:val="64A77044"/>
    <w:rsid w:val="64CD45D0"/>
    <w:rsid w:val="64DC4A2F"/>
    <w:rsid w:val="65094745"/>
    <w:rsid w:val="65152092"/>
    <w:rsid w:val="65164BED"/>
    <w:rsid w:val="65735178"/>
    <w:rsid w:val="65C220D2"/>
    <w:rsid w:val="65D111E8"/>
    <w:rsid w:val="660E6617"/>
    <w:rsid w:val="665F2FE8"/>
    <w:rsid w:val="66A717F9"/>
    <w:rsid w:val="66D20392"/>
    <w:rsid w:val="66DF725E"/>
    <w:rsid w:val="670C13E0"/>
    <w:rsid w:val="67226FBE"/>
    <w:rsid w:val="675A3622"/>
    <w:rsid w:val="676148CC"/>
    <w:rsid w:val="67642FCA"/>
    <w:rsid w:val="676905E0"/>
    <w:rsid w:val="677D22DE"/>
    <w:rsid w:val="67B0FC8C"/>
    <w:rsid w:val="67BF2918"/>
    <w:rsid w:val="67D52067"/>
    <w:rsid w:val="680A6A71"/>
    <w:rsid w:val="680F3D99"/>
    <w:rsid w:val="685002C6"/>
    <w:rsid w:val="6865349E"/>
    <w:rsid w:val="68741DF5"/>
    <w:rsid w:val="68A67612"/>
    <w:rsid w:val="68CA67E9"/>
    <w:rsid w:val="68D63896"/>
    <w:rsid w:val="68E21F6A"/>
    <w:rsid w:val="694A4441"/>
    <w:rsid w:val="696A4AE4"/>
    <w:rsid w:val="69BA3375"/>
    <w:rsid w:val="69C53915"/>
    <w:rsid w:val="6A0339A1"/>
    <w:rsid w:val="6A652199"/>
    <w:rsid w:val="6A6B666F"/>
    <w:rsid w:val="6ACF764A"/>
    <w:rsid w:val="6B1E5B86"/>
    <w:rsid w:val="6B416685"/>
    <w:rsid w:val="6B6657A8"/>
    <w:rsid w:val="6B7D0AFE"/>
    <w:rsid w:val="6BA37623"/>
    <w:rsid w:val="6BA75224"/>
    <w:rsid w:val="6BE0108D"/>
    <w:rsid w:val="6BFA49A5"/>
    <w:rsid w:val="6C012F03"/>
    <w:rsid w:val="6C0A7EB8"/>
    <w:rsid w:val="6C4E3BE4"/>
    <w:rsid w:val="6C5630FD"/>
    <w:rsid w:val="6C6B7D14"/>
    <w:rsid w:val="6C975BF0"/>
    <w:rsid w:val="6CC354FC"/>
    <w:rsid w:val="6D437546"/>
    <w:rsid w:val="6D594C53"/>
    <w:rsid w:val="6D5B6C1D"/>
    <w:rsid w:val="6DA03718"/>
    <w:rsid w:val="6DAE12A8"/>
    <w:rsid w:val="6DD326E4"/>
    <w:rsid w:val="6DF1016C"/>
    <w:rsid w:val="6ED64CED"/>
    <w:rsid w:val="6F0C559F"/>
    <w:rsid w:val="6F2E035C"/>
    <w:rsid w:val="6F655B31"/>
    <w:rsid w:val="6F763953"/>
    <w:rsid w:val="6F9249B1"/>
    <w:rsid w:val="6FA069AA"/>
    <w:rsid w:val="6FA76FE3"/>
    <w:rsid w:val="6FAB0BB3"/>
    <w:rsid w:val="6FC1320A"/>
    <w:rsid w:val="6FE262EA"/>
    <w:rsid w:val="6FE81430"/>
    <w:rsid w:val="701954CE"/>
    <w:rsid w:val="70F1226B"/>
    <w:rsid w:val="70FA259F"/>
    <w:rsid w:val="71265794"/>
    <w:rsid w:val="71AF9BFC"/>
    <w:rsid w:val="71EE6E5A"/>
    <w:rsid w:val="71F1492E"/>
    <w:rsid w:val="72366A9C"/>
    <w:rsid w:val="7242215A"/>
    <w:rsid w:val="7254291F"/>
    <w:rsid w:val="727932A9"/>
    <w:rsid w:val="72D81C96"/>
    <w:rsid w:val="72F96E59"/>
    <w:rsid w:val="73245EDB"/>
    <w:rsid w:val="735C724B"/>
    <w:rsid w:val="73AD044F"/>
    <w:rsid w:val="73CF10B7"/>
    <w:rsid w:val="7456013E"/>
    <w:rsid w:val="74DD3606"/>
    <w:rsid w:val="755A1EB0"/>
    <w:rsid w:val="75897F59"/>
    <w:rsid w:val="75D752AF"/>
    <w:rsid w:val="765A4C69"/>
    <w:rsid w:val="766F562B"/>
    <w:rsid w:val="7682484C"/>
    <w:rsid w:val="76AF247D"/>
    <w:rsid w:val="76B26092"/>
    <w:rsid w:val="76BA1ED3"/>
    <w:rsid w:val="770D4994"/>
    <w:rsid w:val="772249EF"/>
    <w:rsid w:val="772E0594"/>
    <w:rsid w:val="775A4ADC"/>
    <w:rsid w:val="77920CF4"/>
    <w:rsid w:val="77AE5DF8"/>
    <w:rsid w:val="77E10778"/>
    <w:rsid w:val="77E635C6"/>
    <w:rsid w:val="78384DF8"/>
    <w:rsid w:val="783E7867"/>
    <w:rsid w:val="7845438D"/>
    <w:rsid w:val="784E3754"/>
    <w:rsid w:val="78564BB1"/>
    <w:rsid w:val="7878643A"/>
    <w:rsid w:val="78B11A75"/>
    <w:rsid w:val="78E84FD5"/>
    <w:rsid w:val="78FD327E"/>
    <w:rsid w:val="79437F48"/>
    <w:rsid w:val="79553EC8"/>
    <w:rsid w:val="798F54C2"/>
    <w:rsid w:val="79C5200F"/>
    <w:rsid w:val="79CB512B"/>
    <w:rsid w:val="79EF41EF"/>
    <w:rsid w:val="7A267B69"/>
    <w:rsid w:val="7A567A0C"/>
    <w:rsid w:val="7A612753"/>
    <w:rsid w:val="7A9962C0"/>
    <w:rsid w:val="7AD437E9"/>
    <w:rsid w:val="7AD93CB7"/>
    <w:rsid w:val="7AF04D73"/>
    <w:rsid w:val="7B0F3A72"/>
    <w:rsid w:val="7B191EC6"/>
    <w:rsid w:val="7B3A0281"/>
    <w:rsid w:val="7B52394D"/>
    <w:rsid w:val="7B8B5022"/>
    <w:rsid w:val="7BA45DFA"/>
    <w:rsid w:val="7BC92C1A"/>
    <w:rsid w:val="7BEA3C43"/>
    <w:rsid w:val="7BF54504"/>
    <w:rsid w:val="7BFF27A7"/>
    <w:rsid w:val="7C7515EF"/>
    <w:rsid w:val="7C8559FD"/>
    <w:rsid w:val="7C885555"/>
    <w:rsid w:val="7C941670"/>
    <w:rsid w:val="7CD11B68"/>
    <w:rsid w:val="7CD23FF8"/>
    <w:rsid w:val="7CE157F8"/>
    <w:rsid w:val="7CF84488"/>
    <w:rsid w:val="7D0B5ED9"/>
    <w:rsid w:val="7D2A2721"/>
    <w:rsid w:val="7D3B3E68"/>
    <w:rsid w:val="7D69294D"/>
    <w:rsid w:val="7D74675F"/>
    <w:rsid w:val="7D962AE8"/>
    <w:rsid w:val="7DA26DA0"/>
    <w:rsid w:val="7DA34C9E"/>
    <w:rsid w:val="7DED5965"/>
    <w:rsid w:val="7DF759C8"/>
    <w:rsid w:val="7E0340A9"/>
    <w:rsid w:val="7E1541AA"/>
    <w:rsid w:val="7E4F6526"/>
    <w:rsid w:val="7E817E03"/>
    <w:rsid w:val="7ECD6D23"/>
    <w:rsid w:val="7EE60311"/>
    <w:rsid w:val="7EFF3488"/>
    <w:rsid w:val="7F6A550C"/>
    <w:rsid w:val="7F77317F"/>
    <w:rsid w:val="7F802513"/>
    <w:rsid w:val="7F9D3E73"/>
    <w:rsid w:val="7FF3C4C9"/>
    <w:rsid w:val="B6DD6DEB"/>
    <w:rsid w:val="EB3FB501"/>
    <w:rsid w:val="EF1B28CA"/>
    <w:rsid w:val="F3FF62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1"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eepNext w:val="0"/>
      <w:keepLines w:val="0"/>
      <w:pageBreakBefore w:val="0"/>
      <w:widowControl w:val="0"/>
      <w:tabs>
        <w:tab w:val="left" w:pos="3261"/>
      </w:tabs>
      <w:kinsoku/>
      <w:wordWrap/>
      <w:overflowPunct/>
      <w:topLinePunct w:val="0"/>
      <w:autoSpaceDE/>
      <w:autoSpaceDN/>
      <w:bidi w:val="0"/>
      <w:adjustRightInd/>
      <w:snapToGrid/>
      <w:spacing w:line="360" w:lineRule="exact"/>
      <w:jc w:val="both"/>
      <w:textAlignment w:val="auto"/>
    </w:pPr>
    <w:rPr>
      <w:rFonts w:ascii="宋体" w:hAnsi="宋体" w:eastAsia="仿宋" w:cs="宋体"/>
      <w:color w:val="auto"/>
      <w:kern w:val="2"/>
      <w:sz w:val="24"/>
      <w:szCs w:val="24"/>
      <w:lang w:val="en-US" w:eastAsia="zh-CN" w:bidi="ar-SA"/>
    </w:rPr>
  </w:style>
  <w:style w:type="paragraph" w:styleId="2">
    <w:name w:val="heading 1"/>
    <w:basedOn w:val="1"/>
    <w:next w:val="1"/>
    <w:link w:val="29"/>
    <w:qFormat/>
    <w:uiPriority w:val="9"/>
    <w:pPr>
      <w:spacing w:before="240" w:beforeLines="100" w:after="120" w:afterLines="50"/>
      <w:jc w:val="center"/>
      <w:outlineLvl w:val="0"/>
    </w:pPr>
    <w:rPr>
      <w:rFonts w:ascii="宋体" w:hAnsi="宋体" w:cs="宋体"/>
      <w:b/>
      <w:bCs/>
      <w:sz w:val="32"/>
      <w:szCs w:val="32"/>
    </w:rPr>
  </w:style>
  <w:style w:type="paragraph" w:styleId="3">
    <w:name w:val="heading 2"/>
    <w:basedOn w:val="1"/>
    <w:next w:val="1"/>
    <w:link w:val="30"/>
    <w:unhideWhenUsed/>
    <w:qFormat/>
    <w:uiPriority w:val="9"/>
    <w:pPr>
      <w:spacing w:line="276" w:lineRule="auto"/>
      <w:jc w:val="center"/>
      <w:outlineLvl w:val="1"/>
    </w:pPr>
    <w:rPr>
      <w:rFonts w:ascii="宋体" w:hAnsi="宋体" w:eastAsia="宋体" w:cs="宋体"/>
      <w:color w:val="auto"/>
      <w:sz w:val="30"/>
      <w:szCs w:val="30"/>
    </w:rPr>
  </w:style>
  <w:style w:type="paragraph" w:styleId="4">
    <w:name w:val="heading 3"/>
    <w:basedOn w:val="1"/>
    <w:next w:val="1"/>
    <w:link w:val="31"/>
    <w:unhideWhenUsed/>
    <w:qFormat/>
    <w:uiPriority w:val="1"/>
    <w:pPr>
      <w:keepNext/>
      <w:snapToGrid w:val="0"/>
      <w:spacing w:line="360" w:lineRule="exact"/>
      <w:outlineLvl w:val="2"/>
    </w:pPr>
    <w:rPr>
      <w:rFonts w:cstheme="majorBidi"/>
      <w:color w:val="000000" w:themeColor="text1"/>
      <w:szCs w:val="21"/>
      <w14:textFill>
        <w14:solidFill>
          <w14:schemeClr w14:val="tx1"/>
        </w14:solidFill>
      </w14:textFill>
    </w:rPr>
  </w:style>
  <w:style w:type="paragraph" w:styleId="5">
    <w:name w:val="heading 4"/>
    <w:basedOn w:val="1"/>
    <w:next w:val="1"/>
    <w:link w:val="32"/>
    <w:unhideWhenUsed/>
    <w:qFormat/>
    <w:uiPriority w:val="9"/>
    <w:pPr>
      <w:spacing w:line="360" w:lineRule="exact"/>
      <w:outlineLvl w:val="3"/>
    </w:pPr>
    <w:rPr>
      <w:rFonts w:eastAsia="楷体" w:cstheme="majorBidi"/>
      <w:color w:val="000000" w:themeColor="text1"/>
      <w:szCs w:val="21"/>
      <w14:textFill>
        <w14:solidFill>
          <w14:schemeClr w14:val="tx1"/>
        </w14:solidFill>
      </w14:textFill>
    </w:rPr>
  </w:style>
  <w:style w:type="paragraph" w:styleId="6">
    <w:name w:val="heading 5"/>
    <w:basedOn w:val="1"/>
    <w:next w:val="1"/>
    <w:link w:val="33"/>
    <w:semiHidden/>
    <w:unhideWhenUsed/>
    <w:qFormat/>
    <w:uiPriority w:val="9"/>
    <w:pPr>
      <w:keepNext/>
      <w:keepLines/>
      <w:spacing w:before="80" w:after="40"/>
      <w:outlineLvl w:val="4"/>
    </w:pPr>
    <w:rPr>
      <w:rFonts w:cstheme="majorBidi"/>
      <w:color w:val="376092" w:themeColor="accent1" w:themeShade="BF"/>
      <w:sz w:val="24"/>
      <w:szCs w:val="24"/>
    </w:rPr>
  </w:style>
  <w:style w:type="paragraph" w:styleId="7">
    <w:name w:val="heading 6"/>
    <w:basedOn w:val="1"/>
    <w:next w:val="1"/>
    <w:link w:val="34"/>
    <w:semiHidden/>
    <w:unhideWhenUsed/>
    <w:qFormat/>
    <w:uiPriority w:val="9"/>
    <w:pPr>
      <w:keepNext/>
      <w:keepLines/>
      <w:spacing w:before="40"/>
      <w:outlineLvl w:val="5"/>
    </w:pPr>
    <w:rPr>
      <w:rFonts w:cstheme="majorBidi"/>
      <w:b/>
      <w:bCs/>
      <w:color w:val="376092" w:themeColor="accent1" w:themeShade="BF"/>
    </w:rPr>
  </w:style>
  <w:style w:type="paragraph" w:styleId="8">
    <w:name w:val="heading 7"/>
    <w:basedOn w:val="1"/>
    <w:next w:val="1"/>
    <w:link w:val="35"/>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36"/>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37"/>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11">
    <w:name w:val="annotation text"/>
    <w:basedOn w:val="1"/>
    <w:link w:val="63"/>
    <w:unhideWhenUsed/>
    <w:qFormat/>
    <w:uiPriority w:val="99"/>
    <w:pPr>
      <w:jc w:val="left"/>
    </w:pPr>
    <w:rPr>
      <w:rFonts w:asciiTheme="minorHAnsi" w:hAnsiTheme="minorHAnsi" w:eastAsiaTheme="minorEastAsia"/>
    </w:rPr>
  </w:style>
  <w:style w:type="paragraph" w:styleId="12">
    <w:name w:val="Body Text"/>
    <w:basedOn w:val="1"/>
    <w:link w:val="52"/>
    <w:qFormat/>
    <w:uiPriority w:val="0"/>
    <w:pPr>
      <w:adjustRightInd w:val="0"/>
      <w:snapToGrid w:val="0"/>
      <w:spacing w:line="360" w:lineRule="exact"/>
      <w:ind w:firstLine="200" w:firstLineChars="200"/>
      <w:textAlignment w:val="baseline"/>
    </w:pPr>
    <w:rPr>
      <w:rFonts w:cs="Times New Roman"/>
      <w:snapToGrid w:val="0"/>
      <w:color w:val="000000"/>
      <w:kern w:val="0"/>
      <w:szCs w:val="21"/>
      <w:lang w:eastAsia="en-US"/>
    </w:rPr>
  </w:style>
  <w:style w:type="paragraph" w:styleId="13">
    <w:name w:val="Plain Text"/>
    <w:basedOn w:val="1"/>
    <w:link w:val="54"/>
    <w:unhideWhenUsed/>
    <w:qFormat/>
    <w:uiPriority w:val="99"/>
    <w:rPr>
      <w:rFonts w:ascii="宋体" w:hAnsi="Courier New" w:cs="华文中宋"/>
      <w:szCs w:val="21"/>
    </w:rPr>
  </w:style>
  <w:style w:type="paragraph" w:styleId="14">
    <w:name w:val="Date"/>
    <w:basedOn w:val="1"/>
    <w:next w:val="1"/>
    <w:link w:val="49"/>
    <w:semiHidden/>
    <w:unhideWhenUsed/>
    <w:qFormat/>
    <w:uiPriority w:val="99"/>
    <w:pPr>
      <w:ind w:left="100" w:leftChars="2500"/>
    </w:pPr>
  </w:style>
  <w:style w:type="paragraph" w:styleId="15">
    <w:name w:val="Balloon Text"/>
    <w:basedOn w:val="1"/>
    <w:link w:val="53"/>
    <w:semiHidden/>
    <w:unhideWhenUsed/>
    <w:qFormat/>
    <w:uiPriority w:val="99"/>
    <w:rPr>
      <w:sz w:val="18"/>
      <w:szCs w:val="18"/>
    </w:rPr>
  </w:style>
  <w:style w:type="paragraph" w:styleId="16">
    <w:name w:val="footer"/>
    <w:basedOn w:val="1"/>
    <w:link w:val="48"/>
    <w:unhideWhenUsed/>
    <w:qFormat/>
    <w:uiPriority w:val="99"/>
    <w:pPr>
      <w:tabs>
        <w:tab w:val="center" w:pos="4153"/>
        <w:tab w:val="right" w:pos="8306"/>
        <w:tab w:val="clear" w:pos="3261"/>
      </w:tabs>
      <w:snapToGrid w:val="0"/>
      <w:jc w:val="left"/>
    </w:pPr>
    <w:rPr>
      <w:sz w:val="18"/>
      <w:szCs w:val="18"/>
    </w:rPr>
  </w:style>
  <w:style w:type="paragraph" w:styleId="17">
    <w:name w:val="header"/>
    <w:basedOn w:val="1"/>
    <w:link w:val="47"/>
    <w:unhideWhenUsed/>
    <w:qFormat/>
    <w:uiPriority w:val="99"/>
    <w:pPr>
      <w:tabs>
        <w:tab w:val="center" w:pos="4153"/>
        <w:tab w:val="right" w:pos="8306"/>
        <w:tab w:val="clear" w:pos="3261"/>
      </w:tabs>
      <w:snapToGrid w:val="0"/>
      <w:jc w:val="center"/>
    </w:pPr>
    <w:rPr>
      <w:sz w:val="18"/>
      <w:szCs w:val="18"/>
    </w:rPr>
  </w:style>
  <w:style w:type="paragraph" w:styleId="18">
    <w:name w:val="toc 1"/>
    <w:basedOn w:val="1"/>
    <w:next w:val="1"/>
    <w:semiHidden/>
    <w:unhideWhenUsed/>
    <w:qFormat/>
    <w:uiPriority w:val="39"/>
  </w:style>
  <w:style w:type="paragraph" w:styleId="19">
    <w:name w:val="Subtitle"/>
    <w:basedOn w:val="1"/>
    <w:next w:val="1"/>
    <w:link w:val="39"/>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0">
    <w:name w:val="toc 2"/>
    <w:basedOn w:val="1"/>
    <w:next w:val="1"/>
    <w:semiHidden/>
    <w:unhideWhenUsed/>
    <w:qFormat/>
    <w:uiPriority w:val="39"/>
    <w:pPr>
      <w:ind w:left="420" w:leftChars="200"/>
    </w:pPr>
  </w:style>
  <w:style w:type="paragraph" w:styleId="21">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paragraph" w:styleId="22">
    <w:name w:val="Title"/>
    <w:basedOn w:val="1"/>
    <w:next w:val="1"/>
    <w:link w:val="38"/>
    <w:qFormat/>
    <w:uiPriority w:val="10"/>
    <w:pPr>
      <w:spacing w:after="80"/>
      <w:contextualSpacing/>
      <w:jc w:val="center"/>
    </w:pPr>
    <w:rPr>
      <w:rFonts w:asciiTheme="majorHAnsi" w:hAnsiTheme="majorHAnsi" w:eastAsiaTheme="majorEastAsia" w:cstheme="majorBidi"/>
      <w:spacing w:val="-10"/>
      <w:kern w:val="28"/>
      <w:sz w:val="56"/>
      <w:szCs w:val="56"/>
    </w:rPr>
  </w:style>
  <w:style w:type="paragraph" w:styleId="23">
    <w:name w:val="annotation subject"/>
    <w:basedOn w:val="11"/>
    <w:next w:val="11"/>
    <w:link w:val="64"/>
    <w:semiHidden/>
    <w:unhideWhenUsed/>
    <w:qFormat/>
    <w:uiPriority w:val="99"/>
    <w:rPr>
      <w:b/>
      <w:bCs/>
    </w:rPr>
  </w:style>
  <w:style w:type="table" w:styleId="25">
    <w:name w:val="Table Grid"/>
    <w:basedOn w:val="2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qFormat/>
    <w:uiPriority w:val="22"/>
    <w:rPr>
      <w:b/>
    </w:rPr>
  </w:style>
  <w:style w:type="character" w:styleId="28">
    <w:name w:val="annotation reference"/>
    <w:basedOn w:val="26"/>
    <w:semiHidden/>
    <w:unhideWhenUsed/>
    <w:qFormat/>
    <w:uiPriority w:val="99"/>
    <w:rPr>
      <w:sz w:val="21"/>
      <w:szCs w:val="21"/>
    </w:rPr>
  </w:style>
  <w:style w:type="character" w:customStyle="1" w:styleId="29">
    <w:name w:val="标题 1 字符"/>
    <w:link w:val="2"/>
    <w:qFormat/>
    <w:uiPriority w:val="9"/>
    <w:rPr>
      <w:rFonts w:ascii="宋体" w:hAnsi="宋体" w:eastAsia="宋体" w:cs="宋体"/>
      <w:b/>
      <w:bCs/>
      <w:kern w:val="2"/>
      <w:sz w:val="32"/>
      <w:szCs w:val="32"/>
      <w:lang w:val="en-US" w:eastAsia="zh-CN" w:bidi="ar-SA"/>
    </w:rPr>
  </w:style>
  <w:style w:type="character" w:customStyle="1" w:styleId="30">
    <w:name w:val="标题 2 字符"/>
    <w:link w:val="3"/>
    <w:semiHidden/>
    <w:qFormat/>
    <w:uiPriority w:val="9"/>
    <w:rPr>
      <w:rFonts w:ascii="宋体" w:hAnsi="宋体" w:eastAsia="宋体" w:cs="宋体"/>
      <w:color w:val="auto"/>
      <w:kern w:val="2"/>
      <w:sz w:val="30"/>
      <w:szCs w:val="30"/>
      <w:lang w:val="en-US" w:eastAsia="zh-CN" w:bidi="ar-SA"/>
    </w:rPr>
  </w:style>
  <w:style w:type="character" w:customStyle="1" w:styleId="31">
    <w:name w:val="标题 3 字符"/>
    <w:basedOn w:val="26"/>
    <w:link w:val="4"/>
    <w:qFormat/>
    <w:uiPriority w:val="1"/>
    <w:rPr>
      <w:rFonts w:cstheme="majorBidi"/>
      <w:color w:val="000000" w:themeColor="text1"/>
      <w:kern w:val="2"/>
      <w:sz w:val="21"/>
      <w:szCs w:val="21"/>
      <w14:textFill>
        <w14:solidFill>
          <w14:schemeClr w14:val="tx1"/>
        </w14:solidFill>
      </w14:textFill>
    </w:rPr>
  </w:style>
  <w:style w:type="character" w:customStyle="1" w:styleId="32">
    <w:name w:val="标题 4 字符"/>
    <w:basedOn w:val="26"/>
    <w:link w:val="5"/>
    <w:semiHidden/>
    <w:qFormat/>
    <w:uiPriority w:val="9"/>
    <w:rPr>
      <w:rFonts w:ascii="Times New Roman" w:hAnsi="Times New Roman" w:eastAsia="楷体" w:cstheme="majorBidi"/>
      <w:color w:val="000000" w:themeColor="text1"/>
      <w:sz w:val="21"/>
      <w:szCs w:val="21"/>
      <w14:textFill>
        <w14:solidFill>
          <w14:schemeClr w14:val="tx1"/>
        </w14:solidFill>
      </w14:textFill>
    </w:rPr>
  </w:style>
  <w:style w:type="character" w:customStyle="1" w:styleId="33">
    <w:name w:val="标题 5 字符"/>
    <w:basedOn w:val="26"/>
    <w:link w:val="6"/>
    <w:semiHidden/>
    <w:qFormat/>
    <w:uiPriority w:val="9"/>
    <w:rPr>
      <w:rFonts w:cstheme="majorBidi"/>
      <w:color w:val="376092" w:themeColor="accent1" w:themeShade="BF"/>
      <w:sz w:val="24"/>
      <w:szCs w:val="24"/>
    </w:rPr>
  </w:style>
  <w:style w:type="character" w:customStyle="1" w:styleId="34">
    <w:name w:val="标题 6 字符"/>
    <w:basedOn w:val="26"/>
    <w:link w:val="7"/>
    <w:semiHidden/>
    <w:qFormat/>
    <w:uiPriority w:val="9"/>
    <w:rPr>
      <w:rFonts w:cstheme="majorBidi"/>
      <w:b/>
      <w:bCs/>
      <w:color w:val="376092" w:themeColor="accent1" w:themeShade="BF"/>
    </w:rPr>
  </w:style>
  <w:style w:type="character" w:customStyle="1" w:styleId="35">
    <w:name w:val="标题 7 字符"/>
    <w:basedOn w:val="26"/>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36">
    <w:name w:val="标题 8 字符"/>
    <w:basedOn w:val="26"/>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37">
    <w:name w:val="标题 9 字符"/>
    <w:basedOn w:val="26"/>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8">
    <w:name w:val="标题 字符"/>
    <w:basedOn w:val="26"/>
    <w:link w:val="22"/>
    <w:qFormat/>
    <w:uiPriority w:val="10"/>
    <w:rPr>
      <w:rFonts w:asciiTheme="majorHAnsi" w:hAnsiTheme="majorHAnsi" w:eastAsiaTheme="majorEastAsia" w:cstheme="majorBidi"/>
      <w:spacing w:val="-10"/>
      <w:kern w:val="28"/>
      <w:sz w:val="56"/>
      <w:szCs w:val="56"/>
    </w:rPr>
  </w:style>
  <w:style w:type="character" w:customStyle="1" w:styleId="39">
    <w:name w:val="副标题 字符"/>
    <w:basedOn w:val="26"/>
    <w:link w:val="19"/>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40">
    <w:name w:val="Quote"/>
    <w:basedOn w:val="1"/>
    <w:next w:val="1"/>
    <w:link w:val="41"/>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41">
    <w:name w:val="引用 字符"/>
    <w:basedOn w:val="26"/>
    <w:link w:val="40"/>
    <w:qFormat/>
    <w:uiPriority w:val="29"/>
    <w:rPr>
      <w:i/>
      <w:iCs/>
      <w:color w:val="404040" w:themeColor="text1" w:themeTint="BF"/>
      <w14:textFill>
        <w14:solidFill>
          <w14:schemeClr w14:val="tx1">
            <w14:lumMod w14:val="75000"/>
            <w14:lumOff w14:val="25000"/>
          </w14:schemeClr>
        </w14:solidFill>
      </w14:textFill>
    </w:rPr>
  </w:style>
  <w:style w:type="paragraph" w:styleId="42">
    <w:name w:val="List Paragraph"/>
    <w:basedOn w:val="1"/>
    <w:qFormat/>
    <w:uiPriority w:val="34"/>
    <w:pPr>
      <w:ind w:left="720"/>
      <w:contextualSpacing/>
    </w:pPr>
  </w:style>
  <w:style w:type="character" w:customStyle="1" w:styleId="43">
    <w:name w:val="明显强调1"/>
    <w:basedOn w:val="26"/>
    <w:qFormat/>
    <w:uiPriority w:val="21"/>
    <w:rPr>
      <w:i/>
      <w:iCs/>
      <w:color w:val="376092" w:themeColor="accent1" w:themeShade="BF"/>
    </w:rPr>
  </w:style>
  <w:style w:type="paragraph" w:styleId="44">
    <w:name w:val="Intense Quote"/>
    <w:basedOn w:val="1"/>
    <w:next w:val="1"/>
    <w:link w:val="45"/>
    <w:qFormat/>
    <w:uiPriority w:val="30"/>
    <w:pPr>
      <w:pBdr>
        <w:top w:val="single" w:color="366091" w:themeColor="accent1" w:themeShade="BF" w:sz="4" w:space="10"/>
        <w:bottom w:val="single" w:color="366091" w:themeColor="accent1" w:themeShade="BF" w:sz="4" w:space="10"/>
      </w:pBdr>
      <w:spacing w:before="360" w:after="360"/>
      <w:ind w:left="864" w:right="864"/>
      <w:jc w:val="center"/>
    </w:pPr>
    <w:rPr>
      <w:i/>
      <w:iCs/>
      <w:color w:val="376092" w:themeColor="accent1" w:themeShade="BF"/>
    </w:rPr>
  </w:style>
  <w:style w:type="character" w:customStyle="1" w:styleId="45">
    <w:name w:val="明显引用 字符"/>
    <w:basedOn w:val="26"/>
    <w:link w:val="44"/>
    <w:qFormat/>
    <w:uiPriority w:val="30"/>
    <w:rPr>
      <w:i/>
      <w:iCs/>
      <w:color w:val="376092" w:themeColor="accent1" w:themeShade="BF"/>
    </w:rPr>
  </w:style>
  <w:style w:type="character" w:customStyle="1" w:styleId="46">
    <w:name w:val="明显参考1"/>
    <w:basedOn w:val="26"/>
    <w:qFormat/>
    <w:uiPriority w:val="32"/>
    <w:rPr>
      <w:b/>
      <w:bCs/>
      <w:smallCaps/>
      <w:color w:val="376092" w:themeColor="accent1" w:themeShade="BF"/>
      <w:spacing w:val="5"/>
    </w:rPr>
  </w:style>
  <w:style w:type="character" w:customStyle="1" w:styleId="47">
    <w:name w:val="页眉 字符"/>
    <w:basedOn w:val="26"/>
    <w:link w:val="17"/>
    <w:qFormat/>
    <w:uiPriority w:val="99"/>
    <w:rPr>
      <w:sz w:val="18"/>
      <w:szCs w:val="18"/>
    </w:rPr>
  </w:style>
  <w:style w:type="character" w:customStyle="1" w:styleId="48">
    <w:name w:val="页脚 字符"/>
    <w:basedOn w:val="26"/>
    <w:link w:val="16"/>
    <w:qFormat/>
    <w:uiPriority w:val="99"/>
    <w:rPr>
      <w:sz w:val="18"/>
      <w:szCs w:val="18"/>
    </w:rPr>
  </w:style>
  <w:style w:type="character" w:customStyle="1" w:styleId="49">
    <w:name w:val="日期 字符"/>
    <w:basedOn w:val="26"/>
    <w:link w:val="14"/>
    <w:semiHidden/>
    <w:qFormat/>
    <w:uiPriority w:val="99"/>
  </w:style>
  <w:style w:type="table" w:customStyle="1" w:styleId="50">
    <w:name w:val="Table Normal"/>
    <w:semiHidden/>
    <w:unhideWhenUsed/>
    <w:qFormat/>
    <w:uiPriority w:val="0"/>
    <w:pPr>
      <w:spacing w:after="160" w:line="278" w:lineRule="auto"/>
    </w:pPr>
    <w:rPr>
      <w:rFonts w:ascii="Arial" w:hAnsi="Arial" w:cs="Arial"/>
      <w:snapToGrid w:val="0"/>
      <w:color w:val="000000"/>
      <w:szCs w:val="21"/>
      <w:lang w:eastAsia="en-US"/>
    </w:rPr>
    <w:tblPr>
      <w:tblCellMar>
        <w:top w:w="0" w:type="dxa"/>
        <w:left w:w="0" w:type="dxa"/>
        <w:bottom w:w="0" w:type="dxa"/>
        <w:right w:w="0" w:type="dxa"/>
      </w:tblCellMar>
    </w:tblPr>
  </w:style>
  <w:style w:type="paragraph" w:customStyle="1" w:styleId="51">
    <w:name w:val="Table Text"/>
    <w:basedOn w:val="1"/>
    <w:semiHidden/>
    <w:qFormat/>
    <w:uiPriority w:val="0"/>
    <w:pPr>
      <w:widowControl/>
      <w:kinsoku w:val="0"/>
      <w:autoSpaceDE w:val="0"/>
      <w:autoSpaceDN w:val="0"/>
      <w:adjustRightInd w:val="0"/>
      <w:snapToGrid w:val="0"/>
      <w:spacing w:after="160"/>
      <w:jc w:val="left"/>
      <w:textAlignment w:val="baseline"/>
    </w:pPr>
    <w:rPr>
      <w:rFonts w:ascii="宋体" w:hAnsi="宋体" w:cs="宋体"/>
      <w:snapToGrid w:val="0"/>
      <w:color w:val="000000"/>
      <w:kern w:val="0"/>
      <w:sz w:val="25"/>
      <w:szCs w:val="25"/>
      <w:lang w:eastAsia="en-US"/>
    </w:rPr>
  </w:style>
  <w:style w:type="character" w:customStyle="1" w:styleId="52">
    <w:name w:val="正文文本 字符"/>
    <w:basedOn w:val="26"/>
    <w:link w:val="12"/>
    <w:qFormat/>
    <w:uiPriority w:val="0"/>
    <w:rPr>
      <w:snapToGrid w:val="0"/>
      <w:color w:val="000000"/>
      <w:sz w:val="21"/>
      <w:szCs w:val="21"/>
      <w:lang w:eastAsia="en-US"/>
    </w:rPr>
  </w:style>
  <w:style w:type="character" w:customStyle="1" w:styleId="53">
    <w:name w:val="批注框文本 字符"/>
    <w:basedOn w:val="26"/>
    <w:link w:val="15"/>
    <w:semiHidden/>
    <w:qFormat/>
    <w:uiPriority w:val="99"/>
    <w:rPr>
      <w:sz w:val="18"/>
      <w:szCs w:val="18"/>
    </w:rPr>
  </w:style>
  <w:style w:type="character" w:customStyle="1" w:styleId="54">
    <w:name w:val="纯文本 字符"/>
    <w:basedOn w:val="26"/>
    <w:link w:val="13"/>
    <w:qFormat/>
    <w:uiPriority w:val="99"/>
    <w:rPr>
      <w:rFonts w:ascii="宋体" w:hAnsi="Courier New" w:eastAsia="宋体" w:cs="华文中宋"/>
      <w:szCs w:val="21"/>
    </w:rPr>
  </w:style>
  <w:style w:type="paragraph" w:customStyle="1" w:styleId="55">
    <w:name w:val="条纹说明"/>
    <w:basedOn w:val="1"/>
    <w:next w:val="1"/>
    <w:link w:val="58"/>
    <w:qFormat/>
    <w:uiPriority w:val="0"/>
    <w:pPr>
      <w:spacing w:line="360" w:lineRule="exact"/>
      <w:outlineLvl w:val="3"/>
    </w:pPr>
    <w:rPr>
      <w:rFonts w:hint="eastAsia" w:eastAsia="楷体" w:cstheme="majorBidi"/>
      <w:color w:val="0000FF"/>
      <w:szCs w:val="21"/>
    </w:rPr>
  </w:style>
  <w:style w:type="paragraph" w:customStyle="1" w:styleId="56">
    <w:name w:val="条文说明"/>
    <w:basedOn w:val="55"/>
    <w:link w:val="59"/>
    <w:qFormat/>
    <w:uiPriority w:val="0"/>
    <w:rPr>
      <w:rFonts w:hint="default"/>
    </w:rPr>
  </w:style>
  <w:style w:type="paragraph" w:customStyle="1" w:styleId="57">
    <w:name w:val="表格"/>
    <w:basedOn w:val="1"/>
    <w:link w:val="61"/>
    <w:qFormat/>
    <w:uiPriority w:val="0"/>
    <w:pPr>
      <w:widowControl/>
      <w:jc w:val="center"/>
      <w:textAlignment w:val="center"/>
    </w:pPr>
    <w:rPr>
      <w:rFonts w:eastAsiaTheme="minorEastAsia"/>
      <w:bCs/>
      <w:color w:val="000000" w:themeColor="text1"/>
      <w:sz w:val="15"/>
      <w:szCs w:val="18"/>
      <w14:textFill>
        <w14:solidFill>
          <w14:schemeClr w14:val="tx1"/>
        </w14:solidFill>
      </w14:textFill>
    </w:rPr>
  </w:style>
  <w:style w:type="character" w:customStyle="1" w:styleId="58">
    <w:name w:val="条纹说明 字符"/>
    <w:basedOn w:val="26"/>
    <w:link w:val="55"/>
    <w:qFormat/>
    <w:uiPriority w:val="0"/>
    <w:rPr>
      <w:rFonts w:eastAsia="楷体" w:cstheme="majorBidi"/>
      <w:color w:val="0000FF"/>
      <w:kern w:val="2"/>
      <w:sz w:val="21"/>
      <w:szCs w:val="21"/>
    </w:rPr>
  </w:style>
  <w:style w:type="character" w:customStyle="1" w:styleId="59">
    <w:name w:val="条文说明 字符"/>
    <w:basedOn w:val="58"/>
    <w:link w:val="56"/>
    <w:qFormat/>
    <w:uiPriority w:val="0"/>
    <w:rPr>
      <w:rFonts w:eastAsia="楷体" w:cstheme="majorBidi"/>
      <w:color w:val="0000FF"/>
      <w:kern w:val="2"/>
      <w:sz w:val="21"/>
      <w:szCs w:val="21"/>
    </w:rPr>
  </w:style>
  <w:style w:type="paragraph" w:customStyle="1" w:styleId="60">
    <w:name w:val="注："/>
    <w:basedOn w:val="12"/>
    <w:link w:val="62"/>
    <w:qFormat/>
    <w:uiPriority w:val="0"/>
    <w:pPr>
      <w:ind w:firstLine="0" w:firstLineChars="0"/>
    </w:pPr>
    <w:rPr>
      <w:sz w:val="18"/>
      <w:szCs w:val="18"/>
    </w:rPr>
  </w:style>
  <w:style w:type="character" w:customStyle="1" w:styleId="61">
    <w:name w:val="表格 字符"/>
    <w:basedOn w:val="26"/>
    <w:link w:val="57"/>
    <w:qFormat/>
    <w:uiPriority w:val="0"/>
    <w:rPr>
      <w:rFonts w:eastAsiaTheme="minorEastAsia" w:cstheme="minorBidi"/>
      <w:bCs/>
      <w:color w:val="000000" w:themeColor="text1"/>
      <w:kern w:val="2"/>
      <w:sz w:val="15"/>
      <w:szCs w:val="18"/>
      <w14:textFill>
        <w14:solidFill>
          <w14:schemeClr w14:val="tx1"/>
        </w14:solidFill>
      </w14:textFill>
    </w:rPr>
  </w:style>
  <w:style w:type="character" w:customStyle="1" w:styleId="62">
    <w:name w:val="注： 字符"/>
    <w:basedOn w:val="52"/>
    <w:link w:val="60"/>
    <w:qFormat/>
    <w:uiPriority w:val="0"/>
    <w:rPr>
      <w:rFonts w:ascii="Times New Roman" w:hAnsi="Times New Roman" w:eastAsia="宋体" w:cs="Times New Roman"/>
      <w:snapToGrid w:val="0"/>
      <w:color w:val="000000"/>
      <w:kern w:val="0"/>
      <w:sz w:val="18"/>
      <w:szCs w:val="18"/>
      <w:lang w:eastAsia="en-US"/>
    </w:rPr>
  </w:style>
  <w:style w:type="character" w:customStyle="1" w:styleId="63">
    <w:name w:val="批注文字 字符"/>
    <w:basedOn w:val="26"/>
    <w:link w:val="11"/>
    <w:semiHidden/>
    <w:qFormat/>
    <w:uiPriority w:val="99"/>
    <w:rPr>
      <w:rFonts w:asciiTheme="minorHAnsi" w:hAnsiTheme="minorHAnsi" w:eastAsiaTheme="minorEastAsia" w:cstheme="minorBidi"/>
      <w:kern w:val="2"/>
      <w:sz w:val="21"/>
      <w:szCs w:val="22"/>
    </w:rPr>
  </w:style>
  <w:style w:type="character" w:customStyle="1" w:styleId="64">
    <w:name w:val="批注主题 字符"/>
    <w:basedOn w:val="63"/>
    <w:link w:val="23"/>
    <w:semiHidden/>
    <w:qFormat/>
    <w:uiPriority w:val="99"/>
    <w:rPr>
      <w:rFonts w:asciiTheme="minorHAnsi" w:hAnsiTheme="minorHAnsi" w:eastAsiaTheme="minorEastAsia" w:cstheme="minorBidi"/>
      <w:b/>
      <w:bCs/>
      <w:kern w:val="2"/>
      <w:sz w:val="21"/>
      <w:szCs w:val="22"/>
    </w:rPr>
  </w:style>
  <w:style w:type="paragraph" w:customStyle="1" w:styleId="65">
    <w:name w:val="表格标题"/>
    <w:basedOn w:val="1"/>
    <w:link w:val="67"/>
    <w:qFormat/>
    <w:uiPriority w:val="0"/>
    <w:pPr>
      <w:widowControl/>
      <w:kinsoku w:val="0"/>
      <w:autoSpaceDE w:val="0"/>
      <w:autoSpaceDN w:val="0"/>
      <w:adjustRightInd w:val="0"/>
      <w:snapToGrid w:val="0"/>
      <w:spacing w:line="360" w:lineRule="exact"/>
      <w:jc w:val="center"/>
      <w:textAlignment w:val="baseline"/>
    </w:pPr>
    <w:rPr>
      <w:rFonts w:eastAsia="黑体" w:cs="Times New Roman"/>
      <w:bCs/>
      <w:spacing w:val="7"/>
      <w:sz w:val="18"/>
      <w:szCs w:val="18"/>
    </w:rPr>
  </w:style>
  <w:style w:type="paragraph" w:customStyle="1" w:styleId="66">
    <w:name w:val="一级标题"/>
    <w:basedOn w:val="2"/>
    <w:qFormat/>
    <w:uiPriority w:val="0"/>
    <w:pPr>
      <w:spacing w:beforeLines="0" w:after="240" w:afterLines="0" w:line="360" w:lineRule="exact"/>
    </w:pPr>
    <w:rPr>
      <w:rFonts w:asciiTheme="majorHAnsi" w:hAnsiTheme="majorHAnsi" w:eastAsiaTheme="majorEastAsia" w:cstheme="majorBidi"/>
      <w:bCs w:val="0"/>
      <w:kern w:val="0"/>
    </w:rPr>
  </w:style>
  <w:style w:type="character" w:customStyle="1" w:styleId="67">
    <w:name w:val="表格标题 字符"/>
    <w:basedOn w:val="26"/>
    <w:link w:val="65"/>
    <w:qFormat/>
    <w:uiPriority w:val="0"/>
    <w:rPr>
      <w:rFonts w:eastAsia="黑体"/>
      <w:bCs/>
      <w:spacing w:val="7"/>
      <w:kern w:val="2"/>
      <w:sz w:val="18"/>
      <w:szCs w:val="18"/>
    </w:rPr>
  </w:style>
  <w:style w:type="table" w:customStyle="1" w:styleId="68">
    <w:name w:val="网格型1"/>
    <w:basedOn w:val="24"/>
    <w:qFormat/>
    <w:uiPriority w:val="5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9">
    <w:name w:val="Table Normal1"/>
    <w:semiHidden/>
    <w:unhideWhenUsed/>
    <w:qFormat/>
    <w:uiPriority w:val="0"/>
    <w:pPr>
      <w:spacing w:after="160" w:line="278" w:lineRule="auto"/>
    </w:pPr>
    <w:rPr>
      <w:rFonts w:ascii="Arial" w:hAnsi="Arial" w:cs="Arial" w:eastAsiaTheme="minorEastAsia"/>
      <w:snapToGrid w:val="0"/>
      <w:color w:val="000000"/>
      <w:szCs w:val="21"/>
      <w:lang w:eastAsia="en-US"/>
    </w:rPr>
    <w:tblPr>
      <w:tblCellMar>
        <w:top w:w="0" w:type="dxa"/>
        <w:left w:w="0" w:type="dxa"/>
        <w:bottom w:w="0" w:type="dxa"/>
        <w:right w:w="0" w:type="dxa"/>
      </w:tblCellMar>
    </w:tblPr>
  </w:style>
  <w:style w:type="paragraph" w:customStyle="1" w:styleId="70">
    <w:name w:val="Table Paragraph"/>
    <w:basedOn w:val="1"/>
    <w:qFormat/>
    <w:uiPriority w:val="1"/>
    <w:pPr>
      <w:autoSpaceDE w:val="0"/>
      <w:autoSpaceDN w:val="0"/>
      <w:adjustRightInd w:val="0"/>
      <w:jc w:val="left"/>
    </w:pPr>
    <w:rPr>
      <w:rFonts w:cs="Times New Roman" w:eastAsiaTheme="minorEastAsia"/>
      <w:kern w:val="0"/>
      <w:sz w:val="24"/>
      <w:szCs w:val="24"/>
    </w:rPr>
  </w:style>
  <w:style w:type="table" w:customStyle="1" w:styleId="71">
    <w:name w:val="网格表 1 浅色1"/>
    <w:basedOn w:val="24"/>
    <w:qFormat/>
    <w:uiPriority w:val="46"/>
    <w:rPr>
      <w:rFonts w:asciiTheme="minorHAnsi" w:hAnsiTheme="minorHAnsi" w:eastAsiaTheme="minorEastAsia" w:cstheme="minorBidi"/>
      <w:kern w:val="2"/>
      <w:sz w:val="21"/>
      <w:szCs w:val="22"/>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72">
    <w:name w:val="网格型浅色1"/>
    <w:basedOn w:val="24"/>
    <w:qFormat/>
    <w:uiPriority w:val="40"/>
    <w:rPr>
      <w:rFonts w:asciiTheme="minorHAnsi" w:hAnsiTheme="minorHAnsi" w:eastAsiaTheme="minorEastAsia" w:cstheme="minorBidi"/>
      <w:kern w:val="2"/>
      <w:sz w:val="21"/>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73">
    <w:name w:val="无格式表格 31"/>
    <w:basedOn w:val="24"/>
    <w:qFormat/>
    <w:uiPriority w:val="43"/>
    <w:rPr>
      <w:rFonts w:asciiTheme="minorHAnsi" w:hAnsiTheme="minorHAnsi" w:eastAsiaTheme="minorEastAsia" w:cstheme="minorBidi"/>
      <w:kern w:val="2"/>
      <w:sz w:val="21"/>
      <w:szCs w:val="22"/>
    </w:rPr>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74">
    <w:name w:val="无格式表格 21"/>
    <w:basedOn w:val="24"/>
    <w:qFormat/>
    <w:uiPriority w:val="42"/>
    <w:rPr>
      <w:rFonts w:asciiTheme="minorHAnsi" w:hAnsiTheme="minorHAnsi" w:eastAsiaTheme="minorEastAsia" w:cstheme="minorBidi"/>
      <w:kern w:val="2"/>
      <w:sz w:val="21"/>
      <w:szCs w:val="22"/>
    </w:rPr>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character" w:styleId="75">
    <w:name w:val="Placeholder Text"/>
    <w:basedOn w:val="26"/>
    <w:semiHidden/>
    <w:qFormat/>
    <w:uiPriority w:val="99"/>
    <w:rPr>
      <w:color w:val="808080"/>
    </w:rPr>
  </w:style>
  <w:style w:type="paragraph" w:customStyle="1" w:styleId="76">
    <w:name w:val="WPSOffice手动目录 1"/>
    <w:qFormat/>
    <w:uiPriority w:val="0"/>
    <w:rPr>
      <w:rFonts w:ascii="Times New Roman" w:hAnsi="Times New Roman" w:eastAsia="宋体" w:cs="Times New Roman"/>
      <w:lang w:val="en-US" w:eastAsia="zh-CN" w:bidi="ar-SA"/>
    </w:rPr>
  </w:style>
  <w:style w:type="paragraph" w:customStyle="1" w:styleId="77">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78">
    <w:name w:val="jlqj4b"/>
    <w:basedOn w:val="26"/>
    <w:qFormat/>
    <w:uiPriority w:val="0"/>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53.bin"/><Relationship Id="rId98" Type="http://schemas.openxmlformats.org/officeDocument/2006/relationships/oleObject" Target="embeddings/oleObject52.bin"/><Relationship Id="rId97" Type="http://schemas.openxmlformats.org/officeDocument/2006/relationships/oleObject" Target="embeddings/oleObject51.bin"/><Relationship Id="rId96" Type="http://schemas.openxmlformats.org/officeDocument/2006/relationships/oleObject" Target="embeddings/oleObject50.bin"/><Relationship Id="rId95" Type="http://schemas.openxmlformats.org/officeDocument/2006/relationships/oleObject" Target="embeddings/oleObject49.bin"/><Relationship Id="rId94" Type="http://schemas.openxmlformats.org/officeDocument/2006/relationships/oleObject" Target="embeddings/oleObject48.bin"/><Relationship Id="rId93" Type="http://schemas.openxmlformats.org/officeDocument/2006/relationships/oleObject" Target="embeddings/oleObject47.bin"/><Relationship Id="rId92" Type="http://schemas.openxmlformats.org/officeDocument/2006/relationships/oleObject" Target="embeddings/oleObject46.bin"/><Relationship Id="rId91" Type="http://schemas.openxmlformats.org/officeDocument/2006/relationships/oleObject" Target="embeddings/oleObject45.bin"/><Relationship Id="rId90" Type="http://schemas.openxmlformats.org/officeDocument/2006/relationships/oleObject" Target="embeddings/oleObject44.bin"/><Relationship Id="rId9" Type="http://schemas.openxmlformats.org/officeDocument/2006/relationships/footer" Target="footer2.xml"/><Relationship Id="rId89" Type="http://schemas.openxmlformats.org/officeDocument/2006/relationships/oleObject" Target="embeddings/oleObject43.bin"/><Relationship Id="rId88" Type="http://schemas.openxmlformats.org/officeDocument/2006/relationships/oleObject" Target="embeddings/oleObject42.bin"/><Relationship Id="rId87" Type="http://schemas.openxmlformats.org/officeDocument/2006/relationships/oleObject" Target="embeddings/oleObject41.bin"/><Relationship Id="rId86" Type="http://schemas.openxmlformats.org/officeDocument/2006/relationships/image" Target="media/image33.wmf"/><Relationship Id="rId85" Type="http://schemas.openxmlformats.org/officeDocument/2006/relationships/oleObject" Target="embeddings/oleObject40.bin"/><Relationship Id="rId84" Type="http://schemas.openxmlformats.org/officeDocument/2006/relationships/oleObject" Target="embeddings/oleObject39.bin"/><Relationship Id="rId83" Type="http://schemas.openxmlformats.org/officeDocument/2006/relationships/oleObject" Target="embeddings/oleObject38.bin"/><Relationship Id="rId82" Type="http://schemas.openxmlformats.org/officeDocument/2006/relationships/image" Target="media/image32.wmf"/><Relationship Id="rId81" Type="http://schemas.openxmlformats.org/officeDocument/2006/relationships/oleObject" Target="embeddings/oleObject37.bin"/><Relationship Id="rId80" Type="http://schemas.openxmlformats.org/officeDocument/2006/relationships/image" Target="media/image31.wmf"/><Relationship Id="rId8" Type="http://schemas.openxmlformats.org/officeDocument/2006/relationships/footer" Target="footer1.xml"/><Relationship Id="rId79" Type="http://schemas.openxmlformats.org/officeDocument/2006/relationships/oleObject" Target="embeddings/oleObject36.bin"/><Relationship Id="rId78" Type="http://schemas.openxmlformats.org/officeDocument/2006/relationships/oleObject" Target="embeddings/oleObject35.bin"/><Relationship Id="rId77" Type="http://schemas.openxmlformats.org/officeDocument/2006/relationships/oleObject" Target="embeddings/oleObject34.bin"/><Relationship Id="rId76" Type="http://schemas.openxmlformats.org/officeDocument/2006/relationships/image" Target="media/image30.wmf"/><Relationship Id="rId75" Type="http://schemas.openxmlformats.org/officeDocument/2006/relationships/oleObject" Target="embeddings/oleObject33.bin"/><Relationship Id="rId74" Type="http://schemas.openxmlformats.org/officeDocument/2006/relationships/image" Target="media/image29.wmf"/><Relationship Id="rId73" Type="http://schemas.openxmlformats.org/officeDocument/2006/relationships/oleObject" Target="embeddings/oleObject32.bin"/><Relationship Id="rId72" Type="http://schemas.openxmlformats.org/officeDocument/2006/relationships/image" Target="media/image28.wmf"/><Relationship Id="rId71" Type="http://schemas.openxmlformats.org/officeDocument/2006/relationships/oleObject" Target="embeddings/oleObject31.bin"/><Relationship Id="rId70" Type="http://schemas.openxmlformats.org/officeDocument/2006/relationships/image" Target="media/image27.wmf"/><Relationship Id="rId7" Type="http://schemas.openxmlformats.org/officeDocument/2006/relationships/header" Target="header3.xml"/><Relationship Id="rId69" Type="http://schemas.openxmlformats.org/officeDocument/2006/relationships/oleObject" Target="embeddings/oleObject30.bin"/><Relationship Id="rId68" Type="http://schemas.openxmlformats.org/officeDocument/2006/relationships/image" Target="media/image26.wmf"/><Relationship Id="rId67" Type="http://schemas.openxmlformats.org/officeDocument/2006/relationships/oleObject" Target="embeddings/oleObject29.bin"/><Relationship Id="rId66" Type="http://schemas.openxmlformats.org/officeDocument/2006/relationships/image" Target="media/image25.wmf"/><Relationship Id="rId65" Type="http://schemas.openxmlformats.org/officeDocument/2006/relationships/oleObject" Target="embeddings/oleObject28.bin"/><Relationship Id="rId64" Type="http://schemas.openxmlformats.org/officeDocument/2006/relationships/image" Target="media/image24.wmf"/><Relationship Id="rId63" Type="http://schemas.openxmlformats.org/officeDocument/2006/relationships/oleObject" Target="embeddings/oleObject27.bin"/><Relationship Id="rId62" Type="http://schemas.openxmlformats.org/officeDocument/2006/relationships/image" Target="media/image23.wmf"/><Relationship Id="rId61" Type="http://schemas.openxmlformats.org/officeDocument/2006/relationships/oleObject" Target="embeddings/oleObject26.bin"/><Relationship Id="rId60" Type="http://schemas.openxmlformats.org/officeDocument/2006/relationships/oleObject" Target="embeddings/oleObject25.bin"/><Relationship Id="rId6" Type="http://schemas.openxmlformats.org/officeDocument/2006/relationships/header" Target="header2.xml"/><Relationship Id="rId59" Type="http://schemas.openxmlformats.org/officeDocument/2006/relationships/image" Target="media/image22.wmf"/><Relationship Id="rId58" Type="http://schemas.openxmlformats.org/officeDocument/2006/relationships/oleObject" Target="embeddings/oleObject24.bin"/><Relationship Id="rId57" Type="http://schemas.openxmlformats.org/officeDocument/2006/relationships/image" Target="media/image21.wmf"/><Relationship Id="rId56" Type="http://schemas.openxmlformats.org/officeDocument/2006/relationships/oleObject" Target="embeddings/oleObject23.bin"/><Relationship Id="rId55" Type="http://schemas.openxmlformats.org/officeDocument/2006/relationships/image" Target="media/image20.wmf"/><Relationship Id="rId54" Type="http://schemas.openxmlformats.org/officeDocument/2006/relationships/oleObject" Target="embeddings/oleObject22.bin"/><Relationship Id="rId53" Type="http://schemas.openxmlformats.org/officeDocument/2006/relationships/image" Target="media/image19.wmf"/><Relationship Id="rId52" Type="http://schemas.openxmlformats.org/officeDocument/2006/relationships/oleObject" Target="embeddings/oleObject21.bin"/><Relationship Id="rId51" Type="http://schemas.openxmlformats.org/officeDocument/2006/relationships/image" Target="media/image18.wmf"/><Relationship Id="rId50" Type="http://schemas.openxmlformats.org/officeDocument/2006/relationships/oleObject" Target="embeddings/oleObject20.bin"/><Relationship Id="rId5" Type="http://schemas.openxmlformats.org/officeDocument/2006/relationships/header" Target="header1.xml"/><Relationship Id="rId49" Type="http://schemas.openxmlformats.org/officeDocument/2006/relationships/image" Target="media/image17.wmf"/><Relationship Id="rId48" Type="http://schemas.openxmlformats.org/officeDocument/2006/relationships/oleObject" Target="embeddings/oleObject19.bin"/><Relationship Id="rId47" Type="http://schemas.openxmlformats.org/officeDocument/2006/relationships/image" Target="media/image16.wmf"/><Relationship Id="rId46" Type="http://schemas.openxmlformats.org/officeDocument/2006/relationships/oleObject" Target="embeddings/oleObject18.bin"/><Relationship Id="rId45" Type="http://schemas.openxmlformats.org/officeDocument/2006/relationships/image" Target="media/image15.wmf"/><Relationship Id="rId44" Type="http://schemas.openxmlformats.org/officeDocument/2006/relationships/oleObject" Target="embeddings/oleObject17.bin"/><Relationship Id="rId43" Type="http://schemas.openxmlformats.org/officeDocument/2006/relationships/image" Target="media/image14.wmf"/><Relationship Id="rId42" Type="http://schemas.openxmlformats.org/officeDocument/2006/relationships/oleObject" Target="embeddings/oleObject16.bin"/><Relationship Id="rId41" Type="http://schemas.openxmlformats.org/officeDocument/2006/relationships/image" Target="media/image13.wmf"/><Relationship Id="rId40" Type="http://schemas.openxmlformats.org/officeDocument/2006/relationships/oleObject" Target="embeddings/oleObject15.bin"/><Relationship Id="rId4" Type="http://schemas.openxmlformats.org/officeDocument/2006/relationships/endnotes" Target="endnotes.xml"/><Relationship Id="rId39" Type="http://schemas.openxmlformats.org/officeDocument/2006/relationships/oleObject" Target="embeddings/oleObject14.bin"/><Relationship Id="rId38" Type="http://schemas.openxmlformats.org/officeDocument/2006/relationships/oleObject" Target="embeddings/oleObject13.bin"/><Relationship Id="rId37" Type="http://schemas.openxmlformats.org/officeDocument/2006/relationships/image" Target="media/image12.wmf"/><Relationship Id="rId36" Type="http://schemas.openxmlformats.org/officeDocument/2006/relationships/oleObject" Target="embeddings/oleObject12.bin"/><Relationship Id="rId352" Type="http://schemas.openxmlformats.org/officeDocument/2006/relationships/fontTable" Target="fontTable.xml"/><Relationship Id="rId351" Type="http://schemas.microsoft.com/office/2006/relationships/keyMapCustomizations" Target="customizations.xml"/><Relationship Id="rId350" Type="http://schemas.openxmlformats.org/officeDocument/2006/relationships/numbering" Target="numbering.xml"/><Relationship Id="rId35" Type="http://schemas.openxmlformats.org/officeDocument/2006/relationships/image" Target="media/image11.wmf"/><Relationship Id="rId349" Type="http://schemas.openxmlformats.org/officeDocument/2006/relationships/image" Target="media/image174.jpeg"/><Relationship Id="rId348" Type="http://schemas.openxmlformats.org/officeDocument/2006/relationships/image" Target="media/image173.png"/><Relationship Id="rId347" Type="http://schemas.openxmlformats.org/officeDocument/2006/relationships/image" Target="media/image172.png"/><Relationship Id="rId346" Type="http://schemas.openxmlformats.org/officeDocument/2006/relationships/image" Target="media/image171.png"/><Relationship Id="rId345" Type="http://schemas.openxmlformats.org/officeDocument/2006/relationships/image" Target="media/image170.png"/><Relationship Id="rId344" Type="http://schemas.openxmlformats.org/officeDocument/2006/relationships/image" Target="media/image169.png"/><Relationship Id="rId343" Type="http://schemas.openxmlformats.org/officeDocument/2006/relationships/image" Target="media/image168.wmf"/><Relationship Id="rId342" Type="http://schemas.openxmlformats.org/officeDocument/2006/relationships/oleObject" Target="embeddings/oleObject162.bin"/><Relationship Id="rId341" Type="http://schemas.openxmlformats.org/officeDocument/2006/relationships/image" Target="media/image167.wmf"/><Relationship Id="rId340" Type="http://schemas.openxmlformats.org/officeDocument/2006/relationships/oleObject" Target="embeddings/oleObject161.bin"/><Relationship Id="rId34" Type="http://schemas.openxmlformats.org/officeDocument/2006/relationships/oleObject" Target="embeddings/oleObject11.bin"/><Relationship Id="rId339" Type="http://schemas.openxmlformats.org/officeDocument/2006/relationships/image" Target="media/image166.wmf"/><Relationship Id="rId338" Type="http://schemas.openxmlformats.org/officeDocument/2006/relationships/oleObject" Target="embeddings/oleObject160.bin"/><Relationship Id="rId337" Type="http://schemas.openxmlformats.org/officeDocument/2006/relationships/image" Target="media/image165.wmf"/><Relationship Id="rId336" Type="http://schemas.openxmlformats.org/officeDocument/2006/relationships/oleObject" Target="embeddings/oleObject159.bin"/><Relationship Id="rId335" Type="http://schemas.openxmlformats.org/officeDocument/2006/relationships/image" Target="media/image164.jpeg"/><Relationship Id="rId334" Type="http://schemas.openxmlformats.org/officeDocument/2006/relationships/image" Target="media/image163.jpeg"/><Relationship Id="rId333" Type="http://schemas.openxmlformats.org/officeDocument/2006/relationships/image" Target="media/image162.jpeg"/><Relationship Id="rId332" Type="http://schemas.openxmlformats.org/officeDocument/2006/relationships/image" Target="media/image161.jpeg"/><Relationship Id="rId331" Type="http://schemas.openxmlformats.org/officeDocument/2006/relationships/image" Target="media/image160.jpeg"/><Relationship Id="rId330" Type="http://schemas.openxmlformats.org/officeDocument/2006/relationships/image" Target="media/image159.emf"/><Relationship Id="rId33" Type="http://schemas.openxmlformats.org/officeDocument/2006/relationships/image" Target="media/image10.wmf"/><Relationship Id="rId329" Type="http://schemas.openxmlformats.org/officeDocument/2006/relationships/image" Target="media/image158.emf"/><Relationship Id="rId328" Type="http://schemas.openxmlformats.org/officeDocument/2006/relationships/image" Target="media/image157.png"/><Relationship Id="rId327" Type="http://schemas.openxmlformats.org/officeDocument/2006/relationships/image" Target="media/image156.emf"/><Relationship Id="rId326" Type="http://schemas.openxmlformats.org/officeDocument/2006/relationships/image" Target="media/image155.png"/><Relationship Id="rId325" Type="http://schemas.openxmlformats.org/officeDocument/2006/relationships/image" Target="media/image154.png"/><Relationship Id="rId324" Type="http://schemas.openxmlformats.org/officeDocument/2006/relationships/image" Target="media/image153.png"/><Relationship Id="rId323" Type="http://schemas.openxmlformats.org/officeDocument/2006/relationships/image" Target="media/image152.png"/><Relationship Id="rId322" Type="http://schemas.openxmlformats.org/officeDocument/2006/relationships/image" Target="media/image151.png"/><Relationship Id="rId321" Type="http://schemas.openxmlformats.org/officeDocument/2006/relationships/image" Target="media/image150.emf"/><Relationship Id="rId320" Type="http://schemas.openxmlformats.org/officeDocument/2006/relationships/image" Target="media/image149.emf"/><Relationship Id="rId32" Type="http://schemas.openxmlformats.org/officeDocument/2006/relationships/oleObject" Target="embeddings/oleObject10.bin"/><Relationship Id="rId319" Type="http://schemas.openxmlformats.org/officeDocument/2006/relationships/image" Target="media/image148.png"/><Relationship Id="rId318" Type="http://schemas.openxmlformats.org/officeDocument/2006/relationships/image" Target="media/image147.png"/><Relationship Id="rId317" Type="http://schemas.openxmlformats.org/officeDocument/2006/relationships/image" Target="media/image146.wmf"/><Relationship Id="rId316" Type="http://schemas.openxmlformats.org/officeDocument/2006/relationships/oleObject" Target="embeddings/oleObject158.bin"/><Relationship Id="rId315" Type="http://schemas.openxmlformats.org/officeDocument/2006/relationships/image" Target="media/image145.wmf"/><Relationship Id="rId314" Type="http://schemas.openxmlformats.org/officeDocument/2006/relationships/oleObject" Target="embeddings/oleObject157.bin"/><Relationship Id="rId313" Type="http://schemas.openxmlformats.org/officeDocument/2006/relationships/image" Target="media/image144.wmf"/><Relationship Id="rId312" Type="http://schemas.openxmlformats.org/officeDocument/2006/relationships/oleObject" Target="embeddings/oleObject156.bin"/><Relationship Id="rId311" Type="http://schemas.openxmlformats.org/officeDocument/2006/relationships/image" Target="media/image143.wmf"/><Relationship Id="rId310" Type="http://schemas.openxmlformats.org/officeDocument/2006/relationships/oleObject" Target="embeddings/oleObject155.bin"/><Relationship Id="rId31" Type="http://schemas.openxmlformats.org/officeDocument/2006/relationships/image" Target="media/image9.wmf"/><Relationship Id="rId309" Type="http://schemas.openxmlformats.org/officeDocument/2006/relationships/image" Target="media/image142.wmf"/><Relationship Id="rId308" Type="http://schemas.openxmlformats.org/officeDocument/2006/relationships/oleObject" Target="embeddings/oleObject154.bin"/><Relationship Id="rId307" Type="http://schemas.openxmlformats.org/officeDocument/2006/relationships/image" Target="media/image141.wmf"/><Relationship Id="rId306" Type="http://schemas.openxmlformats.org/officeDocument/2006/relationships/oleObject" Target="embeddings/oleObject153.bin"/><Relationship Id="rId305" Type="http://schemas.openxmlformats.org/officeDocument/2006/relationships/image" Target="media/image140.wmf"/><Relationship Id="rId304" Type="http://schemas.openxmlformats.org/officeDocument/2006/relationships/oleObject" Target="embeddings/oleObject152.bin"/><Relationship Id="rId303" Type="http://schemas.openxmlformats.org/officeDocument/2006/relationships/image" Target="media/image139.wmf"/><Relationship Id="rId302" Type="http://schemas.openxmlformats.org/officeDocument/2006/relationships/oleObject" Target="embeddings/oleObject151.bin"/><Relationship Id="rId301" Type="http://schemas.openxmlformats.org/officeDocument/2006/relationships/image" Target="media/image138.wmf"/><Relationship Id="rId300" Type="http://schemas.openxmlformats.org/officeDocument/2006/relationships/oleObject" Target="embeddings/oleObject150.bin"/><Relationship Id="rId30" Type="http://schemas.openxmlformats.org/officeDocument/2006/relationships/oleObject" Target="embeddings/oleObject9.bin"/><Relationship Id="rId3" Type="http://schemas.openxmlformats.org/officeDocument/2006/relationships/footnotes" Target="footnotes.xml"/><Relationship Id="rId299" Type="http://schemas.openxmlformats.org/officeDocument/2006/relationships/image" Target="media/image137.wmf"/><Relationship Id="rId298" Type="http://schemas.openxmlformats.org/officeDocument/2006/relationships/oleObject" Target="embeddings/oleObject149.bin"/><Relationship Id="rId297" Type="http://schemas.openxmlformats.org/officeDocument/2006/relationships/image" Target="media/image136.wmf"/><Relationship Id="rId296" Type="http://schemas.openxmlformats.org/officeDocument/2006/relationships/oleObject" Target="embeddings/oleObject148.bin"/><Relationship Id="rId295" Type="http://schemas.openxmlformats.org/officeDocument/2006/relationships/image" Target="media/image135.wmf"/><Relationship Id="rId294" Type="http://schemas.openxmlformats.org/officeDocument/2006/relationships/oleObject" Target="embeddings/oleObject147.bin"/><Relationship Id="rId293" Type="http://schemas.openxmlformats.org/officeDocument/2006/relationships/image" Target="media/image134.wmf"/><Relationship Id="rId292" Type="http://schemas.openxmlformats.org/officeDocument/2006/relationships/oleObject" Target="embeddings/oleObject146.bin"/><Relationship Id="rId291" Type="http://schemas.openxmlformats.org/officeDocument/2006/relationships/image" Target="media/image133.wmf"/><Relationship Id="rId290" Type="http://schemas.openxmlformats.org/officeDocument/2006/relationships/oleObject" Target="embeddings/oleObject145.bin"/><Relationship Id="rId29" Type="http://schemas.openxmlformats.org/officeDocument/2006/relationships/image" Target="media/image8.wmf"/><Relationship Id="rId289" Type="http://schemas.openxmlformats.org/officeDocument/2006/relationships/image" Target="media/image132.wmf"/><Relationship Id="rId288" Type="http://schemas.openxmlformats.org/officeDocument/2006/relationships/oleObject" Target="embeddings/oleObject144.bin"/><Relationship Id="rId287" Type="http://schemas.openxmlformats.org/officeDocument/2006/relationships/image" Target="media/image131.wmf"/><Relationship Id="rId286" Type="http://schemas.openxmlformats.org/officeDocument/2006/relationships/oleObject" Target="embeddings/oleObject143.bin"/><Relationship Id="rId285" Type="http://schemas.openxmlformats.org/officeDocument/2006/relationships/image" Target="media/image130.jpeg"/><Relationship Id="rId284" Type="http://schemas.openxmlformats.org/officeDocument/2006/relationships/image" Target="media/image129.jpeg"/><Relationship Id="rId283" Type="http://schemas.openxmlformats.org/officeDocument/2006/relationships/image" Target="media/image128.emf"/><Relationship Id="rId282" Type="http://schemas.openxmlformats.org/officeDocument/2006/relationships/image" Target="media/image127.emf"/><Relationship Id="rId281" Type="http://schemas.openxmlformats.org/officeDocument/2006/relationships/image" Target="media/image126.jpeg"/><Relationship Id="rId280" Type="http://schemas.openxmlformats.org/officeDocument/2006/relationships/image" Target="media/image125.png"/><Relationship Id="rId28" Type="http://schemas.openxmlformats.org/officeDocument/2006/relationships/oleObject" Target="embeddings/oleObject8.bin"/><Relationship Id="rId279" Type="http://schemas.openxmlformats.org/officeDocument/2006/relationships/image" Target="media/image124.png"/><Relationship Id="rId278" Type="http://schemas.openxmlformats.org/officeDocument/2006/relationships/image" Target="media/image123.png"/><Relationship Id="rId277" Type="http://schemas.openxmlformats.org/officeDocument/2006/relationships/image" Target="media/image122.png"/><Relationship Id="rId276" Type="http://schemas.openxmlformats.org/officeDocument/2006/relationships/image" Target="media/image121.wmf"/><Relationship Id="rId275" Type="http://schemas.openxmlformats.org/officeDocument/2006/relationships/oleObject" Target="embeddings/oleObject142.bin"/><Relationship Id="rId274" Type="http://schemas.openxmlformats.org/officeDocument/2006/relationships/image" Target="media/image120.wmf"/><Relationship Id="rId273" Type="http://schemas.openxmlformats.org/officeDocument/2006/relationships/oleObject" Target="embeddings/oleObject141.bin"/><Relationship Id="rId272" Type="http://schemas.openxmlformats.org/officeDocument/2006/relationships/oleObject" Target="embeddings/oleObject140.bin"/><Relationship Id="rId271" Type="http://schemas.openxmlformats.org/officeDocument/2006/relationships/image" Target="media/image119.wmf"/><Relationship Id="rId270" Type="http://schemas.openxmlformats.org/officeDocument/2006/relationships/oleObject" Target="embeddings/oleObject139.bin"/><Relationship Id="rId27" Type="http://schemas.openxmlformats.org/officeDocument/2006/relationships/image" Target="media/image7.wmf"/><Relationship Id="rId269" Type="http://schemas.openxmlformats.org/officeDocument/2006/relationships/image" Target="media/image118.wmf"/><Relationship Id="rId268" Type="http://schemas.openxmlformats.org/officeDocument/2006/relationships/oleObject" Target="embeddings/oleObject138.bin"/><Relationship Id="rId267" Type="http://schemas.openxmlformats.org/officeDocument/2006/relationships/image" Target="media/image117.wmf"/><Relationship Id="rId266" Type="http://schemas.openxmlformats.org/officeDocument/2006/relationships/oleObject" Target="embeddings/oleObject137.bin"/><Relationship Id="rId265" Type="http://schemas.openxmlformats.org/officeDocument/2006/relationships/image" Target="media/image116.wmf"/><Relationship Id="rId264" Type="http://schemas.openxmlformats.org/officeDocument/2006/relationships/oleObject" Target="embeddings/oleObject136.bin"/><Relationship Id="rId263" Type="http://schemas.openxmlformats.org/officeDocument/2006/relationships/image" Target="media/image115.wmf"/><Relationship Id="rId262" Type="http://schemas.openxmlformats.org/officeDocument/2006/relationships/oleObject" Target="embeddings/oleObject135.bin"/><Relationship Id="rId261" Type="http://schemas.openxmlformats.org/officeDocument/2006/relationships/image" Target="media/image114.png"/><Relationship Id="rId260" Type="http://schemas.openxmlformats.org/officeDocument/2006/relationships/image" Target="media/image113.png"/><Relationship Id="rId26" Type="http://schemas.openxmlformats.org/officeDocument/2006/relationships/oleObject" Target="embeddings/oleObject7.bin"/><Relationship Id="rId259" Type="http://schemas.openxmlformats.org/officeDocument/2006/relationships/image" Target="media/image112.png"/><Relationship Id="rId258" Type="http://schemas.openxmlformats.org/officeDocument/2006/relationships/image" Target="media/image111.wmf"/><Relationship Id="rId257" Type="http://schemas.openxmlformats.org/officeDocument/2006/relationships/oleObject" Target="embeddings/oleObject134.bin"/><Relationship Id="rId256" Type="http://schemas.openxmlformats.org/officeDocument/2006/relationships/image" Target="media/image110.wmf"/><Relationship Id="rId255" Type="http://schemas.openxmlformats.org/officeDocument/2006/relationships/oleObject" Target="embeddings/oleObject133.bin"/><Relationship Id="rId254" Type="http://schemas.openxmlformats.org/officeDocument/2006/relationships/image" Target="media/image109.wmf"/><Relationship Id="rId253" Type="http://schemas.openxmlformats.org/officeDocument/2006/relationships/oleObject" Target="embeddings/oleObject132.bin"/><Relationship Id="rId252" Type="http://schemas.openxmlformats.org/officeDocument/2006/relationships/image" Target="media/image108.wmf"/><Relationship Id="rId251" Type="http://schemas.openxmlformats.org/officeDocument/2006/relationships/oleObject" Target="embeddings/oleObject131.bin"/><Relationship Id="rId250" Type="http://schemas.openxmlformats.org/officeDocument/2006/relationships/image" Target="media/image107.wmf"/><Relationship Id="rId25" Type="http://schemas.openxmlformats.org/officeDocument/2006/relationships/image" Target="media/image6.wmf"/><Relationship Id="rId249" Type="http://schemas.openxmlformats.org/officeDocument/2006/relationships/oleObject" Target="embeddings/oleObject130.bin"/><Relationship Id="rId248" Type="http://schemas.openxmlformats.org/officeDocument/2006/relationships/image" Target="media/image106.wmf"/><Relationship Id="rId247" Type="http://schemas.openxmlformats.org/officeDocument/2006/relationships/oleObject" Target="embeddings/oleObject129.bin"/><Relationship Id="rId246" Type="http://schemas.openxmlformats.org/officeDocument/2006/relationships/image" Target="media/image105.wmf"/><Relationship Id="rId245" Type="http://schemas.openxmlformats.org/officeDocument/2006/relationships/oleObject" Target="embeddings/oleObject128.bin"/><Relationship Id="rId244" Type="http://schemas.openxmlformats.org/officeDocument/2006/relationships/image" Target="media/image104.wmf"/><Relationship Id="rId243" Type="http://schemas.openxmlformats.org/officeDocument/2006/relationships/oleObject" Target="embeddings/oleObject127.bin"/><Relationship Id="rId242" Type="http://schemas.openxmlformats.org/officeDocument/2006/relationships/image" Target="media/image103.wmf"/><Relationship Id="rId241" Type="http://schemas.openxmlformats.org/officeDocument/2006/relationships/oleObject" Target="embeddings/oleObject126.bin"/><Relationship Id="rId240" Type="http://schemas.openxmlformats.org/officeDocument/2006/relationships/image" Target="media/image102.wmf"/><Relationship Id="rId24" Type="http://schemas.openxmlformats.org/officeDocument/2006/relationships/oleObject" Target="embeddings/oleObject6.bin"/><Relationship Id="rId239" Type="http://schemas.openxmlformats.org/officeDocument/2006/relationships/oleObject" Target="embeddings/oleObject125.bin"/><Relationship Id="rId238" Type="http://schemas.openxmlformats.org/officeDocument/2006/relationships/image" Target="media/image101.wmf"/><Relationship Id="rId237" Type="http://schemas.openxmlformats.org/officeDocument/2006/relationships/oleObject" Target="embeddings/oleObject124.bin"/><Relationship Id="rId236" Type="http://schemas.openxmlformats.org/officeDocument/2006/relationships/image" Target="media/image100.wmf"/><Relationship Id="rId235" Type="http://schemas.openxmlformats.org/officeDocument/2006/relationships/oleObject" Target="embeddings/oleObject123.bin"/><Relationship Id="rId234" Type="http://schemas.openxmlformats.org/officeDocument/2006/relationships/oleObject" Target="embeddings/oleObject122.bin"/><Relationship Id="rId233" Type="http://schemas.openxmlformats.org/officeDocument/2006/relationships/oleObject" Target="embeddings/oleObject121.bin"/><Relationship Id="rId232" Type="http://schemas.openxmlformats.org/officeDocument/2006/relationships/image" Target="media/image99.wmf"/><Relationship Id="rId231" Type="http://schemas.openxmlformats.org/officeDocument/2006/relationships/oleObject" Target="embeddings/oleObject120.bin"/><Relationship Id="rId230" Type="http://schemas.openxmlformats.org/officeDocument/2006/relationships/image" Target="media/image98.wmf"/><Relationship Id="rId23" Type="http://schemas.openxmlformats.org/officeDocument/2006/relationships/image" Target="media/image5.wmf"/><Relationship Id="rId229" Type="http://schemas.openxmlformats.org/officeDocument/2006/relationships/oleObject" Target="embeddings/oleObject119.bin"/><Relationship Id="rId228" Type="http://schemas.openxmlformats.org/officeDocument/2006/relationships/image" Target="media/image97.wmf"/><Relationship Id="rId227" Type="http://schemas.openxmlformats.org/officeDocument/2006/relationships/oleObject" Target="embeddings/oleObject118.bin"/><Relationship Id="rId226" Type="http://schemas.openxmlformats.org/officeDocument/2006/relationships/image" Target="media/image96.wmf"/><Relationship Id="rId225" Type="http://schemas.openxmlformats.org/officeDocument/2006/relationships/oleObject" Target="embeddings/oleObject117.bin"/><Relationship Id="rId224" Type="http://schemas.openxmlformats.org/officeDocument/2006/relationships/image" Target="media/image95.wmf"/><Relationship Id="rId223" Type="http://schemas.openxmlformats.org/officeDocument/2006/relationships/oleObject" Target="embeddings/oleObject116.bin"/><Relationship Id="rId222" Type="http://schemas.openxmlformats.org/officeDocument/2006/relationships/image" Target="media/image94.png"/><Relationship Id="rId221" Type="http://schemas.openxmlformats.org/officeDocument/2006/relationships/image" Target="media/image93.png"/><Relationship Id="rId220" Type="http://schemas.openxmlformats.org/officeDocument/2006/relationships/image" Target="media/image92.wmf"/><Relationship Id="rId22" Type="http://schemas.openxmlformats.org/officeDocument/2006/relationships/oleObject" Target="embeddings/oleObject5.bin"/><Relationship Id="rId219" Type="http://schemas.openxmlformats.org/officeDocument/2006/relationships/oleObject" Target="embeddings/oleObject115.bin"/><Relationship Id="rId218" Type="http://schemas.openxmlformats.org/officeDocument/2006/relationships/image" Target="media/image91.wmf"/><Relationship Id="rId217" Type="http://schemas.openxmlformats.org/officeDocument/2006/relationships/oleObject" Target="embeddings/oleObject114.bin"/><Relationship Id="rId216" Type="http://schemas.openxmlformats.org/officeDocument/2006/relationships/image" Target="media/image90.wmf"/><Relationship Id="rId215" Type="http://schemas.openxmlformats.org/officeDocument/2006/relationships/oleObject" Target="embeddings/oleObject113.bin"/><Relationship Id="rId214" Type="http://schemas.openxmlformats.org/officeDocument/2006/relationships/image" Target="media/image89.wmf"/><Relationship Id="rId213" Type="http://schemas.openxmlformats.org/officeDocument/2006/relationships/oleObject" Target="embeddings/oleObject112.bin"/><Relationship Id="rId212" Type="http://schemas.openxmlformats.org/officeDocument/2006/relationships/image" Target="media/image88.wmf"/><Relationship Id="rId211" Type="http://schemas.openxmlformats.org/officeDocument/2006/relationships/oleObject" Target="embeddings/oleObject111.bin"/><Relationship Id="rId210" Type="http://schemas.openxmlformats.org/officeDocument/2006/relationships/image" Target="media/image87.wmf"/><Relationship Id="rId21" Type="http://schemas.openxmlformats.org/officeDocument/2006/relationships/image" Target="media/image4.wmf"/><Relationship Id="rId209" Type="http://schemas.openxmlformats.org/officeDocument/2006/relationships/oleObject" Target="embeddings/oleObject110.bin"/><Relationship Id="rId208" Type="http://schemas.openxmlformats.org/officeDocument/2006/relationships/image" Target="media/image86.wmf"/><Relationship Id="rId207" Type="http://schemas.openxmlformats.org/officeDocument/2006/relationships/oleObject" Target="embeddings/oleObject109.bin"/><Relationship Id="rId206" Type="http://schemas.openxmlformats.org/officeDocument/2006/relationships/image" Target="media/image85.wmf"/><Relationship Id="rId205" Type="http://schemas.openxmlformats.org/officeDocument/2006/relationships/oleObject" Target="embeddings/oleObject108.bin"/><Relationship Id="rId204" Type="http://schemas.openxmlformats.org/officeDocument/2006/relationships/image" Target="media/image84.wmf"/><Relationship Id="rId203" Type="http://schemas.openxmlformats.org/officeDocument/2006/relationships/oleObject" Target="embeddings/oleObject107.bin"/><Relationship Id="rId202" Type="http://schemas.openxmlformats.org/officeDocument/2006/relationships/image" Target="media/image83.wmf"/><Relationship Id="rId201" Type="http://schemas.openxmlformats.org/officeDocument/2006/relationships/oleObject" Target="embeddings/oleObject106.bin"/><Relationship Id="rId200" Type="http://schemas.openxmlformats.org/officeDocument/2006/relationships/image" Target="media/image82.wmf"/><Relationship Id="rId20" Type="http://schemas.openxmlformats.org/officeDocument/2006/relationships/oleObject" Target="embeddings/oleObject4.bin"/><Relationship Id="rId2" Type="http://schemas.openxmlformats.org/officeDocument/2006/relationships/settings" Target="settings.xml"/><Relationship Id="rId199" Type="http://schemas.openxmlformats.org/officeDocument/2006/relationships/oleObject" Target="embeddings/oleObject105.bin"/><Relationship Id="rId198" Type="http://schemas.openxmlformats.org/officeDocument/2006/relationships/image" Target="media/image81.png"/><Relationship Id="rId197" Type="http://schemas.openxmlformats.org/officeDocument/2006/relationships/image" Target="media/image80.png"/><Relationship Id="rId196" Type="http://schemas.openxmlformats.org/officeDocument/2006/relationships/image" Target="media/image79.wmf"/><Relationship Id="rId195" Type="http://schemas.openxmlformats.org/officeDocument/2006/relationships/oleObject" Target="embeddings/oleObject104.bin"/><Relationship Id="rId194" Type="http://schemas.openxmlformats.org/officeDocument/2006/relationships/image" Target="media/image78.wmf"/><Relationship Id="rId193" Type="http://schemas.openxmlformats.org/officeDocument/2006/relationships/oleObject" Target="embeddings/oleObject103.bin"/><Relationship Id="rId192" Type="http://schemas.openxmlformats.org/officeDocument/2006/relationships/image" Target="media/image77.wmf"/><Relationship Id="rId191" Type="http://schemas.openxmlformats.org/officeDocument/2006/relationships/oleObject" Target="embeddings/oleObject102.bin"/><Relationship Id="rId190" Type="http://schemas.openxmlformats.org/officeDocument/2006/relationships/image" Target="media/image76.wmf"/><Relationship Id="rId19" Type="http://schemas.openxmlformats.org/officeDocument/2006/relationships/image" Target="media/image3.wmf"/><Relationship Id="rId189" Type="http://schemas.openxmlformats.org/officeDocument/2006/relationships/oleObject" Target="embeddings/oleObject101.bin"/><Relationship Id="rId188" Type="http://schemas.openxmlformats.org/officeDocument/2006/relationships/image" Target="media/image75.wmf"/><Relationship Id="rId187" Type="http://schemas.openxmlformats.org/officeDocument/2006/relationships/oleObject" Target="embeddings/oleObject100.bin"/><Relationship Id="rId186" Type="http://schemas.openxmlformats.org/officeDocument/2006/relationships/image" Target="media/image74.wmf"/><Relationship Id="rId185" Type="http://schemas.openxmlformats.org/officeDocument/2006/relationships/oleObject" Target="embeddings/oleObject99.bin"/><Relationship Id="rId184" Type="http://schemas.openxmlformats.org/officeDocument/2006/relationships/image" Target="media/image73.wmf"/><Relationship Id="rId183" Type="http://schemas.openxmlformats.org/officeDocument/2006/relationships/oleObject" Target="embeddings/oleObject98.bin"/><Relationship Id="rId182" Type="http://schemas.openxmlformats.org/officeDocument/2006/relationships/image" Target="media/image72.wmf"/><Relationship Id="rId181" Type="http://schemas.openxmlformats.org/officeDocument/2006/relationships/oleObject" Target="embeddings/oleObject97.bin"/><Relationship Id="rId180" Type="http://schemas.openxmlformats.org/officeDocument/2006/relationships/image" Target="media/image71.wmf"/><Relationship Id="rId18" Type="http://schemas.openxmlformats.org/officeDocument/2006/relationships/oleObject" Target="embeddings/oleObject3.bin"/><Relationship Id="rId179" Type="http://schemas.openxmlformats.org/officeDocument/2006/relationships/oleObject" Target="embeddings/oleObject96.bin"/><Relationship Id="rId178" Type="http://schemas.openxmlformats.org/officeDocument/2006/relationships/image" Target="media/image70.wmf"/><Relationship Id="rId177" Type="http://schemas.openxmlformats.org/officeDocument/2006/relationships/oleObject" Target="embeddings/oleObject95.bin"/><Relationship Id="rId176" Type="http://schemas.openxmlformats.org/officeDocument/2006/relationships/image" Target="media/image69.wmf"/><Relationship Id="rId175" Type="http://schemas.openxmlformats.org/officeDocument/2006/relationships/oleObject" Target="embeddings/oleObject94.bin"/><Relationship Id="rId174" Type="http://schemas.openxmlformats.org/officeDocument/2006/relationships/image" Target="media/image68.wmf"/><Relationship Id="rId173" Type="http://schemas.openxmlformats.org/officeDocument/2006/relationships/oleObject" Target="embeddings/oleObject93.bin"/><Relationship Id="rId172" Type="http://schemas.openxmlformats.org/officeDocument/2006/relationships/image" Target="media/image67.wmf"/><Relationship Id="rId171" Type="http://schemas.openxmlformats.org/officeDocument/2006/relationships/oleObject" Target="embeddings/oleObject92.bin"/><Relationship Id="rId170" Type="http://schemas.openxmlformats.org/officeDocument/2006/relationships/image" Target="media/image66.wmf"/><Relationship Id="rId17" Type="http://schemas.openxmlformats.org/officeDocument/2006/relationships/image" Target="media/image2.wmf"/><Relationship Id="rId169" Type="http://schemas.openxmlformats.org/officeDocument/2006/relationships/oleObject" Target="embeddings/oleObject91.bin"/><Relationship Id="rId168" Type="http://schemas.openxmlformats.org/officeDocument/2006/relationships/image" Target="media/image65.wmf"/><Relationship Id="rId167" Type="http://schemas.openxmlformats.org/officeDocument/2006/relationships/oleObject" Target="embeddings/oleObject90.bin"/><Relationship Id="rId166" Type="http://schemas.openxmlformats.org/officeDocument/2006/relationships/image" Target="media/image64.wmf"/><Relationship Id="rId165" Type="http://schemas.openxmlformats.org/officeDocument/2006/relationships/oleObject" Target="embeddings/oleObject89.bin"/><Relationship Id="rId164" Type="http://schemas.openxmlformats.org/officeDocument/2006/relationships/image" Target="media/image63.wmf"/><Relationship Id="rId163" Type="http://schemas.openxmlformats.org/officeDocument/2006/relationships/oleObject" Target="embeddings/oleObject88.bin"/><Relationship Id="rId162" Type="http://schemas.openxmlformats.org/officeDocument/2006/relationships/image" Target="media/image62.wmf"/><Relationship Id="rId161" Type="http://schemas.openxmlformats.org/officeDocument/2006/relationships/oleObject" Target="embeddings/oleObject87.bin"/><Relationship Id="rId160" Type="http://schemas.openxmlformats.org/officeDocument/2006/relationships/image" Target="media/image61.wmf"/><Relationship Id="rId16" Type="http://schemas.openxmlformats.org/officeDocument/2006/relationships/oleObject" Target="embeddings/oleObject2.bin"/><Relationship Id="rId159" Type="http://schemas.openxmlformats.org/officeDocument/2006/relationships/oleObject" Target="embeddings/oleObject86.bin"/><Relationship Id="rId158" Type="http://schemas.openxmlformats.org/officeDocument/2006/relationships/image" Target="media/image60.wmf"/><Relationship Id="rId157" Type="http://schemas.openxmlformats.org/officeDocument/2006/relationships/oleObject" Target="embeddings/oleObject85.bin"/><Relationship Id="rId156" Type="http://schemas.openxmlformats.org/officeDocument/2006/relationships/image" Target="media/image59.wmf"/><Relationship Id="rId155" Type="http://schemas.openxmlformats.org/officeDocument/2006/relationships/oleObject" Target="embeddings/oleObject84.bin"/><Relationship Id="rId154" Type="http://schemas.openxmlformats.org/officeDocument/2006/relationships/image" Target="media/image58.wmf"/><Relationship Id="rId153" Type="http://schemas.openxmlformats.org/officeDocument/2006/relationships/oleObject" Target="embeddings/oleObject83.bin"/><Relationship Id="rId152" Type="http://schemas.openxmlformats.org/officeDocument/2006/relationships/image" Target="media/image57.wmf"/><Relationship Id="rId151" Type="http://schemas.openxmlformats.org/officeDocument/2006/relationships/oleObject" Target="embeddings/oleObject82.bin"/><Relationship Id="rId150" Type="http://schemas.openxmlformats.org/officeDocument/2006/relationships/image" Target="media/image56.wmf"/><Relationship Id="rId15" Type="http://schemas.openxmlformats.org/officeDocument/2006/relationships/image" Target="media/image1.wmf"/><Relationship Id="rId149" Type="http://schemas.openxmlformats.org/officeDocument/2006/relationships/oleObject" Target="embeddings/oleObject81.bin"/><Relationship Id="rId148" Type="http://schemas.openxmlformats.org/officeDocument/2006/relationships/image" Target="media/image55.wmf"/><Relationship Id="rId147" Type="http://schemas.openxmlformats.org/officeDocument/2006/relationships/oleObject" Target="embeddings/oleObject80.bin"/><Relationship Id="rId146" Type="http://schemas.openxmlformats.org/officeDocument/2006/relationships/image" Target="media/image54.wmf"/><Relationship Id="rId145" Type="http://schemas.openxmlformats.org/officeDocument/2006/relationships/oleObject" Target="embeddings/oleObject79.bin"/><Relationship Id="rId144" Type="http://schemas.openxmlformats.org/officeDocument/2006/relationships/image" Target="media/image53.wmf"/><Relationship Id="rId143" Type="http://schemas.openxmlformats.org/officeDocument/2006/relationships/oleObject" Target="embeddings/oleObject78.bin"/><Relationship Id="rId142" Type="http://schemas.openxmlformats.org/officeDocument/2006/relationships/image" Target="media/image52.wmf"/><Relationship Id="rId141" Type="http://schemas.openxmlformats.org/officeDocument/2006/relationships/oleObject" Target="embeddings/oleObject77.bin"/><Relationship Id="rId140" Type="http://schemas.openxmlformats.org/officeDocument/2006/relationships/image" Target="media/image51.wmf"/><Relationship Id="rId14" Type="http://schemas.openxmlformats.org/officeDocument/2006/relationships/oleObject" Target="embeddings/oleObject1.bin"/><Relationship Id="rId139" Type="http://schemas.openxmlformats.org/officeDocument/2006/relationships/oleObject" Target="embeddings/oleObject76.bin"/><Relationship Id="rId138" Type="http://schemas.openxmlformats.org/officeDocument/2006/relationships/image" Target="media/image50.wmf"/><Relationship Id="rId137" Type="http://schemas.openxmlformats.org/officeDocument/2006/relationships/oleObject" Target="embeddings/oleObject75.bin"/><Relationship Id="rId136" Type="http://schemas.openxmlformats.org/officeDocument/2006/relationships/image" Target="media/image49.wmf"/><Relationship Id="rId135" Type="http://schemas.openxmlformats.org/officeDocument/2006/relationships/oleObject" Target="embeddings/oleObject74.bin"/><Relationship Id="rId134" Type="http://schemas.openxmlformats.org/officeDocument/2006/relationships/image" Target="media/image48.wmf"/><Relationship Id="rId133" Type="http://schemas.openxmlformats.org/officeDocument/2006/relationships/oleObject" Target="embeddings/oleObject73.bin"/><Relationship Id="rId132" Type="http://schemas.openxmlformats.org/officeDocument/2006/relationships/image" Target="media/image47.wmf"/><Relationship Id="rId131" Type="http://schemas.openxmlformats.org/officeDocument/2006/relationships/oleObject" Target="embeddings/oleObject72.bin"/><Relationship Id="rId130" Type="http://schemas.openxmlformats.org/officeDocument/2006/relationships/image" Target="media/image46.wmf"/><Relationship Id="rId13" Type="http://schemas.openxmlformats.org/officeDocument/2006/relationships/theme" Target="theme/theme1.xml"/><Relationship Id="rId129" Type="http://schemas.openxmlformats.org/officeDocument/2006/relationships/oleObject" Target="embeddings/oleObject71.bin"/><Relationship Id="rId128" Type="http://schemas.openxmlformats.org/officeDocument/2006/relationships/image" Target="media/image45.wmf"/><Relationship Id="rId127" Type="http://schemas.openxmlformats.org/officeDocument/2006/relationships/oleObject" Target="embeddings/oleObject70.bin"/><Relationship Id="rId126" Type="http://schemas.openxmlformats.org/officeDocument/2006/relationships/image" Target="media/image44.png"/><Relationship Id="rId125" Type="http://schemas.openxmlformats.org/officeDocument/2006/relationships/image" Target="media/image43.wmf"/><Relationship Id="rId124" Type="http://schemas.openxmlformats.org/officeDocument/2006/relationships/oleObject" Target="embeddings/oleObject69.bin"/><Relationship Id="rId123" Type="http://schemas.openxmlformats.org/officeDocument/2006/relationships/image" Target="media/image42.wmf"/><Relationship Id="rId122" Type="http://schemas.openxmlformats.org/officeDocument/2006/relationships/oleObject" Target="embeddings/oleObject68.bin"/><Relationship Id="rId121" Type="http://schemas.openxmlformats.org/officeDocument/2006/relationships/image" Target="media/image41.wmf"/><Relationship Id="rId120" Type="http://schemas.openxmlformats.org/officeDocument/2006/relationships/oleObject" Target="embeddings/oleObject67.bin"/><Relationship Id="rId12" Type="http://schemas.openxmlformats.org/officeDocument/2006/relationships/footer" Target="footer4.xml"/><Relationship Id="rId119" Type="http://schemas.openxmlformats.org/officeDocument/2006/relationships/image" Target="media/image40.wmf"/><Relationship Id="rId118" Type="http://schemas.openxmlformats.org/officeDocument/2006/relationships/oleObject" Target="embeddings/oleObject66.bin"/><Relationship Id="rId117" Type="http://schemas.openxmlformats.org/officeDocument/2006/relationships/image" Target="media/image39.wmf"/><Relationship Id="rId116" Type="http://schemas.openxmlformats.org/officeDocument/2006/relationships/oleObject" Target="embeddings/oleObject65.bin"/><Relationship Id="rId115" Type="http://schemas.openxmlformats.org/officeDocument/2006/relationships/image" Target="media/image38.wmf"/><Relationship Id="rId114" Type="http://schemas.openxmlformats.org/officeDocument/2006/relationships/oleObject" Target="embeddings/oleObject64.bin"/><Relationship Id="rId113" Type="http://schemas.openxmlformats.org/officeDocument/2006/relationships/image" Target="media/image37.wmf"/><Relationship Id="rId112" Type="http://schemas.openxmlformats.org/officeDocument/2006/relationships/oleObject" Target="embeddings/oleObject63.bin"/><Relationship Id="rId111" Type="http://schemas.openxmlformats.org/officeDocument/2006/relationships/image" Target="media/image36.wmf"/><Relationship Id="rId110" Type="http://schemas.openxmlformats.org/officeDocument/2006/relationships/oleObject" Target="embeddings/oleObject62.bin"/><Relationship Id="rId11" Type="http://schemas.openxmlformats.org/officeDocument/2006/relationships/header" Target="header4.xml"/><Relationship Id="rId109" Type="http://schemas.openxmlformats.org/officeDocument/2006/relationships/image" Target="media/image35.wmf"/><Relationship Id="rId108" Type="http://schemas.openxmlformats.org/officeDocument/2006/relationships/oleObject" Target="embeddings/oleObject61.bin"/><Relationship Id="rId107" Type="http://schemas.openxmlformats.org/officeDocument/2006/relationships/image" Target="media/image34.wmf"/><Relationship Id="rId106" Type="http://schemas.openxmlformats.org/officeDocument/2006/relationships/oleObject" Target="embeddings/oleObject60.bin"/><Relationship Id="rId105" Type="http://schemas.openxmlformats.org/officeDocument/2006/relationships/oleObject" Target="embeddings/oleObject59.bin"/><Relationship Id="rId104" Type="http://schemas.openxmlformats.org/officeDocument/2006/relationships/oleObject" Target="embeddings/oleObject58.bin"/><Relationship Id="rId103" Type="http://schemas.openxmlformats.org/officeDocument/2006/relationships/oleObject" Target="embeddings/oleObject57.bin"/><Relationship Id="rId102" Type="http://schemas.openxmlformats.org/officeDocument/2006/relationships/oleObject" Target="embeddings/oleObject56.bin"/><Relationship Id="rId101" Type="http://schemas.openxmlformats.org/officeDocument/2006/relationships/oleObject" Target="embeddings/oleObject55.bin"/><Relationship Id="rId100" Type="http://schemas.openxmlformats.org/officeDocument/2006/relationships/oleObject" Target="embeddings/oleObject54.bin"/><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108</Pages>
  <Words>38916</Words>
  <Characters>41519</Characters>
  <Lines>637</Lines>
  <Paragraphs>179</Paragraphs>
  <TotalTime>6</TotalTime>
  <ScaleCrop>false</ScaleCrop>
  <LinksUpToDate>false</LinksUpToDate>
  <CharactersWithSpaces>42425</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2025-03-21T03:15:00Z</dcterms:created>
  <dc:creator>pc</dc:creator>
  <cp:lastModifiedBy>忘了，散了</cp:lastModifiedBy>
  <cp:lastPrinted>2025-06-12T17:03:00Z</cp:lastPrinted>
  <dcterms:modified xsi:type="dcterms:W3CDTF">2025-07-23T06:35:52Z</dcterms:modified>
  <cp:revision>214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01C526BF3F144539B5CBB9E9F96F5913_13</vt:lpwstr>
  </property>
  <property fmtid="{D5CDD505-2E9C-101B-9397-08002B2CF9AE}" pid="4" name="KSOTemplateDocerSaveRecord">
    <vt:lpwstr>eyJoZGlkIjoiNjQxNDZhYmYzOTJkY2Y1NmU0NTIzMGQzNWU0MDRmMzciLCJ1c2VySWQiOiI0MzgzNzkzNDEifQ==</vt:lpwstr>
  </property>
</Properties>
</file>