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before="100" w:line="224" w:lineRule="auto"/>
        <w:rPr>
          <w:lang w:eastAsia="zh-CN"/>
        </w:rPr>
      </w:pPr>
      <w:r>
        <w:rPr>
          <w:rFonts w:ascii="宋体" w:hAnsi="宋体" w:eastAsia="宋体" w:cs="宋体"/>
          <w:spacing w:val="8"/>
          <w:sz w:val="31"/>
          <w:szCs w:val="31"/>
          <w:lang w:eastAsia="zh-CN"/>
        </w:rPr>
        <w:t>附件</w:t>
      </w:r>
      <w:r>
        <w:rPr>
          <w:rFonts w:hint="default" w:ascii="宋体" w:hAnsi="宋体" w:eastAsia="宋体" w:cs="宋体"/>
          <w:spacing w:val="8"/>
          <w:sz w:val="31"/>
          <w:szCs w:val="31"/>
          <w:lang w:val="en" w:eastAsia="zh-CN"/>
        </w:rPr>
        <w:t>1</w:t>
      </w:r>
      <w:r>
        <w:rPr>
          <w:rFonts w:ascii="宋体" w:hAnsi="宋体" w:eastAsia="宋体" w:cs="宋体"/>
          <w:spacing w:val="8"/>
          <w:sz w:val="31"/>
          <w:szCs w:val="31"/>
          <w:lang w:eastAsia="zh-CN"/>
        </w:rPr>
        <w:t>:</w:t>
      </w:r>
    </w:p>
    <w:p>
      <w:pPr>
        <w:topLinePunct/>
        <w:spacing w:before="101" w:line="227" w:lineRule="auto"/>
        <w:ind w:firstLine="2722" w:firstLineChars="600"/>
        <w:outlineLvl w:val="0"/>
        <w:rPr>
          <w:rFonts w:cs="黑体" w:asciiTheme="minorEastAsia" w:hAnsiTheme="minorEastAsia" w:eastAsiaTheme="minorEastAsia"/>
          <w:b/>
          <w:bCs/>
          <w:spacing w:val="6"/>
          <w:sz w:val="44"/>
          <w:szCs w:val="44"/>
          <w:lang w:eastAsia="zh-CN"/>
        </w:rPr>
      </w:pPr>
      <w:r>
        <w:rPr>
          <w:rFonts w:cs="黑体" w:asciiTheme="minorEastAsia" w:hAnsiTheme="minorEastAsia" w:eastAsiaTheme="minorEastAsia"/>
          <w:b/>
          <w:bCs/>
          <w:spacing w:val="6"/>
          <w:sz w:val="44"/>
          <w:szCs w:val="44"/>
          <w:lang w:eastAsia="zh-CN"/>
        </w:rPr>
        <w:t>陕西省工程建设标准、标准设计征集项目汇总表</w:t>
      </w:r>
    </w:p>
    <w:tbl>
      <w:tblPr>
        <w:tblStyle w:val="12"/>
        <w:tblpPr w:leftFromText="180" w:rightFromText="180" w:vertAnchor="text" w:horzAnchor="page" w:tblpXSpec="center" w:tblpY="550"/>
        <w:tblW w:w="152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00"/>
        <w:gridCol w:w="2425"/>
        <w:gridCol w:w="850"/>
        <w:gridCol w:w="3688"/>
        <w:gridCol w:w="6675"/>
        <w:gridCol w:w="12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jc w:val="center"/>
        </w:trPr>
        <w:tc>
          <w:tcPr>
            <w:tcW w:w="400" w:type="dxa"/>
            <w:vAlign w:val="center"/>
          </w:tcPr>
          <w:p>
            <w:pPr>
              <w:pStyle w:val="13"/>
              <w:topLinePunct/>
              <w:spacing w:before="56" w:line="229" w:lineRule="auto"/>
              <w:jc w:val="center"/>
              <w:rPr>
                <w:lang w:eastAsia="zh-CN"/>
              </w:rPr>
            </w:pPr>
            <w:r>
              <w:rPr>
                <w:rFonts w:hint="eastAsia"/>
                <w:lang w:eastAsia="zh-CN"/>
              </w:rPr>
              <w:t>序号</w:t>
            </w:r>
          </w:p>
        </w:tc>
        <w:tc>
          <w:tcPr>
            <w:tcW w:w="2425" w:type="dxa"/>
            <w:vAlign w:val="center"/>
          </w:tcPr>
          <w:p>
            <w:pPr>
              <w:pStyle w:val="13"/>
              <w:topLinePunct/>
              <w:spacing w:before="56" w:line="228" w:lineRule="auto"/>
              <w:jc w:val="center"/>
            </w:pPr>
            <w:r>
              <w:rPr>
                <w:spacing w:val="6"/>
              </w:rPr>
              <w:t>项目名称</w:t>
            </w:r>
          </w:p>
        </w:tc>
        <w:tc>
          <w:tcPr>
            <w:tcW w:w="850" w:type="dxa"/>
            <w:vAlign w:val="center"/>
          </w:tcPr>
          <w:p>
            <w:pPr>
              <w:pStyle w:val="13"/>
              <w:topLinePunct/>
              <w:spacing w:before="56" w:line="228" w:lineRule="auto"/>
              <w:ind w:left="117"/>
              <w:jc w:val="both"/>
              <w:rPr>
                <w:spacing w:val="7"/>
              </w:rPr>
            </w:pPr>
            <w:r>
              <w:rPr>
                <w:spacing w:val="7"/>
              </w:rPr>
              <w:t>标准</w:t>
            </w:r>
          </w:p>
          <w:p>
            <w:pPr>
              <w:pStyle w:val="13"/>
              <w:topLinePunct/>
              <w:spacing w:before="56" w:line="228" w:lineRule="auto"/>
              <w:ind w:left="117"/>
              <w:jc w:val="both"/>
              <w:rPr>
                <w:lang w:eastAsia="zh-CN"/>
              </w:rPr>
            </w:pPr>
            <w:r>
              <w:rPr>
                <w:rFonts w:hint="eastAsia"/>
                <w:spacing w:val="7"/>
                <w:lang w:eastAsia="zh-CN"/>
              </w:rPr>
              <w:t>/设计</w:t>
            </w:r>
          </w:p>
        </w:tc>
        <w:tc>
          <w:tcPr>
            <w:tcW w:w="3688" w:type="dxa"/>
            <w:vAlign w:val="center"/>
          </w:tcPr>
          <w:p>
            <w:pPr>
              <w:pStyle w:val="13"/>
              <w:topLinePunct/>
              <w:spacing w:before="56" w:line="228" w:lineRule="auto"/>
              <w:jc w:val="center"/>
              <w:rPr>
                <w:lang w:eastAsia="zh-CN"/>
              </w:rPr>
            </w:pPr>
            <w:r>
              <w:rPr>
                <w:spacing w:val="9"/>
                <w:lang w:eastAsia="zh-CN"/>
              </w:rPr>
              <w:t>适用</w:t>
            </w:r>
            <w:r>
              <w:rPr>
                <w:rFonts w:hint="eastAsia"/>
                <w:spacing w:val="9"/>
                <w:lang w:eastAsia="zh-CN"/>
              </w:rPr>
              <w:t>领域</w:t>
            </w:r>
          </w:p>
        </w:tc>
        <w:tc>
          <w:tcPr>
            <w:tcW w:w="6675" w:type="dxa"/>
            <w:vAlign w:val="center"/>
          </w:tcPr>
          <w:p>
            <w:pPr>
              <w:pStyle w:val="13"/>
              <w:topLinePunct/>
              <w:spacing w:before="56" w:line="228" w:lineRule="auto"/>
              <w:jc w:val="center"/>
            </w:pPr>
            <w:r>
              <w:rPr>
                <w:rFonts w:hint="eastAsia"/>
                <w:spacing w:val="6"/>
                <w:lang w:eastAsia="zh-CN"/>
              </w:rPr>
              <w:t>拟解决的</w:t>
            </w:r>
            <w:r>
              <w:rPr>
                <w:spacing w:val="6"/>
              </w:rPr>
              <w:t>问题</w:t>
            </w:r>
          </w:p>
        </w:tc>
        <w:tc>
          <w:tcPr>
            <w:tcW w:w="1213" w:type="dxa"/>
            <w:vAlign w:val="center"/>
          </w:tcPr>
          <w:p>
            <w:pPr>
              <w:pStyle w:val="13"/>
              <w:topLinePunct/>
              <w:spacing w:before="56" w:line="228" w:lineRule="auto"/>
              <w:ind w:left="210"/>
              <w:jc w:val="center"/>
              <w:rPr>
                <w:rFonts w:hint="eastAsia"/>
                <w:spacing w:val="6"/>
                <w:lang w:eastAsia="zh-CN"/>
              </w:rPr>
            </w:pPr>
            <w:r>
              <w:rPr>
                <w:spacing w:val="6"/>
                <w:lang w:eastAsia="zh-CN"/>
              </w:rPr>
              <w:t>要求完成</w:t>
            </w:r>
            <w:r>
              <w:rPr>
                <w:rFonts w:hint="eastAsia"/>
                <w:spacing w:val="6"/>
                <w:lang w:eastAsia="zh-CN"/>
              </w:rPr>
              <w:t>时限</w:t>
            </w:r>
          </w:p>
          <w:p>
            <w:pPr>
              <w:pStyle w:val="13"/>
              <w:topLinePunct/>
              <w:spacing w:before="56" w:line="228" w:lineRule="auto"/>
              <w:ind w:left="210" w:leftChars="0"/>
              <w:jc w:val="center"/>
              <w:rPr>
                <w:spacing w:val="6"/>
                <w:lang w:eastAsia="zh-CN"/>
              </w:rPr>
            </w:pPr>
            <w:r>
              <w:rPr>
                <w:spacing w:val="6"/>
                <w:lang w:eastAsia="zh-CN"/>
              </w:rPr>
              <w:t>（立项两年内）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0" w:type="dxa"/>
            <w:vAlign w:val="center"/>
          </w:tcPr>
          <w:p>
            <w:pPr>
              <w:topLinePunct/>
              <w:jc w:val="center"/>
              <w:rPr>
                <w:rFonts w:hint="eastAsia" w:ascii="宋体" w:hAnsi="宋体" w:eastAsia="宋体" w:cs="宋体"/>
                <w:sz w:val="20"/>
                <w:lang w:eastAsia="zh-CN"/>
              </w:rPr>
            </w:pPr>
            <w:r>
              <w:rPr>
                <w:rFonts w:hint="eastAsia" w:ascii="宋体" w:hAnsi="宋体" w:eastAsia="宋体" w:cs="宋体"/>
                <w:sz w:val="20"/>
                <w:lang w:eastAsia="zh-CN"/>
              </w:rPr>
              <w:t>1</w:t>
            </w:r>
          </w:p>
        </w:tc>
        <w:tc>
          <w:tcPr>
            <w:tcW w:w="2425" w:type="dxa"/>
            <w:vAlign w:val="center"/>
          </w:tcPr>
          <w:p>
            <w:pPr>
              <w:topLinePunct/>
              <w:jc w:val="left"/>
              <w:rPr>
                <w:rFonts w:hint="eastAsia" w:eastAsia="宋体"/>
                <w:lang w:eastAsia="zh-CN"/>
              </w:rPr>
            </w:pPr>
            <w:r>
              <w:rPr>
                <w:rFonts w:hint="eastAsia" w:eastAsia="宋体"/>
                <w:lang w:val="en-US" w:eastAsia="zh-CN"/>
              </w:rPr>
              <w:t>建筑机器人应用技术标准</w:t>
            </w:r>
          </w:p>
        </w:tc>
        <w:tc>
          <w:tcPr>
            <w:tcW w:w="850" w:type="dxa"/>
            <w:vAlign w:val="center"/>
          </w:tcPr>
          <w:p>
            <w:pPr>
              <w:topLinePunct/>
              <w:jc w:val="center"/>
              <w:rPr>
                <w:rFonts w:hint="default" w:eastAsia="宋体"/>
                <w:lang w:val="en-US" w:eastAsia="zh-CN"/>
              </w:rPr>
            </w:pPr>
            <w:r>
              <w:rPr>
                <w:rFonts w:hint="eastAsia" w:eastAsia="宋体"/>
                <w:lang w:val="en-US" w:eastAsia="zh-CN"/>
              </w:rPr>
              <w:t>标准</w:t>
            </w:r>
          </w:p>
        </w:tc>
        <w:tc>
          <w:tcPr>
            <w:tcW w:w="3688" w:type="dxa"/>
            <w:vAlign w:val="center"/>
          </w:tcPr>
          <w:p>
            <w:pPr>
              <w:topLinePunct/>
              <w:jc w:val="left"/>
              <w:rPr>
                <w:rFonts w:hint="eastAsia" w:eastAsia="宋体"/>
                <w:lang w:val="en-US" w:eastAsia="zh-CN"/>
              </w:rPr>
            </w:pPr>
            <w:r>
              <w:rPr>
                <w:rFonts w:hint="eastAsia" w:eastAsia="宋体"/>
                <w:lang w:val="en-US" w:eastAsia="zh-CN"/>
              </w:rPr>
              <w:t>适用于工业与民用建筑与装饰工程中混凝土工程、楼地面工程、墙面工程和涂料工程的建筑机器人技术的应用</w:t>
            </w:r>
          </w:p>
        </w:tc>
        <w:tc>
          <w:tcPr>
            <w:tcW w:w="6675" w:type="dxa"/>
            <w:vAlign w:val="center"/>
          </w:tcPr>
          <w:p>
            <w:pPr>
              <w:topLinePunct/>
              <w:jc w:val="left"/>
              <w:rPr>
                <w:rFonts w:hint="default"/>
                <w:sz w:val="20"/>
                <w:lang w:val="en-US" w:eastAsia="zh-CN"/>
              </w:rPr>
            </w:pPr>
            <w:r>
              <w:rPr>
                <w:rFonts w:hint="eastAsia" w:eastAsia="宋体"/>
                <w:lang w:val="en-US" w:eastAsia="zh-CN"/>
              </w:rPr>
              <w:t>规范混凝土地面整平、抹光，混凝土墙面、天花打磨，内墙腻子涂敷、涂料喷涂等建筑机器人的环境搭建及施工工艺标准，解决建筑机器人施工工艺控制和人机协同难以及安全性、高效性及经济性问题，形成建筑机器人现场应用的解决方案，填补建筑机器人施工应用领域地方标准的空白，加快推广先进适用的建筑机器人产品，促进建筑机器人技术的规模化应用，引导我省建筑机器人产业发展。</w:t>
            </w:r>
          </w:p>
        </w:tc>
        <w:tc>
          <w:tcPr>
            <w:tcW w:w="1213" w:type="dxa"/>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jc w:val="center"/>
        </w:trPr>
        <w:tc>
          <w:tcPr>
            <w:tcW w:w="400" w:type="dxa"/>
            <w:vAlign w:val="center"/>
          </w:tcPr>
          <w:p>
            <w:pPr>
              <w:topLinePunct/>
              <w:jc w:val="center"/>
              <w:rPr>
                <w:rFonts w:hint="eastAsia" w:ascii="宋体" w:hAnsi="宋体" w:eastAsia="宋体" w:cs="宋体"/>
                <w:sz w:val="20"/>
                <w:lang w:eastAsia="zh-CN"/>
              </w:rPr>
            </w:pPr>
            <w:r>
              <w:rPr>
                <w:rFonts w:hint="eastAsia" w:ascii="宋体" w:hAnsi="宋体" w:eastAsia="宋体" w:cs="宋体"/>
                <w:sz w:val="20"/>
                <w:lang w:eastAsia="zh-CN"/>
              </w:rPr>
              <w:t>2</w:t>
            </w:r>
          </w:p>
        </w:tc>
        <w:tc>
          <w:tcPr>
            <w:tcW w:w="2425" w:type="dxa"/>
            <w:shd w:val="clear" w:color="auto" w:fill="auto"/>
            <w:vAlign w:val="center"/>
          </w:tcPr>
          <w:p>
            <w:pPr>
              <w:topLinePunct/>
              <w:jc w:val="left"/>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智能驾驶塔式起重机系统应用技术标准</w:t>
            </w:r>
          </w:p>
        </w:tc>
        <w:tc>
          <w:tcPr>
            <w:tcW w:w="850" w:type="dxa"/>
            <w:shd w:val="clear" w:color="auto" w:fill="auto"/>
            <w:vAlign w:val="center"/>
          </w:tcPr>
          <w:p>
            <w:pPr>
              <w:topLinePun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w:t>
            </w:r>
          </w:p>
        </w:tc>
        <w:tc>
          <w:tcPr>
            <w:tcW w:w="3688"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适用于工程建设项目施工现场塔式起重机智能驾驶系统技术的应用</w:t>
            </w:r>
          </w:p>
        </w:tc>
        <w:tc>
          <w:tcPr>
            <w:tcW w:w="667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通过标准化工作，规范智能驾驶塔式起重机在作业安全性、施工效率与经济效益等方面的问题，提出智能驾驶塔式起重机的吊装、可视化、</w:t>
            </w:r>
            <w:bookmarkStart w:id="0" w:name="_GoBack"/>
            <w:bookmarkEnd w:id="0"/>
            <w:r>
              <w:rPr>
                <w:rFonts w:hint="eastAsia" w:ascii="宋体" w:hAnsi="宋体" w:eastAsia="宋体" w:cs="宋体"/>
                <w:sz w:val="21"/>
                <w:szCs w:val="21"/>
                <w:lang w:val="en-US" w:eastAsia="zh-CN"/>
              </w:rPr>
              <w:t>防碰撞、远程驾驶、自动驾驶等技术要求，避免因塔吊产生的工程项目安全风险问题，提升作业人员的工作效率与现场工作环境，加快智能驾驶塔式起重机产品推广应用。</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5" w:hRule="atLeast"/>
          <w:jc w:val="center"/>
        </w:trPr>
        <w:tc>
          <w:tcPr>
            <w:tcW w:w="400" w:type="dxa"/>
            <w:vAlign w:val="center"/>
          </w:tcPr>
          <w:p>
            <w:pPr>
              <w:topLinePunct/>
              <w:jc w:val="center"/>
              <w:rPr>
                <w:rFonts w:hint="eastAsia" w:ascii="宋体" w:hAnsi="宋体" w:eastAsia="宋体" w:cs="宋体"/>
                <w:b/>
                <w:sz w:val="20"/>
                <w:lang w:eastAsia="zh-CN"/>
              </w:rPr>
            </w:pPr>
            <w:r>
              <w:rPr>
                <w:rFonts w:hint="eastAsia" w:ascii="宋体" w:hAnsi="宋体" w:eastAsia="宋体" w:cs="宋体"/>
                <w:b w:val="0"/>
                <w:bCs/>
                <w:sz w:val="20"/>
                <w:lang w:val="en-US" w:eastAsia="zh-CN"/>
              </w:rPr>
              <w:t>3</w:t>
            </w:r>
          </w:p>
        </w:tc>
        <w:tc>
          <w:tcPr>
            <w:tcW w:w="2425" w:type="dxa"/>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地下工程建造智能监测技术规程</w:t>
            </w:r>
          </w:p>
        </w:tc>
        <w:tc>
          <w:tcPr>
            <w:tcW w:w="850" w:type="dxa"/>
            <w:vAlign w:val="center"/>
          </w:tcPr>
          <w:p>
            <w:pPr>
              <w:topLinePun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w:t>
            </w:r>
          </w:p>
        </w:tc>
        <w:tc>
          <w:tcPr>
            <w:tcW w:w="3688" w:type="dxa"/>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适用于地下空间工程建设中智能监测技术的应用</w:t>
            </w:r>
          </w:p>
        </w:tc>
        <w:tc>
          <w:tcPr>
            <w:tcW w:w="6675" w:type="dxa"/>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地下工程智能监测技术的应用，解决监测设备选型混乱、数据标准不统一、智能化水平不足等问题，对监测系统的高精度、高稳定性和高智能化，以及支持有线、无线双模通信以确保数据实时传输的能力等提出要求。规范测量机器人、自动化控制、物联网、三维激光扫描及光纤传感等监测技术要求，明确监测点布置与地质条件、施工方法及风险等级的关联性，规范监测方案编制、设备安装调试、数据采集分析与预警反馈等标准化工作流程，对智能化平台实现数据可视化与变化趋势预测，以及监测系统性和适配度等提出要求。针对盾构法、浅埋暗挖法等不同工法，规范其监测频率、监测阈值及对异常工况的应对措施。</w:t>
            </w:r>
          </w:p>
        </w:tc>
        <w:tc>
          <w:tcPr>
            <w:tcW w:w="1213" w:type="dxa"/>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jc w:val="center"/>
        </w:trPr>
        <w:tc>
          <w:tcPr>
            <w:tcW w:w="400" w:type="dxa"/>
            <w:vAlign w:val="center"/>
          </w:tcPr>
          <w:p>
            <w:pPr>
              <w:topLinePunct/>
              <w:jc w:val="center"/>
              <w:rPr>
                <w:rFonts w:hint="eastAsia" w:ascii="宋体" w:hAnsi="宋体" w:eastAsia="宋体" w:cs="宋体"/>
                <w:b/>
                <w:sz w:val="21"/>
                <w:szCs w:val="21"/>
                <w:lang w:val="en-US" w:eastAsia="zh-CN"/>
              </w:rPr>
            </w:pPr>
            <w:r>
              <w:rPr>
                <w:rFonts w:hint="eastAsia" w:ascii="宋体" w:hAnsi="宋体" w:eastAsia="宋体" w:cs="宋体"/>
                <w:b w:val="0"/>
                <w:bCs/>
                <w:sz w:val="21"/>
                <w:szCs w:val="21"/>
                <w:lang w:val="en-US" w:eastAsia="zh-CN"/>
              </w:rPr>
              <w:t>4</w:t>
            </w:r>
          </w:p>
        </w:tc>
        <w:tc>
          <w:tcPr>
            <w:tcW w:w="2425" w:type="dxa"/>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地下排水管网智能检测与非开挖修复技术标准</w:t>
            </w:r>
          </w:p>
        </w:tc>
        <w:tc>
          <w:tcPr>
            <w:tcW w:w="850" w:type="dxa"/>
            <w:vAlign w:val="center"/>
          </w:tcPr>
          <w:p>
            <w:pPr>
              <w:topLinePun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w:t>
            </w:r>
          </w:p>
        </w:tc>
        <w:tc>
          <w:tcPr>
            <w:tcW w:w="3688" w:type="dxa"/>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适用于城镇地下雨、污排水管网的智能检测与非开挖修复工程的设计、施工、验收工作</w:t>
            </w:r>
          </w:p>
        </w:tc>
        <w:tc>
          <w:tcPr>
            <w:tcW w:w="6675" w:type="dxa"/>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城市更新背景下地下排水管网智能检测与非开挖修复技术的应用，明确地下排水管网智能检测与非开挖修复技术的要求；针对陕西省地质条件、管网材质及老化特点，规范不同场景下技术选型与工艺参数，避免因技术滥用导致的修复失效或资源浪费；对智能检测设备数据采集精度、非开挖修复材料性能、智能装备、施工工艺等提出量化指标；统一检测数据格式、修复效果评估标准及工程验收的要求，解决当前因数据可信度低、流程混乱导致的决策困难与责任纠纷问题。为陕西省地下排水管网智能检测与非开挖修复提供技术依据，填补该领域地方标准的空白。</w:t>
            </w:r>
          </w:p>
        </w:tc>
        <w:tc>
          <w:tcPr>
            <w:tcW w:w="1213" w:type="dxa"/>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jc w:val="center"/>
        </w:trPr>
        <w:tc>
          <w:tcPr>
            <w:tcW w:w="400" w:type="dxa"/>
            <w:shd w:val="clear" w:color="auto" w:fill="auto"/>
            <w:vAlign w:val="center"/>
          </w:tcPr>
          <w:p>
            <w:pPr>
              <w:topLinePunct/>
              <w:jc w:val="center"/>
              <w:rPr>
                <w:rFonts w:hint="eastAsia" w:ascii="宋体" w:hAnsi="宋体" w:eastAsia="宋体" w:cs="宋体"/>
                <w:b/>
                <w:snapToGrid w:val="0"/>
                <w:color w:val="000000"/>
                <w:sz w:val="21"/>
                <w:szCs w:val="21"/>
                <w:lang w:val="en-US" w:eastAsia="zh-CN" w:bidi="ar-SA"/>
              </w:rPr>
            </w:pPr>
            <w:r>
              <w:rPr>
                <w:rFonts w:hint="eastAsia" w:ascii="宋体" w:hAnsi="宋体" w:eastAsia="宋体" w:cs="宋体"/>
                <w:b w:val="0"/>
                <w:bCs/>
                <w:sz w:val="21"/>
                <w:szCs w:val="21"/>
                <w:lang w:val="en-US" w:eastAsia="zh-CN"/>
              </w:rPr>
              <w:t>5</w:t>
            </w:r>
          </w:p>
        </w:tc>
        <w:tc>
          <w:tcPr>
            <w:tcW w:w="242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建筑信息模型（BIM）审查技术标准</w:t>
            </w:r>
          </w:p>
        </w:tc>
        <w:tc>
          <w:tcPr>
            <w:tcW w:w="850" w:type="dxa"/>
            <w:shd w:val="clear" w:color="auto" w:fill="auto"/>
            <w:vAlign w:val="center"/>
          </w:tcPr>
          <w:p>
            <w:pPr>
              <w:topLinePun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w:t>
            </w:r>
          </w:p>
        </w:tc>
        <w:tc>
          <w:tcPr>
            <w:tcW w:w="3688"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适用于陕西省民用和工业建筑工程建筑信息模型（BIM）的技术审查要求</w:t>
            </w:r>
          </w:p>
        </w:tc>
        <w:tc>
          <w:tcPr>
            <w:tcW w:w="667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范建筑信息模型（BIM）技术审查标准化工作，通过规范条文范围确立技术审查、模型交付和数据交付的准则，进一步明确模型数据导入、各专业技术审查、审查成果交付等要求，供审查专家、设计人员、软件研发人员使用。</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jc w:val="center"/>
        </w:trPr>
        <w:tc>
          <w:tcPr>
            <w:tcW w:w="400" w:type="dxa"/>
            <w:shd w:val="clear" w:color="auto" w:fill="auto"/>
            <w:vAlign w:val="center"/>
          </w:tcPr>
          <w:p>
            <w:pPr>
              <w:topLinePun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42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城市轨道交通工程信息模型构件库创建及管理标准</w:t>
            </w:r>
          </w:p>
        </w:tc>
        <w:tc>
          <w:tcPr>
            <w:tcW w:w="850" w:type="dxa"/>
            <w:shd w:val="clear" w:color="auto" w:fill="auto"/>
            <w:vAlign w:val="center"/>
          </w:tcPr>
          <w:p>
            <w:pPr>
              <w:topLinePun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w:t>
            </w:r>
          </w:p>
        </w:tc>
        <w:tc>
          <w:tcPr>
            <w:tcW w:w="3688"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适用于城市轨道交通工程建筑信息模型的创建、应用和管理活动规范性引用文件</w:t>
            </w:r>
          </w:p>
        </w:tc>
        <w:tc>
          <w:tcPr>
            <w:tcW w:w="667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有效规范城市轨道交通工程信息模型构件库建立工作，规范构件模型数据的格式、内容、深度等各项要求，保证BIM技术优势在工程阶段的充分发挥，保障工程过程中成果模型信息在后续阶段的顺畅传递和有效利用，最终促进城市轨道交通工程综合效益的有效提升</w:t>
            </w:r>
            <w:r>
              <w:rPr>
                <w:rFonts w:hint="default" w:ascii="宋体" w:hAnsi="宋体" w:eastAsia="宋体" w:cs="宋体"/>
                <w:sz w:val="21"/>
                <w:szCs w:val="21"/>
                <w:lang w:val="en-US" w:eastAsia="zh-CN"/>
              </w:rPr>
              <w:t>。</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jc w:val="center"/>
        </w:trPr>
        <w:tc>
          <w:tcPr>
            <w:tcW w:w="400" w:type="dxa"/>
            <w:shd w:val="clear" w:color="auto" w:fill="auto"/>
            <w:vAlign w:val="center"/>
          </w:tcPr>
          <w:p>
            <w:pPr>
              <w:topLinePun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42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城市基础设施生命线安全工程建设技术标准</w:t>
            </w:r>
          </w:p>
        </w:tc>
        <w:tc>
          <w:tcPr>
            <w:tcW w:w="850" w:type="dxa"/>
            <w:shd w:val="clear" w:color="auto" w:fill="auto"/>
            <w:vAlign w:val="center"/>
          </w:tcPr>
          <w:p>
            <w:pPr>
              <w:topLinePun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w:t>
            </w:r>
          </w:p>
        </w:tc>
        <w:tc>
          <w:tcPr>
            <w:tcW w:w="3688"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适用于我省城市生命线安全工程建设工作。</w:t>
            </w:r>
          </w:p>
        </w:tc>
        <w:tc>
          <w:tcPr>
            <w:tcW w:w="667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城市生命线安全工程建设提供综合性的技术标准支撑和指引，面对我省全面推进城市生命线安全工程建设、探索市县一体化推进的形势和要求，统一生命线建设标准，完善各行业间的协同联动机制与数据交汇，迫切需要根据我省实际，出台城市生命线安全工程相关技术标准。</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400" w:type="dxa"/>
            <w:shd w:val="clear" w:color="auto" w:fill="auto"/>
            <w:vAlign w:val="center"/>
          </w:tcPr>
          <w:p>
            <w:pPr>
              <w:topLinePun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425" w:type="dxa"/>
            <w:shd w:val="clear" w:color="auto" w:fill="auto"/>
            <w:vAlign w:val="center"/>
          </w:tcPr>
          <w:p>
            <w:pPr>
              <w:rPr>
                <w:rFonts w:hint="eastAsia" w:ascii="宋体" w:hAnsi="宋体" w:eastAsia="宋体" w:cs="宋体"/>
                <w:sz w:val="21"/>
                <w:szCs w:val="21"/>
                <w:lang w:val="en-US" w:eastAsia="zh-CN"/>
              </w:rPr>
            </w:pPr>
            <w:r>
              <w:rPr>
                <w:rFonts w:hint="eastAsia" w:ascii="宋体" w:hAnsi="宋体" w:eastAsia="宋体" w:cs="宋体"/>
                <w:lang w:val="en-US" w:eastAsia="zh-CN" w:bidi="ar"/>
              </w:rPr>
              <w:t>生活垃圾填埋场地环境调查与风险评价标准</w:t>
            </w:r>
          </w:p>
        </w:tc>
        <w:tc>
          <w:tcPr>
            <w:tcW w:w="850"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lang w:bidi="ar"/>
              </w:rPr>
              <w:t>标准</w:t>
            </w:r>
          </w:p>
        </w:tc>
        <w:tc>
          <w:tcPr>
            <w:tcW w:w="3688" w:type="dxa"/>
            <w:shd w:val="clear" w:color="auto" w:fill="auto"/>
            <w:vAlign w:val="center"/>
          </w:tcPr>
          <w:p>
            <w:pPr>
              <w:jc w:val="left"/>
              <w:rPr>
                <w:rFonts w:hint="eastAsia" w:ascii="宋体" w:hAnsi="宋体" w:eastAsia="宋体" w:cs="宋体"/>
                <w:sz w:val="21"/>
                <w:szCs w:val="21"/>
                <w:lang w:val="en-US" w:eastAsia="zh-CN"/>
              </w:rPr>
            </w:pPr>
            <w:r>
              <w:rPr>
                <w:rFonts w:hint="eastAsia" w:ascii="宋体" w:hAnsi="宋体" w:eastAsia="宋体" w:cs="宋体"/>
                <w:lang w:val="en-US" w:eastAsia="zh-CN" w:bidi="ar"/>
              </w:rPr>
              <w:t>适用于陕西省生活垃圾填埋场运行、扩建、停运、封场治理、开挖异位治理等阶段的现状调查与风险评估工作。</w:t>
            </w:r>
          </w:p>
        </w:tc>
        <w:tc>
          <w:tcPr>
            <w:tcW w:w="6675" w:type="dxa"/>
            <w:shd w:val="clear" w:color="auto" w:fill="auto"/>
            <w:vAlign w:val="center"/>
          </w:tcPr>
          <w:p>
            <w:pPr>
              <w:widowControl/>
              <w:jc w:val="left"/>
              <w:rPr>
                <w:rFonts w:hint="eastAsia" w:ascii="宋体" w:hAnsi="宋体" w:eastAsia="宋体" w:cs="宋体"/>
                <w:sz w:val="21"/>
                <w:szCs w:val="21"/>
                <w:lang w:val="en-US" w:eastAsia="zh-CN"/>
              </w:rPr>
            </w:pPr>
            <w:r>
              <w:rPr>
                <w:rFonts w:hint="eastAsia" w:ascii="宋体" w:hAnsi="宋体" w:eastAsia="宋体" w:cs="宋体"/>
                <w:lang w:val="en-US" w:eastAsia="zh-CN" w:bidi="ar"/>
              </w:rPr>
              <w:t>为规范生活垃圾填埋场现状调查与风险评价工作，满足填埋场灾害与二次污染防治工程的科学合理设计、安全施工及可持续维护的要求，制定本标准。《标准》拟通过基本情况调查与风险识别，根据识别存在的风险类型，开展专项调查工作，包括垃圾堆体调查、填埋场处理设施与设备调查、填埋场周边环境调查、水文地质调查以及各类风险评估。填埋场基本情况调查完成后编制调查报告，报告大纲反映各类型生活垃圾填埋场场地调查及风险评估全部工作内容，采用图、表、照片等形式展示关键信息。</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4" w:hRule="atLeast"/>
          <w:jc w:val="center"/>
        </w:trPr>
        <w:tc>
          <w:tcPr>
            <w:tcW w:w="400" w:type="dxa"/>
            <w:shd w:val="clear" w:color="auto" w:fill="auto"/>
            <w:vAlign w:val="center"/>
          </w:tcPr>
          <w:p>
            <w:pPr>
              <w:topLinePun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42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高延性复合材料加固混凝土结构技术规程</w:t>
            </w:r>
          </w:p>
        </w:tc>
        <w:tc>
          <w:tcPr>
            <w:tcW w:w="850" w:type="dxa"/>
            <w:shd w:val="clear" w:color="auto" w:fill="auto"/>
            <w:vAlign w:val="center"/>
          </w:tcPr>
          <w:p>
            <w:pPr>
              <w:topLinePun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w:t>
            </w:r>
          </w:p>
        </w:tc>
        <w:tc>
          <w:tcPr>
            <w:tcW w:w="3688"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适用于高延性复合材料加固钢筋混凝土结构的房屋建筑和一般构筑物设计与施工，尤其在抗震设防高烈度区加固钢筋混凝土结构中的设计、施工及应用。</w:t>
            </w:r>
          </w:p>
        </w:tc>
        <w:tc>
          <w:tcPr>
            <w:tcW w:w="667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1.规范高延性复合材料加固混凝土结构的技术应用；</w:t>
            </w:r>
          </w:p>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2.规范高延性复合材料性能要求，抗压、抗剪、抗震加固计算方法，施工要求和质量验收等技术标准。</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jc w:val="center"/>
        </w:trPr>
        <w:tc>
          <w:tcPr>
            <w:tcW w:w="400" w:type="dxa"/>
            <w:shd w:val="clear" w:color="auto" w:fill="auto"/>
            <w:vAlign w:val="center"/>
          </w:tcPr>
          <w:p>
            <w:pPr>
              <w:topLinePun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42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建筑与市政设施供能水系统防垢技术规程</w:t>
            </w:r>
          </w:p>
        </w:tc>
        <w:tc>
          <w:tcPr>
            <w:tcW w:w="850" w:type="dxa"/>
            <w:shd w:val="clear" w:color="auto" w:fill="auto"/>
            <w:vAlign w:val="center"/>
          </w:tcPr>
          <w:p>
            <w:pPr>
              <w:topLinePun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w:t>
            </w:r>
          </w:p>
        </w:tc>
        <w:tc>
          <w:tcPr>
            <w:tcW w:w="3688"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适用于房屋建筑和市政基础设施建设项目的供能水系统防结垢处理，为基础设施更新、好房子建设及绿色低碳发展提供技术指导。</w:t>
            </w:r>
          </w:p>
        </w:tc>
        <w:tc>
          <w:tcPr>
            <w:tcW w:w="667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围绕换热系统在高温或高压下结垢导致降低换热效率、增大能耗，甚至腐蚀穿孔等问题，同时存在化学排污压力等难题，结合我省水质差、易结垢等特点，为规范和完善我省建筑供暖空调、市政供热等水系统防结垢处理技术系统化和规范化，为系统设计及运行维护提供指导，解决换热系统前置主动阻垢难题，助力“长寿命、高品质”好房子建设。</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400" w:type="dxa"/>
            <w:shd w:val="clear" w:color="auto" w:fill="auto"/>
            <w:vAlign w:val="center"/>
          </w:tcPr>
          <w:p>
            <w:pPr>
              <w:topLinePun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425" w:type="dxa"/>
            <w:shd w:val="clear" w:color="auto" w:fill="auto"/>
            <w:vAlign w:val="center"/>
          </w:tcPr>
          <w:p>
            <w:pPr>
              <w:pStyle w:val="13"/>
              <w:keepNext w:val="0"/>
              <w:keepLines w:val="0"/>
              <w:pageBreakBefore w:val="0"/>
              <w:widowControl/>
              <w:kinsoku w:val="0"/>
              <w:wordWrap/>
              <w:overflowPunct/>
              <w:topLinePunct/>
              <w:autoSpaceDE w:val="0"/>
              <w:autoSpaceDN w:val="0"/>
              <w:bidi w:val="0"/>
              <w:adjustRightInd w:val="0"/>
              <w:snapToGrid w:val="0"/>
              <w:spacing w:before="56" w:line="228" w:lineRule="auto"/>
              <w:jc w:val="left"/>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既有建筑改造防火技术标准</w:t>
            </w:r>
          </w:p>
        </w:tc>
        <w:tc>
          <w:tcPr>
            <w:tcW w:w="850" w:type="dxa"/>
            <w:shd w:val="clear" w:color="auto" w:fill="auto"/>
            <w:vAlign w:val="center"/>
          </w:tcPr>
          <w:p>
            <w:pPr>
              <w:pStyle w:val="13"/>
              <w:keepNext w:val="0"/>
              <w:keepLines w:val="0"/>
              <w:pageBreakBefore w:val="0"/>
              <w:widowControl/>
              <w:kinsoku w:val="0"/>
              <w:wordWrap/>
              <w:overflowPunct/>
              <w:topLinePunct/>
              <w:autoSpaceDE w:val="0"/>
              <w:autoSpaceDN w:val="0"/>
              <w:bidi w:val="0"/>
              <w:adjustRightInd w:val="0"/>
              <w:snapToGrid w:val="0"/>
              <w:spacing w:before="56" w:line="228" w:lineRule="auto"/>
              <w:jc w:val="center"/>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标准</w:t>
            </w:r>
          </w:p>
        </w:tc>
        <w:tc>
          <w:tcPr>
            <w:tcW w:w="3688" w:type="dxa"/>
            <w:shd w:val="clear" w:color="auto" w:fill="auto"/>
            <w:vAlign w:val="center"/>
          </w:tcPr>
          <w:p>
            <w:pPr>
              <w:pStyle w:val="13"/>
              <w:keepNext w:val="0"/>
              <w:keepLines w:val="0"/>
              <w:pageBreakBefore w:val="0"/>
              <w:widowControl/>
              <w:kinsoku w:val="0"/>
              <w:wordWrap/>
              <w:overflowPunct/>
              <w:topLinePunct/>
              <w:autoSpaceDE w:val="0"/>
              <w:autoSpaceDN w:val="0"/>
              <w:bidi w:val="0"/>
              <w:adjustRightInd w:val="0"/>
              <w:snapToGrid w:val="0"/>
              <w:spacing w:before="56" w:line="228" w:lineRule="auto"/>
              <w:jc w:val="both"/>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陕西省既有建筑（村民自建房、住宅建筑户内装修改造除外）需要进行消防设计的改造提升。</w:t>
            </w:r>
          </w:p>
        </w:tc>
        <w:tc>
          <w:tcPr>
            <w:tcW w:w="6675" w:type="dxa"/>
            <w:shd w:val="clear" w:color="auto" w:fill="auto"/>
            <w:vAlign w:val="center"/>
          </w:tcPr>
          <w:p>
            <w:pPr>
              <w:pStyle w:val="13"/>
              <w:keepNext w:val="0"/>
              <w:keepLines w:val="0"/>
              <w:pageBreakBefore w:val="0"/>
              <w:widowControl/>
              <w:kinsoku w:val="0"/>
              <w:wordWrap/>
              <w:overflowPunct/>
              <w:topLinePunct/>
              <w:autoSpaceDE w:val="0"/>
              <w:autoSpaceDN w:val="0"/>
              <w:bidi w:val="0"/>
              <w:adjustRightInd w:val="0"/>
              <w:snapToGrid w:val="0"/>
              <w:spacing w:before="56" w:line="228" w:lineRule="auto"/>
              <w:jc w:val="both"/>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旨在解决城市更新背景下陕西省既有建筑改造中存在的较为普遍的防火技术难题，如消防水池、消防水箱、疏散楼梯宽度、建筑之间防火间距等问题以及因建筑功能、性质、业态调整带来的防火新要求。</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400" w:type="dxa"/>
            <w:shd w:val="clear" w:color="auto" w:fill="auto"/>
            <w:vAlign w:val="center"/>
          </w:tcPr>
          <w:p>
            <w:pPr>
              <w:topLinePunct/>
              <w:jc w:val="center"/>
              <w:rPr>
                <w:rFonts w:hint="default" w:ascii="宋体" w:hAnsi="宋体" w:eastAsia="宋体" w:cs="宋体"/>
                <w:sz w:val="21"/>
                <w:szCs w:val="21"/>
                <w:lang w:val="en" w:eastAsia="zh-CN"/>
              </w:rPr>
            </w:pPr>
            <w:r>
              <w:rPr>
                <w:rFonts w:hint="default" w:ascii="宋体" w:hAnsi="宋体" w:eastAsia="宋体" w:cs="宋体"/>
                <w:sz w:val="21"/>
                <w:szCs w:val="21"/>
                <w:lang w:val="en" w:eastAsia="zh-CN"/>
              </w:rPr>
              <w:t>12</w:t>
            </w:r>
          </w:p>
        </w:tc>
        <w:tc>
          <w:tcPr>
            <w:tcW w:w="2425" w:type="dxa"/>
            <w:shd w:val="clear" w:color="auto" w:fill="auto"/>
            <w:vAlign w:val="center"/>
          </w:tcPr>
          <w:p>
            <w:pPr>
              <w:pStyle w:val="13"/>
              <w:keepNext w:val="0"/>
              <w:keepLines w:val="0"/>
              <w:pageBreakBefore w:val="0"/>
              <w:widowControl/>
              <w:kinsoku w:val="0"/>
              <w:wordWrap/>
              <w:overflowPunct/>
              <w:topLinePunct/>
              <w:autoSpaceDE w:val="0"/>
              <w:autoSpaceDN w:val="0"/>
              <w:bidi w:val="0"/>
              <w:adjustRightInd w:val="0"/>
              <w:snapToGrid w:val="0"/>
              <w:spacing w:before="56" w:line="228" w:lineRule="auto"/>
              <w:jc w:val="both"/>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建筑保温与结构一体化技术规程</w:t>
            </w:r>
          </w:p>
        </w:tc>
        <w:tc>
          <w:tcPr>
            <w:tcW w:w="850" w:type="dxa"/>
            <w:shd w:val="clear" w:color="auto" w:fill="auto"/>
            <w:vAlign w:val="center"/>
          </w:tcPr>
          <w:p>
            <w:pPr>
              <w:pStyle w:val="13"/>
              <w:keepNext w:val="0"/>
              <w:keepLines w:val="0"/>
              <w:pageBreakBefore w:val="0"/>
              <w:widowControl/>
              <w:kinsoku w:val="0"/>
              <w:wordWrap/>
              <w:overflowPunct/>
              <w:topLinePunct/>
              <w:autoSpaceDE w:val="0"/>
              <w:autoSpaceDN w:val="0"/>
              <w:bidi w:val="0"/>
              <w:adjustRightInd w:val="0"/>
              <w:snapToGrid w:val="0"/>
              <w:spacing w:before="56" w:line="228" w:lineRule="auto"/>
              <w:jc w:val="center"/>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标准</w:t>
            </w:r>
          </w:p>
        </w:tc>
        <w:tc>
          <w:tcPr>
            <w:tcW w:w="3688" w:type="dxa"/>
            <w:shd w:val="clear" w:color="auto" w:fill="auto"/>
            <w:vAlign w:val="center"/>
          </w:tcPr>
          <w:p>
            <w:pPr>
              <w:pStyle w:val="13"/>
              <w:keepNext w:val="0"/>
              <w:keepLines w:val="0"/>
              <w:pageBreakBefore w:val="0"/>
              <w:widowControl/>
              <w:kinsoku w:val="0"/>
              <w:wordWrap/>
              <w:overflowPunct/>
              <w:topLinePunct/>
              <w:autoSpaceDE w:val="0"/>
              <w:autoSpaceDN w:val="0"/>
              <w:bidi w:val="0"/>
              <w:adjustRightInd w:val="0"/>
              <w:snapToGrid w:val="0"/>
              <w:spacing w:before="56" w:line="228" w:lineRule="auto"/>
              <w:jc w:val="both"/>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本标准适用于陕西省采用建筑保温与结构一体化技术的新建、扩建民用与工业建筑工程。</w:t>
            </w:r>
          </w:p>
        </w:tc>
        <w:tc>
          <w:tcPr>
            <w:tcW w:w="6675" w:type="dxa"/>
            <w:shd w:val="clear" w:color="auto" w:fill="auto"/>
            <w:vAlign w:val="center"/>
          </w:tcPr>
          <w:p>
            <w:pPr>
              <w:pStyle w:val="13"/>
              <w:keepNext w:val="0"/>
              <w:keepLines w:val="0"/>
              <w:pageBreakBefore w:val="0"/>
              <w:widowControl/>
              <w:kinsoku w:val="0"/>
              <w:wordWrap/>
              <w:overflowPunct/>
              <w:topLinePunct/>
              <w:autoSpaceDE w:val="0"/>
              <w:autoSpaceDN w:val="0"/>
              <w:bidi w:val="0"/>
              <w:adjustRightInd w:val="0"/>
              <w:snapToGrid w:val="0"/>
              <w:spacing w:before="56" w:line="228" w:lineRule="auto"/>
              <w:jc w:val="both"/>
              <w:textAlignment w:val="baseline"/>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保温与结构一体化技术将建筑保温层与主体结构在施工时同步完成，使两者结合为一个整体，形成了结构性连接，从根本上消除了空鼓、脱落的风险，从而实现与建筑物同寿命；同时减少了开裂、渗水的风险；一体化施工省去了二次外保温施工的环节，可缩短总的施工工期，有利于工业化建造和装配式建筑的发展；建筑物全生命周期内避免了因保温层维修和更换产生的建筑垃圾，符合绿色建筑和可持续发展的要求。</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jc w:val="center"/>
        </w:trPr>
        <w:tc>
          <w:tcPr>
            <w:tcW w:w="400" w:type="dxa"/>
            <w:shd w:val="clear" w:color="auto" w:fill="auto"/>
            <w:vAlign w:val="center"/>
          </w:tcPr>
          <w:p>
            <w:pPr>
              <w:topLinePunct/>
              <w:jc w:val="center"/>
              <w:rPr>
                <w:rFonts w:hint="default" w:ascii="宋体" w:hAnsi="宋体" w:eastAsia="宋体" w:cs="宋体"/>
                <w:sz w:val="21"/>
                <w:szCs w:val="21"/>
                <w:lang w:val="en"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 w:eastAsia="zh-CN"/>
              </w:rPr>
              <w:t>3</w:t>
            </w:r>
          </w:p>
        </w:tc>
        <w:tc>
          <w:tcPr>
            <w:tcW w:w="242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城市更新房屋建筑与市政工程工程量计算标准</w:t>
            </w:r>
          </w:p>
        </w:tc>
        <w:tc>
          <w:tcPr>
            <w:tcW w:w="850" w:type="dxa"/>
            <w:shd w:val="clear" w:color="auto" w:fill="auto"/>
            <w:vAlign w:val="center"/>
          </w:tcPr>
          <w:p>
            <w:pPr>
              <w:topLinePunct/>
              <w:jc w:val="center"/>
              <w:rPr>
                <w:rFonts w:hint="eastAsia" w:ascii="宋体" w:hAnsi="宋体" w:eastAsia="宋体" w:cs="宋体"/>
                <w:sz w:val="21"/>
                <w:szCs w:val="21"/>
                <w:lang w:val="en-US" w:eastAsia="zh-CN"/>
              </w:rPr>
            </w:pPr>
            <w:r>
              <w:rPr>
                <w:rFonts w:hint="eastAsia" w:ascii="宋体" w:hAnsi="宋体" w:eastAsia="宋体" w:cs="宋体"/>
                <w:snapToGrid w:val="0"/>
                <w:color w:val="000000"/>
                <w:sz w:val="21"/>
                <w:szCs w:val="21"/>
                <w:lang w:val="en-US" w:eastAsia="zh-CN" w:bidi="ar-SA"/>
              </w:rPr>
              <w:t>标准</w:t>
            </w:r>
          </w:p>
        </w:tc>
        <w:tc>
          <w:tcPr>
            <w:tcW w:w="3688"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本标准适用于我省城市更新房屋建筑与市政工程施工发承包及实施阶段的工程量清单编制和工程量计算。</w:t>
            </w:r>
          </w:p>
        </w:tc>
        <w:tc>
          <w:tcPr>
            <w:tcW w:w="667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我省本省城镇建筑物修缮、抗震和加固：既有建筑的维护、改造和结构加固；环境整治和绿化：公共绿化、景观改造；公共服务设施建设：包括文化、医疗、教育等公共设施的配套改造基础设施改造：道路、供水、排水、燃气、城市照明、桥梁、隧道、城市泵站、地下综合管廊等市政公用设施的修缮和升级等城市更新提供造价计价标准。</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jc w:val="center"/>
        </w:trPr>
        <w:tc>
          <w:tcPr>
            <w:tcW w:w="400" w:type="dxa"/>
            <w:shd w:val="clear" w:color="auto" w:fill="auto"/>
            <w:vAlign w:val="center"/>
          </w:tcPr>
          <w:p>
            <w:pPr>
              <w:topLinePun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42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民用建筑太阳能应用技术规范</w:t>
            </w:r>
          </w:p>
        </w:tc>
        <w:tc>
          <w:tcPr>
            <w:tcW w:w="850" w:type="dxa"/>
            <w:shd w:val="clear" w:color="auto" w:fill="auto"/>
            <w:vAlign w:val="center"/>
          </w:tcPr>
          <w:p>
            <w:pPr>
              <w:topLinePun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w:t>
            </w:r>
          </w:p>
        </w:tc>
        <w:tc>
          <w:tcPr>
            <w:tcW w:w="3688"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绿色建筑、低碳建筑和可再生能源利用领域，主要适用于陕西省新建、扩建以及既有建筑低碳改造的民用建筑太阳能应用技术与系统设计、施工、验收与评价。</w:t>
            </w:r>
          </w:p>
        </w:tc>
        <w:tc>
          <w:tcPr>
            <w:tcW w:w="6675"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据陕北、关中、陕南建筑用能特征与太阳能资源分布规律，针对民用建筑被动太阳能利用、太阳能卫生热水、太阳能供暖空调、建筑光伏电气化等应用技术类型，提出系统方案、技术要求、设计方法、关键指标和运行维护要求，为太阳能在陕西地区民用建筑中的高效利用提供标准化指导。</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0" w:type="dxa"/>
            <w:shd w:val="clear" w:color="auto" w:fill="auto"/>
            <w:vAlign w:val="center"/>
          </w:tcPr>
          <w:p>
            <w:pPr>
              <w:topLinePun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425" w:type="dxa"/>
            <w:shd w:val="clear" w:color="auto" w:fill="auto"/>
            <w:vAlign w:val="center"/>
          </w:tcPr>
          <w:p>
            <w:pPr>
              <w:topLinePunct/>
              <w:jc w:val="left"/>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住宅工程（或房屋建筑工程）施工质量通病防治措施图集</w:t>
            </w:r>
          </w:p>
        </w:tc>
        <w:tc>
          <w:tcPr>
            <w:tcW w:w="850" w:type="dxa"/>
            <w:shd w:val="clear" w:color="auto" w:fill="auto"/>
            <w:vAlign w:val="center"/>
          </w:tcPr>
          <w:p>
            <w:pPr>
              <w:topLinePunct/>
              <w:jc w:val="center"/>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标准</w:t>
            </w:r>
            <w:r>
              <w:rPr>
                <w:rFonts w:hint="eastAsia" w:ascii="宋体" w:hAnsi="宋体" w:eastAsia="宋体" w:cs="宋体"/>
                <w:sz w:val="21"/>
                <w:szCs w:val="21"/>
                <w:lang w:val="en-US" w:eastAsia="zh-CN"/>
              </w:rPr>
              <w:t>设计</w:t>
            </w:r>
          </w:p>
        </w:tc>
        <w:tc>
          <w:tcPr>
            <w:tcW w:w="3688" w:type="dxa"/>
            <w:shd w:val="clear" w:color="auto" w:fill="auto"/>
            <w:vAlign w:val="center"/>
          </w:tcPr>
          <w:p>
            <w:pPr>
              <w:topLinePunct/>
              <w:jc w:val="left"/>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用于陕西省住宅工程（或房屋建筑工程）施工质量通病防治。</w:t>
            </w:r>
          </w:p>
        </w:tc>
        <w:tc>
          <w:tcPr>
            <w:tcW w:w="6675" w:type="dxa"/>
            <w:shd w:val="clear" w:color="auto" w:fill="auto"/>
            <w:vAlign w:val="center"/>
          </w:tcPr>
          <w:p>
            <w:pPr>
              <w:topLinePunct/>
              <w:jc w:val="left"/>
              <w:rPr>
                <w:rFonts w:hint="eastAsia" w:ascii="宋体" w:hAnsi="宋体" w:eastAsia="宋体" w:cs="宋体"/>
                <w:sz w:val="21"/>
                <w:szCs w:val="21"/>
                <w:lang w:val="en-US" w:eastAsia="en-US"/>
              </w:rPr>
            </w:pPr>
            <w:r>
              <w:rPr>
                <w:rFonts w:hint="default" w:ascii="宋体" w:hAnsi="宋体" w:eastAsia="宋体" w:cs="宋体"/>
                <w:sz w:val="21"/>
                <w:szCs w:val="21"/>
                <w:lang w:val="en-US" w:eastAsia="zh-CN"/>
              </w:rPr>
              <w:t>分析住宅工程突出和常见质量问题的成因，针对性的总结提出一批行之有效的防治和处理的好经验、好做法。</w:t>
            </w:r>
          </w:p>
        </w:tc>
        <w:tc>
          <w:tcPr>
            <w:tcW w:w="1213" w:type="dxa"/>
            <w:shd w:val="clear" w:color="auto" w:fill="auto"/>
            <w:vAlign w:val="center"/>
          </w:tcPr>
          <w:p>
            <w:pPr>
              <w:topLinePun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2027年12月31日</w:t>
            </w:r>
          </w:p>
        </w:tc>
      </w:tr>
    </w:tbl>
    <w:p>
      <w:pPr>
        <w:pStyle w:val="13"/>
        <w:topLinePunct/>
        <w:spacing w:before="56" w:line="228" w:lineRule="auto"/>
        <w:rPr>
          <w:spacing w:val="6"/>
          <w:lang w:eastAsia="zh-CN"/>
        </w:rPr>
      </w:pPr>
    </w:p>
    <w:sectPr>
      <w:footerReference r:id="rId3" w:type="default"/>
      <w:pgSz w:w="16839" w:h="11906"/>
      <w:pgMar w:top="1080" w:right="567" w:bottom="1080" w:left="567"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roman"/>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EEmdbAaAgAAKA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YTEzMDlhOTZkMmM1NmY1NWJjM2NlMThmMmJjMTQifQ=="/>
  </w:docVars>
  <w:rsids>
    <w:rsidRoot w:val="004105E1"/>
    <w:rsid w:val="000D05FE"/>
    <w:rsid w:val="000D5CD4"/>
    <w:rsid w:val="00141B7D"/>
    <w:rsid w:val="0017772A"/>
    <w:rsid w:val="00180102"/>
    <w:rsid w:val="00196FB4"/>
    <w:rsid w:val="001F0557"/>
    <w:rsid w:val="002D2472"/>
    <w:rsid w:val="00307AD1"/>
    <w:rsid w:val="00315F40"/>
    <w:rsid w:val="00403F26"/>
    <w:rsid w:val="004105E1"/>
    <w:rsid w:val="00505B5C"/>
    <w:rsid w:val="006B5B87"/>
    <w:rsid w:val="006D5709"/>
    <w:rsid w:val="006F7C4F"/>
    <w:rsid w:val="00774AF7"/>
    <w:rsid w:val="007E2B49"/>
    <w:rsid w:val="008F1447"/>
    <w:rsid w:val="009451DF"/>
    <w:rsid w:val="00950F42"/>
    <w:rsid w:val="009D2D04"/>
    <w:rsid w:val="00A253F4"/>
    <w:rsid w:val="00B52BFE"/>
    <w:rsid w:val="00B560F9"/>
    <w:rsid w:val="00B65EAE"/>
    <w:rsid w:val="00B8205E"/>
    <w:rsid w:val="00BC3100"/>
    <w:rsid w:val="00D5395B"/>
    <w:rsid w:val="00D90FAA"/>
    <w:rsid w:val="00E251DF"/>
    <w:rsid w:val="00E62961"/>
    <w:rsid w:val="00EA7818"/>
    <w:rsid w:val="00F0036D"/>
    <w:rsid w:val="00F2434C"/>
    <w:rsid w:val="00FC5B4C"/>
    <w:rsid w:val="00FF3BB2"/>
    <w:rsid w:val="05237863"/>
    <w:rsid w:val="085F2527"/>
    <w:rsid w:val="0A1641A0"/>
    <w:rsid w:val="0A8D2299"/>
    <w:rsid w:val="0DED66B9"/>
    <w:rsid w:val="0E585077"/>
    <w:rsid w:val="1125116C"/>
    <w:rsid w:val="1347361C"/>
    <w:rsid w:val="1A797A60"/>
    <w:rsid w:val="256D0FD8"/>
    <w:rsid w:val="283B7C57"/>
    <w:rsid w:val="294A30C6"/>
    <w:rsid w:val="2ACA5F50"/>
    <w:rsid w:val="2AE0018B"/>
    <w:rsid w:val="2C3A1B18"/>
    <w:rsid w:val="2CC17B44"/>
    <w:rsid w:val="3986196E"/>
    <w:rsid w:val="3CD40EAB"/>
    <w:rsid w:val="459B4F7E"/>
    <w:rsid w:val="459B6D2C"/>
    <w:rsid w:val="462153B5"/>
    <w:rsid w:val="47E371E1"/>
    <w:rsid w:val="4CA901BB"/>
    <w:rsid w:val="4CE03A9C"/>
    <w:rsid w:val="4EB703AF"/>
    <w:rsid w:val="516C72A2"/>
    <w:rsid w:val="569972B8"/>
    <w:rsid w:val="5B3F38B0"/>
    <w:rsid w:val="5BB91F63"/>
    <w:rsid w:val="5DAE6EA0"/>
    <w:rsid w:val="5EC73311"/>
    <w:rsid w:val="65366619"/>
    <w:rsid w:val="65795592"/>
    <w:rsid w:val="673E9DBC"/>
    <w:rsid w:val="6F4BC8D8"/>
    <w:rsid w:val="6FB722E0"/>
    <w:rsid w:val="725B11BA"/>
    <w:rsid w:val="74982A3A"/>
    <w:rsid w:val="76FBDDFA"/>
    <w:rsid w:val="77568A50"/>
    <w:rsid w:val="776BDBF0"/>
    <w:rsid w:val="78BD2785"/>
    <w:rsid w:val="7DA45B59"/>
    <w:rsid w:val="7DFF51D9"/>
    <w:rsid w:val="7F9B2ACE"/>
    <w:rsid w:val="9A95AF1E"/>
    <w:rsid w:val="AAD8B7D5"/>
    <w:rsid w:val="AFEF5FBD"/>
    <w:rsid w:val="B7DEDFB6"/>
    <w:rsid w:val="BD5D0839"/>
    <w:rsid w:val="BFB5E917"/>
    <w:rsid w:val="BFB783DC"/>
    <w:rsid w:val="C9CCCF3D"/>
    <w:rsid w:val="CBBF9B12"/>
    <w:rsid w:val="D57A52B9"/>
    <w:rsid w:val="DD7B087A"/>
    <w:rsid w:val="DD8FCF18"/>
    <w:rsid w:val="E5ACFE28"/>
    <w:rsid w:val="E6F5139A"/>
    <w:rsid w:val="EF5E14A3"/>
    <w:rsid w:val="EF9C9824"/>
    <w:rsid w:val="F5B76115"/>
    <w:rsid w:val="F63D6360"/>
    <w:rsid w:val="F79AF6EF"/>
    <w:rsid w:val="F7FB3210"/>
    <w:rsid w:val="FBBBAA4E"/>
    <w:rsid w:val="FFE590B6"/>
    <w:rsid w:val="FFEF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qFormat/>
    <w:uiPriority w:val="0"/>
    <w:rPr>
      <w:rFonts w:ascii="Arial Unicode MS" w:hAnsi="Arial Unicode MS" w:eastAsia="Arial Unicode MS" w:cs="Arial Unicode MS"/>
      <w:sz w:val="31"/>
      <w:szCs w:val="31"/>
    </w:rPr>
  </w:style>
  <w:style w:type="paragraph" w:styleId="3">
    <w:name w:val="Balloon Text"/>
    <w:basedOn w:val="1"/>
    <w:link w:val="14"/>
    <w:semiHidden/>
    <w:unhideWhenUsed/>
    <w:qFormat/>
    <w:uiPriority w:val="99"/>
    <w:rPr>
      <w:sz w:val="18"/>
      <w:szCs w:val="18"/>
    </w:rPr>
  </w:style>
  <w:style w:type="paragraph" w:styleId="4">
    <w:name w:val="footer"/>
    <w:basedOn w:val="1"/>
    <w:link w:val="11"/>
    <w:qFormat/>
    <w:uiPriority w:val="99"/>
    <w:pPr>
      <w:tabs>
        <w:tab w:val="center" w:pos="4153"/>
        <w:tab w:val="right" w:pos="8306"/>
      </w:tabs>
    </w:pPr>
    <w:rPr>
      <w:sz w:val="18"/>
    </w:rPr>
  </w:style>
  <w:style w:type="paragraph" w:styleId="5">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Body Text 2"/>
    <w:basedOn w:val="1"/>
    <w:qFormat/>
    <w:uiPriority w:val="0"/>
    <w:pPr>
      <w:jc w:val="center"/>
    </w:pPr>
    <w:rPr>
      <w:rFonts w:ascii="仿宋_GB2312" w:hAnsi="宋体" w:eastAsia="仿宋_GB2312"/>
      <w:b/>
      <w:bCs/>
      <w:sz w:val="4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 Char"/>
    <w:basedOn w:val="9"/>
    <w:link w:val="2"/>
    <w:semiHidden/>
    <w:qFormat/>
    <w:uiPriority w:val="0"/>
    <w:rPr>
      <w:rFonts w:ascii="Arial Unicode MS" w:hAnsi="Arial Unicode MS" w:eastAsia="Arial Unicode MS" w:cs="Arial Unicode MS"/>
      <w:snapToGrid w:val="0"/>
      <w:color w:val="000000"/>
      <w:kern w:val="0"/>
      <w:sz w:val="31"/>
      <w:szCs w:val="31"/>
      <w:lang w:eastAsia="en-US"/>
    </w:rPr>
  </w:style>
  <w:style w:type="character" w:customStyle="1" w:styleId="11">
    <w:name w:val="页脚 Char"/>
    <w:basedOn w:val="9"/>
    <w:link w:val="4"/>
    <w:qFormat/>
    <w:uiPriority w:val="99"/>
    <w:rPr>
      <w:rFonts w:ascii="Arial" w:hAnsi="Arial" w:eastAsia="Arial" w:cs="Arial"/>
      <w:snapToGrid w:val="0"/>
      <w:color w:val="000000"/>
      <w:kern w:val="0"/>
      <w:sz w:val="18"/>
      <w:szCs w:val="21"/>
      <w:lang w:eastAsia="en-US"/>
    </w:rPr>
  </w:style>
  <w:style w:type="table" w:customStyle="1" w:styleId="12">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rPr>
  </w:style>
  <w:style w:type="character" w:customStyle="1" w:styleId="14">
    <w:name w:val="批注框文本 Char"/>
    <w:basedOn w:val="9"/>
    <w:link w:val="3"/>
    <w:semiHidden/>
    <w:qFormat/>
    <w:uiPriority w:val="99"/>
    <w:rPr>
      <w:rFonts w:ascii="Arial" w:hAnsi="Arial" w:eastAsia="Arial" w:cs="Arial"/>
      <w:snapToGrid w:val="0"/>
      <w:color w:val="000000"/>
      <w:kern w:val="0"/>
      <w:sz w:val="18"/>
      <w:szCs w:val="18"/>
      <w:lang w:eastAsia="en-US"/>
    </w:rPr>
  </w:style>
  <w:style w:type="character" w:customStyle="1" w:styleId="15">
    <w:name w:val="页眉 Char"/>
    <w:basedOn w:val="9"/>
    <w:link w:val="5"/>
    <w:semiHidden/>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2337</Words>
  <Characters>2399</Characters>
  <Lines>15</Lines>
  <Paragraphs>4</Paragraphs>
  <TotalTime>22</TotalTime>
  <ScaleCrop>false</ScaleCrop>
  <LinksUpToDate>false</LinksUpToDate>
  <CharactersWithSpaces>2399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2024-08-05T02:02:00Z</dcterms:created>
  <dc:creator>Lenovo</dc:creator>
  <cp:lastModifiedBy>guest</cp:lastModifiedBy>
  <cp:lastPrinted>2024-08-22T00:39:00Z</cp:lastPrinted>
  <dcterms:modified xsi:type="dcterms:W3CDTF">2025-09-29T16:25:19Z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C7A1FD4263634652A79419A48F8CB933_13</vt:lpwstr>
  </property>
  <property fmtid="{D5CDD505-2E9C-101B-9397-08002B2CF9AE}" pid="4" name="KSOTemplateDocerSaveRecord">
    <vt:lpwstr>eyJoZGlkIjoiZWU3MjBjODM2ZmRlM2IyMGVjMTQ2MGZlYzRjZGFjNWIiLCJ1c2VySWQiOiIyMzc2NDczNjkifQ==</vt:lpwstr>
  </property>
</Properties>
</file>