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陕西省建设工程质量检测机构资质许可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专家评审工作导则</w:t>
      </w:r>
    </w:p>
    <w:p>
      <w:pPr>
        <w:spacing w:line="480" w:lineRule="auto"/>
        <w:jc w:val="center"/>
        <w:rPr>
          <w:b/>
          <w:bCs/>
          <w:sz w:val="44"/>
          <w:szCs w:val="44"/>
        </w:rPr>
      </w:pPr>
      <w:bookmarkStart w:id="25" w:name="_GoBack"/>
      <w:bookmarkEnd w:id="25"/>
    </w:p>
    <w:p>
      <w:pPr>
        <w:pStyle w:val="13"/>
        <w:spacing w:line="480" w:lineRule="auto"/>
        <w:ind w:firstLine="0" w:firstLineChars="0"/>
        <w:jc w:val="center"/>
        <w:rPr>
          <w:rFonts w:ascii="黑体" w:hAnsi="黑体" w:eastAsia="黑体" w:cs="黑体"/>
          <w:sz w:val="36"/>
          <w:szCs w:val="36"/>
        </w:rPr>
      </w:pPr>
      <w:r>
        <w:rPr>
          <w:rFonts w:hint="eastAsia" w:ascii="黑体" w:hAnsi="黑体" w:eastAsia="黑体" w:cs="黑体"/>
          <w:sz w:val="36"/>
          <w:szCs w:val="36"/>
        </w:rPr>
        <w:t>第一章 总则</w:t>
      </w:r>
    </w:p>
    <w:p>
      <w:pPr>
        <w:spacing w:line="480" w:lineRule="auto"/>
        <w:rPr>
          <w:rFonts w:ascii="仿宋" w:hAnsi="仿宋" w:eastAsia="仿宋" w:cs="仿宋_GB2312"/>
          <w:b/>
          <w:bCs/>
          <w:sz w:val="32"/>
          <w:szCs w:val="32"/>
        </w:rPr>
      </w:pPr>
    </w:p>
    <w:p>
      <w:pPr>
        <w:spacing w:line="360" w:lineRule="auto"/>
        <w:ind w:firstLine="640" w:firstLineChars="200"/>
        <w:rPr>
          <w:rFonts w:ascii="仿宋" w:hAnsi="仿宋" w:eastAsia="仿宋" w:cs="仿宋_GB2312"/>
          <w:color w:val="70AD47" w:themeColor="accent6"/>
          <w:sz w:val="32"/>
          <w:szCs w:val="32"/>
          <w14:textFill>
            <w14:solidFill>
              <w14:schemeClr w14:val="accent6"/>
            </w14:solidFill>
          </w14:textFill>
        </w:rPr>
      </w:pPr>
      <w:r>
        <w:rPr>
          <w:rFonts w:hint="eastAsia" w:ascii="黑体" w:hAnsi="黑体" w:eastAsia="黑体" w:cs="黑体"/>
          <w:sz w:val="32"/>
          <w:szCs w:val="32"/>
        </w:rPr>
        <w:t>第一条</w:t>
      </w:r>
      <w:r>
        <w:rPr>
          <w:rFonts w:hint="eastAsia" w:ascii="仿宋" w:hAnsi="仿宋" w:eastAsia="仿宋" w:cs="仿宋_GB2312"/>
          <w:sz w:val="32"/>
          <w:szCs w:val="32"/>
        </w:rPr>
        <w:t>【</w:t>
      </w:r>
      <w:r>
        <w:rPr>
          <w:rFonts w:hint="eastAsia" w:ascii="仿宋" w:hAnsi="仿宋" w:eastAsia="仿宋" w:cs="仿宋_GB2312"/>
          <w:color w:val="00B0F0"/>
          <w:sz w:val="32"/>
          <w:szCs w:val="32"/>
        </w:rPr>
        <w:t>目的依据</w:t>
      </w:r>
      <w:r>
        <w:rPr>
          <w:rFonts w:hint="eastAsia" w:ascii="仿宋" w:hAnsi="仿宋" w:eastAsia="仿宋" w:cs="仿宋_GB2312"/>
          <w:sz w:val="32"/>
          <w:szCs w:val="32"/>
        </w:rPr>
        <w:t>】为保证我省建设工程质量检测机构资质许可过程中专家评审工作质量，统一评审要求，规范评审行为，根据《建设工程质量检测管理办法》（住房和城乡建设部令第57号，以下简称《检测管理办法》）、《建设工程质量检测机构资质标准》（以下简称《资质标准》）、和《陕西省建设工程质量检测管理办法实施细则》（陕建发</w:t>
      </w:r>
      <w:r>
        <w:rPr>
          <w:rFonts w:hint="eastAsia" w:ascii="仿宋" w:hAnsi="仿宋" w:eastAsia="仿宋" w:cs="仿宋_GB2312"/>
          <w:sz w:val="32"/>
          <w:szCs w:val="32"/>
          <w:lang w:val="en-US" w:eastAsia="zh-CN"/>
        </w:rPr>
        <w:t>〔2023〕191号</w:t>
      </w:r>
      <w:r>
        <w:rPr>
          <w:rFonts w:hint="eastAsia" w:ascii="仿宋" w:hAnsi="仿宋" w:eastAsia="仿宋" w:cs="仿宋_GB2312"/>
          <w:sz w:val="32"/>
          <w:szCs w:val="32"/>
        </w:rPr>
        <w:t>）制定本导则。</w:t>
      </w:r>
    </w:p>
    <w:p>
      <w:pPr>
        <w:spacing w:line="360" w:lineRule="auto"/>
        <w:ind w:firstLine="640" w:firstLineChars="200"/>
        <w:rPr>
          <w:rFonts w:hint="eastAsia" w:ascii="仿宋" w:hAnsi="仿宋" w:eastAsia="仿宋" w:cs="仿宋_GB2312"/>
          <w:sz w:val="32"/>
          <w:szCs w:val="32"/>
        </w:rPr>
      </w:pPr>
      <w:r>
        <w:rPr>
          <w:rFonts w:hint="eastAsia" w:ascii="黑体" w:hAnsi="黑体" w:eastAsia="黑体" w:cs="黑体"/>
          <w:sz w:val="32"/>
          <w:szCs w:val="32"/>
        </w:rPr>
        <w:t>第二条</w:t>
      </w:r>
      <w:r>
        <w:rPr>
          <w:rFonts w:hint="eastAsia" w:ascii="仿宋" w:hAnsi="仿宋" w:eastAsia="仿宋" w:cs="仿宋_GB2312"/>
          <w:sz w:val="32"/>
          <w:szCs w:val="32"/>
        </w:rPr>
        <w:t>【</w:t>
      </w:r>
      <w:r>
        <w:rPr>
          <w:rFonts w:hint="eastAsia" w:ascii="仿宋" w:hAnsi="仿宋" w:eastAsia="仿宋" w:cs="仿宋_GB2312"/>
          <w:color w:val="00B0F0"/>
          <w:sz w:val="32"/>
          <w:szCs w:val="32"/>
        </w:rPr>
        <w:t>适用范围</w:t>
      </w:r>
      <w:r>
        <w:rPr>
          <w:rFonts w:hint="eastAsia" w:ascii="仿宋" w:hAnsi="仿宋" w:eastAsia="仿宋" w:cs="仿宋_GB2312"/>
          <w:sz w:val="32"/>
          <w:szCs w:val="32"/>
        </w:rPr>
        <w:t>】本导则适用于在陕西省行政区域内建设工程质量检测机构（以下简称检测机）资质</w:t>
      </w:r>
      <w:bookmarkStart w:id="0" w:name="_Hlk146633508"/>
      <w:r>
        <w:rPr>
          <w:rFonts w:hint="eastAsia" w:ascii="仿宋" w:hAnsi="仿宋" w:eastAsia="仿宋" w:cs="仿宋_GB2312"/>
          <w:sz w:val="32"/>
          <w:szCs w:val="32"/>
        </w:rPr>
        <w:t>专家评审活动</w:t>
      </w:r>
      <w:bookmarkEnd w:id="0"/>
      <w:r>
        <w:rPr>
          <w:rFonts w:hint="eastAsia" w:ascii="仿宋" w:hAnsi="仿宋" w:eastAsia="仿宋" w:cs="仿宋_GB2312"/>
          <w:sz w:val="32"/>
          <w:szCs w:val="32"/>
        </w:rPr>
        <w:t>。</w:t>
      </w:r>
    </w:p>
    <w:p>
      <w:pPr>
        <w:spacing w:line="360" w:lineRule="auto"/>
        <w:ind w:firstLine="640" w:firstLineChars="200"/>
      </w:pPr>
      <w:r>
        <w:rPr>
          <w:rFonts w:hint="eastAsia" w:ascii="黑体" w:hAnsi="黑体" w:eastAsia="黑体" w:cs="黑体"/>
          <w:sz w:val="32"/>
          <w:szCs w:val="32"/>
        </w:rPr>
        <w:t>第三条</w:t>
      </w:r>
      <w:r>
        <w:rPr>
          <w:rFonts w:hint="eastAsia" w:ascii="仿宋" w:hAnsi="仿宋" w:eastAsia="仿宋" w:cs="仿宋_GB2312"/>
          <w:sz w:val="32"/>
          <w:szCs w:val="32"/>
        </w:rPr>
        <w:t>【</w:t>
      </w:r>
      <w:r>
        <w:rPr>
          <w:rFonts w:hint="eastAsia" w:ascii="仿宋" w:hAnsi="仿宋" w:eastAsia="仿宋" w:cs="仿宋_GB2312"/>
          <w:color w:val="00B0F0"/>
          <w:sz w:val="32"/>
          <w:szCs w:val="32"/>
          <w:lang w:eastAsia="zh-CN"/>
        </w:rPr>
        <w:t>管理程序</w:t>
      </w:r>
      <w:r>
        <w:rPr>
          <w:rFonts w:hint="eastAsia" w:ascii="仿宋" w:hAnsi="仿宋" w:eastAsia="仿宋" w:cs="仿宋_GB2312"/>
          <w:sz w:val="32"/>
          <w:szCs w:val="32"/>
        </w:rPr>
        <w:t>】</w:t>
      </w:r>
      <w:r>
        <w:rPr>
          <w:rFonts w:hint="eastAsia" w:ascii="仿宋" w:hAnsi="仿宋" w:eastAsia="仿宋" w:cs="仿宋_GB2312"/>
          <w:sz w:val="32"/>
          <w:szCs w:val="32"/>
          <w:lang w:eastAsia="zh-CN"/>
        </w:rPr>
        <w:t>申请检测资质的单位应在政务服务网提交资质申请，并按照所申报的资质类别按照上传人员信息，经过基本信息审核合格后，予以受理，并按照回避原则抽调相关专家组成评审组进行专家评审</w:t>
      </w:r>
      <w:r>
        <w:rPr>
          <w:rFonts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专家评审</w:t>
      </w:r>
      <w:r>
        <w:rPr>
          <w:rFonts w:hint="eastAsia" w:ascii="仿宋" w:hAnsi="仿宋" w:eastAsia="仿宋" w:cs="仿宋_GB2312"/>
          <w:sz w:val="32"/>
          <w:szCs w:val="32"/>
        </w:rPr>
        <w:t>】</w:t>
      </w:r>
      <w:r>
        <w:rPr>
          <w:rFonts w:ascii="仿宋" w:hAnsi="仿宋" w:eastAsia="仿宋" w:cs="仿宋_GB2312"/>
          <w:sz w:val="32"/>
          <w:szCs w:val="32"/>
        </w:rPr>
        <w:t>本</w:t>
      </w:r>
      <w:r>
        <w:rPr>
          <w:rFonts w:hint="eastAsia" w:ascii="仿宋" w:hAnsi="仿宋" w:eastAsia="仿宋" w:cs="仿宋_GB2312"/>
          <w:sz w:val="32"/>
          <w:szCs w:val="32"/>
        </w:rPr>
        <w:t>导则</w:t>
      </w:r>
      <w:r>
        <w:rPr>
          <w:rFonts w:ascii="仿宋" w:hAnsi="仿宋" w:eastAsia="仿宋" w:cs="仿宋_GB2312"/>
          <w:sz w:val="32"/>
          <w:szCs w:val="32"/>
        </w:rPr>
        <w:t>所称</w:t>
      </w:r>
      <w:r>
        <w:rPr>
          <w:rFonts w:hint="eastAsia" w:ascii="仿宋" w:hAnsi="仿宋" w:eastAsia="仿宋" w:cs="仿宋_GB2312"/>
          <w:sz w:val="32"/>
          <w:szCs w:val="32"/>
        </w:rPr>
        <w:t>专家</w:t>
      </w:r>
      <w:r>
        <w:rPr>
          <w:rFonts w:ascii="仿宋" w:hAnsi="仿宋" w:eastAsia="仿宋" w:cs="仿宋_GB2312"/>
          <w:sz w:val="32"/>
          <w:szCs w:val="32"/>
        </w:rPr>
        <w:t>评审，是指依照</w:t>
      </w:r>
      <w:r>
        <w:rPr>
          <w:rFonts w:hint="eastAsia" w:ascii="仿宋" w:hAnsi="仿宋" w:eastAsia="仿宋" w:cs="仿宋_GB2312"/>
          <w:sz w:val="32"/>
          <w:szCs w:val="32"/>
        </w:rPr>
        <w:t>《检测管理办法》等</w:t>
      </w:r>
      <w:r>
        <w:rPr>
          <w:rFonts w:ascii="仿宋" w:hAnsi="仿宋" w:eastAsia="仿宋" w:cs="仿宋_GB2312"/>
          <w:sz w:val="32"/>
          <w:szCs w:val="32"/>
        </w:rPr>
        <w:t>相关规定，由</w:t>
      </w:r>
      <w:r>
        <w:rPr>
          <w:rFonts w:hint="eastAsia" w:ascii="仿宋" w:hAnsi="仿宋" w:eastAsia="仿宋" w:cs="仿宋_GB2312"/>
          <w:sz w:val="32"/>
          <w:szCs w:val="32"/>
        </w:rPr>
        <w:t>陕西省住房和城乡建设厅（以下简称省住建厅）</w:t>
      </w:r>
      <w:r>
        <w:rPr>
          <w:rFonts w:ascii="仿宋" w:hAnsi="仿宋" w:eastAsia="仿宋" w:cs="仿宋_GB2312"/>
          <w:sz w:val="32"/>
          <w:szCs w:val="32"/>
        </w:rPr>
        <w:t>对检测机构申请的资质</w:t>
      </w:r>
      <w:r>
        <w:rPr>
          <w:rFonts w:hint="eastAsia" w:ascii="仿宋" w:hAnsi="仿宋" w:eastAsia="仿宋" w:cs="仿宋_GB2312"/>
          <w:sz w:val="32"/>
          <w:szCs w:val="32"/>
        </w:rPr>
        <w:t>许可</w:t>
      </w:r>
      <w:r>
        <w:rPr>
          <w:rFonts w:ascii="仿宋" w:hAnsi="仿宋" w:eastAsia="仿宋" w:cs="仿宋_GB2312"/>
          <w:sz w:val="32"/>
          <w:szCs w:val="32"/>
        </w:rPr>
        <w:t>事项是否符合资质</w:t>
      </w:r>
      <w:r>
        <w:rPr>
          <w:rFonts w:hint="eastAsia" w:ascii="仿宋" w:hAnsi="仿宋" w:eastAsia="仿宋" w:cs="仿宋_GB2312"/>
          <w:sz w:val="32"/>
          <w:szCs w:val="32"/>
        </w:rPr>
        <w:t>许可</w:t>
      </w:r>
      <w:r>
        <w:rPr>
          <w:rFonts w:ascii="仿宋" w:hAnsi="仿宋" w:eastAsia="仿宋" w:cs="仿宋_GB2312"/>
          <w:sz w:val="32"/>
          <w:szCs w:val="32"/>
        </w:rPr>
        <w:t>条件</w:t>
      </w:r>
      <w:r>
        <w:rPr>
          <w:rFonts w:hint="eastAsia" w:ascii="仿宋" w:hAnsi="仿宋" w:eastAsia="仿宋" w:cs="仿宋_GB2312"/>
          <w:sz w:val="32"/>
          <w:szCs w:val="32"/>
        </w:rPr>
        <w:t>及相关要求，</w:t>
      </w:r>
      <w:r>
        <w:rPr>
          <w:rFonts w:ascii="仿宋" w:hAnsi="仿宋" w:eastAsia="仿宋" w:cs="仿宋_GB2312"/>
          <w:sz w:val="32"/>
          <w:szCs w:val="32"/>
        </w:rPr>
        <w:t>所进行的技术性审查。</w:t>
      </w:r>
    </w:p>
    <w:p>
      <w:pPr>
        <w:spacing w:line="480" w:lineRule="auto"/>
        <w:ind w:firstLine="640" w:firstLineChars="200"/>
        <w:rPr>
          <w:rFonts w:ascii="仿宋" w:hAnsi="仿宋" w:eastAsia="仿宋" w:cs="仿宋_GB2312"/>
          <w:color w:val="70AD47" w:themeColor="accent6"/>
          <w:sz w:val="32"/>
          <w:szCs w:val="32"/>
          <w14:textFill>
            <w14:solidFill>
              <w14:schemeClr w14:val="accent6"/>
            </w14:solidFill>
          </w14:textFill>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管理层级</w:t>
      </w:r>
      <w:r>
        <w:rPr>
          <w:rFonts w:hint="eastAsia" w:ascii="仿宋" w:hAnsi="仿宋" w:eastAsia="仿宋" w:cs="仿宋_GB2312"/>
          <w:sz w:val="32"/>
          <w:szCs w:val="32"/>
        </w:rPr>
        <w:t>】</w:t>
      </w:r>
      <w:bookmarkStart w:id="1" w:name="_Hlk146702430"/>
      <w:r>
        <w:rPr>
          <w:rFonts w:hint="eastAsia" w:ascii="仿宋" w:hAnsi="仿宋" w:eastAsia="仿宋" w:cs="仿宋_GB2312"/>
          <w:sz w:val="32"/>
          <w:szCs w:val="32"/>
        </w:rPr>
        <w:t>省住建</w:t>
      </w:r>
      <w:bookmarkEnd w:id="1"/>
      <w:r>
        <w:rPr>
          <w:rFonts w:hint="eastAsia" w:ascii="仿宋" w:hAnsi="仿宋" w:eastAsia="仿宋" w:cs="仿宋_GB2312"/>
          <w:sz w:val="32"/>
          <w:szCs w:val="32"/>
        </w:rPr>
        <w:t>厅负责全省检测机构资质专家评审工作的监督管理。</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评审时限</w:t>
      </w:r>
      <w:r>
        <w:rPr>
          <w:rFonts w:hint="eastAsia" w:ascii="仿宋" w:hAnsi="仿宋" w:eastAsia="仿宋" w:cs="仿宋_GB2312"/>
          <w:sz w:val="32"/>
          <w:szCs w:val="32"/>
        </w:rPr>
        <w:t>】专家评审工作应在检测机构资质申请材料审查合格后2</w:t>
      </w:r>
      <w:r>
        <w:rPr>
          <w:rFonts w:ascii="仿宋" w:hAnsi="仿宋" w:eastAsia="仿宋" w:cs="仿宋_GB2312"/>
          <w:sz w:val="32"/>
          <w:szCs w:val="32"/>
        </w:rPr>
        <w:t>0</w:t>
      </w:r>
      <w:r>
        <w:rPr>
          <w:rFonts w:hint="eastAsia" w:ascii="仿宋" w:hAnsi="仿宋" w:eastAsia="仿宋" w:cs="仿宋_GB2312"/>
          <w:sz w:val="32"/>
          <w:szCs w:val="32"/>
        </w:rPr>
        <w:t>个工作日内完成。</w:t>
      </w:r>
    </w:p>
    <w:p>
      <w:pPr>
        <w:spacing w:line="360" w:lineRule="auto"/>
        <w:ind w:firstLine="640" w:firstLineChars="200"/>
        <w:rPr>
          <w:rFonts w:ascii="仿宋" w:hAnsi="仿宋" w:eastAsia="仿宋" w:cs="仿宋_GB2312"/>
          <w:sz w:val="32"/>
          <w:szCs w:val="32"/>
        </w:rPr>
      </w:pPr>
      <w:bookmarkStart w:id="2" w:name="_Hlk146704382"/>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评审原则</w:t>
      </w:r>
      <w:r>
        <w:rPr>
          <w:rFonts w:hint="eastAsia" w:ascii="仿宋" w:hAnsi="仿宋" w:eastAsia="仿宋" w:cs="仿宋_GB2312"/>
          <w:sz w:val="32"/>
          <w:szCs w:val="32"/>
        </w:rPr>
        <w:t>】</w:t>
      </w:r>
      <w:bookmarkEnd w:id="2"/>
      <w:r>
        <w:rPr>
          <w:rFonts w:hint="eastAsia" w:ascii="仿宋" w:hAnsi="仿宋" w:eastAsia="仿宋" w:cs="仿宋_GB2312"/>
          <w:sz w:val="32"/>
          <w:szCs w:val="32"/>
        </w:rPr>
        <w:t>专家评审</w:t>
      </w:r>
      <w:r>
        <w:rPr>
          <w:rFonts w:ascii="仿宋" w:hAnsi="仿宋" w:eastAsia="仿宋" w:cs="仿宋_GB2312"/>
          <w:sz w:val="32"/>
          <w:szCs w:val="32"/>
        </w:rPr>
        <w:t>工作应当坚持统一规范、客观公正、科学准确、公平公开、</w:t>
      </w:r>
      <w:r>
        <w:rPr>
          <w:rFonts w:hint="eastAsia" w:ascii="仿宋" w:hAnsi="仿宋" w:eastAsia="仿宋" w:cs="仿宋_GB2312"/>
          <w:sz w:val="32"/>
          <w:szCs w:val="32"/>
        </w:rPr>
        <w:t>廉洁</w:t>
      </w:r>
      <w:r>
        <w:rPr>
          <w:rFonts w:ascii="仿宋" w:hAnsi="仿宋" w:eastAsia="仿宋" w:cs="仿宋_GB2312"/>
          <w:sz w:val="32"/>
          <w:szCs w:val="32"/>
        </w:rPr>
        <w:t>高效的原则。</w:t>
      </w:r>
    </w:p>
    <w:p>
      <w:pPr>
        <w:spacing w:line="360" w:lineRule="auto"/>
        <w:ind w:firstLine="640" w:firstLineChars="200"/>
        <w:rPr>
          <w:rFonts w:ascii="仿宋" w:hAnsi="仿宋" w:eastAsia="仿宋" w:cs="仿宋_GB2312"/>
          <w:sz w:val="32"/>
          <w:szCs w:val="32"/>
        </w:rPr>
      </w:pPr>
    </w:p>
    <w:p>
      <w:pPr>
        <w:spacing w:line="480" w:lineRule="auto"/>
        <w:jc w:val="center"/>
        <w:rPr>
          <w:rFonts w:ascii="黑体" w:hAnsi="黑体" w:eastAsia="黑体" w:cs="黑体"/>
          <w:sz w:val="36"/>
          <w:szCs w:val="36"/>
        </w:rPr>
      </w:pPr>
      <w:r>
        <w:rPr>
          <w:rFonts w:hint="eastAsia" w:ascii="黑体" w:hAnsi="黑体" w:eastAsia="黑体" w:cs="黑体"/>
          <w:sz w:val="36"/>
          <w:szCs w:val="36"/>
        </w:rPr>
        <w:t>第二章 评审内容与要求</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评审内容</w:t>
      </w:r>
      <w:r>
        <w:rPr>
          <w:rFonts w:hint="eastAsia" w:ascii="仿宋" w:hAnsi="仿宋" w:eastAsia="仿宋" w:cs="仿宋_GB2312"/>
          <w:sz w:val="32"/>
          <w:szCs w:val="32"/>
        </w:rPr>
        <w:t>】专家</w:t>
      </w:r>
      <w:r>
        <w:rPr>
          <w:rFonts w:ascii="仿宋" w:hAnsi="仿宋" w:eastAsia="仿宋" w:cs="仿宋_GB2312"/>
          <w:sz w:val="32"/>
          <w:szCs w:val="32"/>
        </w:rPr>
        <w:t>评审内容包括</w:t>
      </w:r>
      <w:r>
        <w:rPr>
          <w:rFonts w:hint="eastAsia" w:ascii="仿宋" w:hAnsi="仿宋" w:eastAsia="仿宋" w:cs="仿宋_GB2312"/>
          <w:sz w:val="32"/>
          <w:szCs w:val="32"/>
        </w:rPr>
        <w:t>对</w:t>
      </w:r>
      <w:r>
        <w:rPr>
          <w:rFonts w:ascii="仿宋" w:hAnsi="仿宋" w:eastAsia="仿宋" w:cs="仿宋_GB2312"/>
          <w:sz w:val="32"/>
          <w:szCs w:val="32"/>
        </w:rPr>
        <w:t>检测机构主体、</w:t>
      </w:r>
      <w:r>
        <w:rPr>
          <w:rFonts w:hint="eastAsia" w:ascii="仿宋" w:hAnsi="仿宋" w:eastAsia="仿宋" w:cs="仿宋_GB2312"/>
          <w:sz w:val="32"/>
          <w:szCs w:val="32"/>
          <w:lang w:eastAsia="zh-CN"/>
        </w:rPr>
        <w:t>实验能力</w:t>
      </w:r>
      <w:r>
        <w:rPr>
          <w:rFonts w:ascii="仿宋" w:hAnsi="仿宋" w:eastAsia="仿宋" w:cs="仿宋_GB2312"/>
          <w:sz w:val="32"/>
          <w:szCs w:val="32"/>
        </w:rPr>
        <w:t>、</w:t>
      </w:r>
      <w:r>
        <w:rPr>
          <w:rFonts w:hint="eastAsia" w:ascii="仿宋" w:hAnsi="仿宋" w:eastAsia="仿宋" w:cs="仿宋_GB2312"/>
          <w:sz w:val="32"/>
          <w:szCs w:val="32"/>
        </w:rPr>
        <w:t>仪器设备、检测场所、质量保证体系</w:t>
      </w:r>
      <w:r>
        <w:rPr>
          <w:rFonts w:ascii="仿宋" w:hAnsi="仿宋" w:eastAsia="仿宋" w:cs="仿宋_GB2312"/>
          <w:sz w:val="32"/>
          <w:szCs w:val="32"/>
        </w:rPr>
        <w:t>等方面是否符合资质</w:t>
      </w:r>
      <w:r>
        <w:rPr>
          <w:rFonts w:hint="eastAsia" w:ascii="仿宋" w:hAnsi="仿宋" w:eastAsia="仿宋" w:cs="仿宋_GB2312"/>
          <w:sz w:val="32"/>
          <w:szCs w:val="32"/>
        </w:rPr>
        <w:t>许可</w:t>
      </w:r>
      <w:r>
        <w:rPr>
          <w:rFonts w:ascii="仿宋" w:hAnsi="仿宋" w:eastAsia="仿宋" w:cs="仿宋_GB2312"/>
          <w:sz w:val="32"/>
          <w:szCs w:val="32"/>
        </w:rPr>
        <w:t>要求的审查。</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九</w:t>
      </w:r>
      <w:r>
        <w:rPr>
          <w:rFonts w:hint="eastAsia" w:ascii="黑体" w:hAnsi="黑体" w:eastAsia="黑体" w:cs="黑体"/>
          <w:kern w:val="2"/>
          <w:sz w:val="32"/>
          <w:szCs w:val="32"/>
        </w:rPr>
        <w:t>条</w:t>
      </w:r>
      <w:bookmarkStart w:id="3" w:name="_Hlk146726882"/>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机构主体</w:t>
      </w:r>
      <w:r>
        <w:rPr>
          <w:rFonts w:hint="eastAsia" w:ascii="仿宋" w:hAnsi="仿宋" w:eastAsia="仿宋" w:cs="仿宋_GB2312"/>
          <w:kern w:val="2"/>
          <w:sz w:val="32"/>
          <w:szCs w:val="32"/>
        </w:rPr>
        <w:t>】</w:t>
      </w:r>
      <w:bookmarkEnd w:id="3"/>
      <w:r>
        <w:rPr>
          <w:rFonts w:hint="eastAsia" w:ascii="仿宋" w:hAnsi="仿宋" w:eastAsia="仿宋" w:cs="仿宋_GB2312"/>
          <w:kern w:val="2"/>
          <w:sz w:val="32"/>
          <w:szCs w:val="32"/>
        </w:rPr>
        <w:t>申请检测机构资质的单位应当是具有独立法人资格的企业、事业单位，或者依法设立的合伙企业，</w:t>
      </w:r>
      <w:r>
        <w:rPr>
          <w:rFonts w:ascii="仿宋" w:hAnsi="仿宋" w:eastAsia="仿宋" w:cs="仿宋_GB2312"/>
          <w:kern w:val="2"/>
          <w:sz w:val="32"/>
          <w:szCs w:val="32"/>
        </w:rPr>
        <w:t>并能够承担相应法律责任的法人或者其他组织。</w:t>
      </w:r>
    </w:p>
    <w:p>
      <w:pPr>
        <w:pStyle w:val="6"/>
        <w:shd w:val="clear" w:color="auto" w:fill="FFFFFF"/>
        <w:spacing w:beforeAutospacing="0" w:afterAutospacing="0" w:line="274" w:lineRule="atLeast"/>
        <w:ind w:firstLine="640" w:firstLineChars="200"/>
        <w:jc w:val="both"/>
        <w:rPr>
          <w:rFonts w:ascii="仿宋" w:hAnsi="仿宋" w:eastAsia="仿宋" w:cs="仿宋_GB2312"/>
          <w:strike/>
          <w:kern w:val="2"/>
          <w:sz w:val="32"/>
          <w:szCs w:val="32"/>
          <w:highlight w:val="red"/>
        </w:rPr>
      </w:pPr>
      <w:r>
        <w:rPr>
          <w:rFonts w:ascii="仿宋" w:hAnsi="仿宋" w:eastAsia="仿宋" w:cs="仿宋_GB2312"/>
          <w:kern w:val="2"/>
          <w:sz w:val="32"/>
          <w:szCs w:val="32"/>
        </w:rPr>
        <w:t>（一</w:t>
      </w:r>
      <w:r>
        <w:rPr>
          <w:rFonts w:hint="eastAsia" w:ascii="仿宋" w:hAnsi="仿宋" w:eastAsia="仿宋" w:cs="仿宋_GB2312"/>
          <w:kern w:val="2"/>
          <w:sz w:val="32"/>
          <w:szCs w:val="32"/>
        </w:rPr>
        <w:t>）</w:t>
      </w:r>
      <w:r>
        <w:rPr>
          <w:rFonts w:ascii="仿宋" w:hAnsi="仿宋" w:eastAsia="仿宋" w:cs="仿宋_GB2312"/>
          <w:kern w:val="2"/>
          <w:sz w:val="32"/>
          <w:szCs w:val="32"/>
        </w:rPr>
        <w:t>检测机构应当有明确的法律地位，对其出具的检验检测数据、结果负责，并承担法律责任。</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二</w:t>
      </w:r>
      <w:r>
        <w:rPr>
          <w:rFonts w:ascii="仿宋" w:hAnsi="仿宋" w:eastAsia="仿宋" w:cs="仿宋_GB2312"/>
          <w:kern w:val="2"/>
          <w:sz w:val="32"/>
          <w:szCs w:val="32"/>
        </w:rPr>
        <w:t>）检测机构应当以公开方式对其遵守法定要求、独立公正从业、履行社会责任、严守诚实信用等情况进行自我承诺。</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highlight w:val="blue"/>
        </w:rPr>
      </w:pPr>
      <w:r>
        <w:rPr>
          <w:rFonts w:hint="eastAsia" w:ascii="黑体" w:hAnsi="黑体" w:eastAsia="黑体" w:cs="黑体"/>
          <w:kern w:val="2"/>
          <w:sz w:val="32"/>
          <w:szCs w:val="32"/>
        </w:rPr>
        <w:t>第</w:t>
      </w:r>
      <w:r>
        <w:rPr>
          <w:rFonts w:hint="eastAsia" w:ascii="黑体" w:hAnsi="黑体" w:eastAsia="黑体" w:cs="黑体"/>
          <w:kern w:val="2"/>
          <w:sz w:val="32"/>
          <w:szCs w:val="32"/>
          <w:lang w:eastAsia="zh-CN"/>
        </w:rPr>
        <w:t>十</w:t>
      </w:r>
      <w:r>
        <w:rPr>
          <w:rFonts w:hint="eastAsia" w:ascii="黑体" w:hAnsi="黑体" w:eastAsia="黑体" w:cs="黑体"/>
          <w:kern w:val="2"/>
          <w:sz w:val="32"/>
          <w:szCs w:val="32"/>
        </w:rPr>
        <w:t>条</w:t>
      </w:r>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检测</w:t>
      </w:r>
      <w:r>
        <w:rPr>
          <w:rFonts w:ascii="仿宋" w:hAnsi="仿宋" w:eastAsia="仿宋" w:cs="仿宋_GB2312"/>
          <w:color w:val="00B0F0"/>
          <w:kern w:val="2"/>
          <w:sz w:val="32"/>
          <w:szCs w:val="32"/>
        </w:rPr>
        <w:t>场所</w:t>
      </w:r>
      <w:r>
        <w:rPr>
          <w:rFonts w:hint="eastAsia" w:ascii="仿宋" w:hAnsi="仿宋" w:eastAsia="仿宋" w:cs="仿宋_GB2312"/>
          <w:kern w:val="2"/>
          <w:sz w:val="32"/>
          <w:szCs w:val="32"/>
        </w:rPr>
        <w:t>】</w:t>
      </w:r>
      <w:r>
        <w:rPr>
          <w:rFonts w:ascii="仿宋" w:hAnsi="仿宋" w:eastAsia="仿宋" w:cs="仿宋_GB2312"/>
          <w:kern w:val="2"/>
          <w:sz w:val="32"/>
          <w:szCs w:val="32"/>
        </w:rPr>
        <w:t>检测机构应当</w:t>
      </w:r>
      <w:r>
        <w:rPr>
          <w:rFonts w:hint="eastAsia" w:ascii="仿宋" w:hAnsi="仿宋" w:eastAsia="仿宋" w:cs="仿宋_GB2312"/>
          <w:kern w:val="2"/>
          <w:sz w:val="32"/>
          <w:szCs w:val="32"/>
        </w:rPr>
        <w:t>有满足工作需要的</w:t>
      </w:r>
      <w:r>
        <w:rPr>
          <w:rFonts w:ascii="仿宋" w:hAnsi="仿宋" w:eastAsia="仿宋" w:cs="仿宋_GB2312"/>
          <w:kern w:val="2"/>
          <w:sz w:val="32"/>
          <w:szCs w:val="32"/>
        </w:rPr>
        <w:t>固定工作场所</w:t>
      </w:r>
      <w:r>
        <w:rPr>
          <w:rFonts w:hint="eastAsia" w:ascii="仿宋" w:hAnsi="仿宋" w:eastAsia="仿宋" w:cs="仿宋_GB2312"/>
          <w:kern w:val="2"/>
          <w:sz w:val="32"/>
          <w:szCs w:val="32"/>
        </w:rPr>
        <w:t>及检测场所，其检测</w:t>
      </w:r>
      <w:r>
        <w:rPr>
          <w:rFonts w:ascii="仿宋" w:hAnsi="仿宋" w:eastAsia="仿宋" w:cs="仿宋_GB2312"/>
          <w:kern w:val="2"/>
          <w:sz w:val="32"/>
          <w:szCs w:val="32"/>
        </w:rPr>
        <w:t>环境</w:t>
      </w:r>
      <w:r>
        <w:rPr>
          <w:rFonts w:hint="eastAsia" w:ascii="仿宋" w:hAnsi="仿宋" w:eastAsia="仿宋" w:cs="仿宋_GB2312"/>
          <w:kern w:val="2"/>
          <w:sz w:val="32"/>
          <w:szCs w:val="32"/>
        </w:rPr>
        <w:t>应</w:t>
      </w:r>
      <w:r>
        <w:rPr>
          <w:rFonts w:ascii="仿宋" w:hAnsi="仿宋" w:eastAsia="仿宋" w:cs="仿宋_GB2312"/>
          <w:kern w:val="2"/>
          <w:sz w:val="32"/>
          <w:szCs w:val="32"/>
        </w:rPr>
        <w:t>符合</w:t>
      </w:r>
      <w:r>
        <w:rPr>
          <w:rFonts w:hint="eastAsia" w:ascii="仿宋" w:hAnsi="仿宋" w:eastAsia="仿宋" w:cs="仿宋_GB2312"/>
          <w:kern w:val="2"/>
          <w:sz w:val="32"/>
          <w:szCs w:val="32"/>
        </w:rPr>
        <w:t>相关标准</w:t>
      </w:r>
      <w:r>
        <w:rPr>
          <w:rFonts w:ascii="仿宋" w:hAnsi="仿宋" w:eastAsia="仿宋" w:cs="仿宋_GB2312"/>
          <w:kern w:val="2"/>
          <w:sz w:val="32"/>
          <w:szCs w:val="32"/>
        </w:rPr>
        <w:t>要求。</w:t>
      </w:r>
    </w:p>
    <w:p>
      <w:pPr>
        <w:pStyle w:val="6"/>
        <w:shd w:val="clear" w:color="auto" w:fill="FFFFFF"/>
        <w:spacing w:beforeAutospacing="0" w:afterAutospacing="0" w:line="274" w:lineRule="atLeast"/>
        <w:ind w:firstLine="640" w:firstLineChars="200"/>
        <w:jc w:val="both"/>
        <w:rPr>
          <w:rFonts w:ascii="仿宋" w:hAnsi="仿宋" w:eastAsia="仿宋" w:cs="仿宋_GB2312"/>
          <w:color w:val="70AD47" w:themeColor="accent6"/>
          <w:kern w:val="2"/>
          <w:sz w:val="32"/>
          <w:szCs w:val="32"/>
          <w14:textFill>
            <w14:solidFill>
              <w14:schemeClr w14:val="accent6"/>
            </w14:solidFill>
          </w14:textFill>
        </w:rPr>
      </w:pPr>
      <w:bookmarkStart w:id="4" w:name="_Hlk146732679"/>
      <w:r>
        <w:rPr>
          <w:rFonts w:ascii="仿宋" w:hAnsi="仿宋" w:eastAsia="仿宋" w:cs="仿宋_GB2312"/>
          <w:kern w:val="2"/>
          <w:sz w:val="32"/>
          <w:szCs w:val="32"/>
        </w:rPr>
        <w:t>（一）</w:t>
      </w:r>
      <w:r>
        <w:rPr>
          <w:rFonts w:hint="eastAsia" w:ascii="仿宋" w:hAnsi="仿宋" w:eastAsia="仿宋" w:cs="仿宋_GB2312"/>
          <w:kern w:val="2"/>
          <w:sz w:val="32"/>
          <w:szCs w:val="32"/>
        </w:rPr>
        <w:t>检测机构对其检测场所应具有完全的使用权，并能提供不动产权属证书或租赁合同等证明文件</w:t>
      </w:r>
      <w:r>
        <w:rPr>
          <w:rFonts w:ascii="仿宋" w:hAnsi="仿宋" w:eastAsia="仿宋" w:cs="仿宋_GB2312"/>
          <w:kern w:val="2"/>
          <w:sz w:val="32"/>
          <w:szCs w:val="32"/>
        </w:rPr>
        <w:t>。</w:t>
      </w:r>
    </w:p>
    <w:bookmarkEnd w:id="4"/>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（二）</w:t>
      </w:r>
      <w:r>
        <w:rPr>
          <w:rFonts w:ascii="仿宋" w:hAnsi="仿宋" w:eastAsia="仿宋" w:cs="仿宋_GB2312"/>
          <w:kern w:val="2"/>
          <w:sz w:val="32"/>
          <w:szCs w:val="32"/>
        </w:rPr>
        <w:t>检测机构</w:t>
      </w:r>
      <w:r>
        <w:rPr>
          <w:rFonts w:hint="eastAsia" w:ascii="仿宋" w:hAnsi="仿宋" w:eastAsia="仿宋" w:cs="仿宋_GB2312"/>
          <w:kern w:val="2"/>
          <w:sz w:val="32"/>
          <w:szCs w:val="32"/>
        </w:rPr>
        <w:t>应</w:t>
      </w:r>
      <w:r>
        <w:rPr>
          <w:rFonts w:ascii="仿宋" w:hAnsi="仿宋" w:eastAsia="仿宋" w:cs="仿宋_GB2312"/>
          <w:kern w:val="2"/>
          <w:sz w:val="32"/>
          <w:szCs w:val="32"/>
        </w:rPr>
        <w:t>具有符合标准或者技术规范要求检测场所</w:t>
      </w:r>
      <w:r>
        <w:rPr>
          <w:rFonts w:hint="eastAsia" w:ascii="仿宋" w:hAnsi="仿宋" w:eastAsia="仿宋" w:cs="仿宋_GB2312"/>
          <w:kern w:val="2"/>
          <w:sz w:val="32"/>
          <w:szCs w:val="32"/>
        </w:rPr>
        <w:t>。</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三</w:t>
      </w:r>
      <w:r>
        <w:rPr>
          <w:rFonts w:ascii="仿宋" w:hAnsi="仿宋" w:eastAsia="仿宋" w:cs="仿宋_GB2312"/>
          <w:kern w:val="2"/>
          <w:sz w:val="32"/>
          <w:szCs w:val="32"/>
        </w:rPr>
        <w:t>）检测工作环境及安全条件</w:t>
      </w:r>
      <w:r>
        <w:rPr>
          <w:rFonts w:hint="eastAsia" w:ascii="仿宋" w:hAnsi="仿宋" w:eastAsia="仿宋" w:cs="仿宋_GB2312"/>
          <w:kern w:val="2"/>
          <w:sz w:val="32"/>
          <w:szCs w:val="32"/>
        </w:rPr>
        <w:t>应</w:t>
      </w:r>
      <w:r>
        <w:rPr>
          <w:rFonts w:ascii="仿宋" w:hAnsi="仿宋" w:eastAsia="仿宋" w:cs="仿宋_GB2312"/>
          <w:kern w:val="2"/>
          <w:sz w:val="32"/>
          <w:szCs w:val="32"/>
        </w:rPr>
        <w:t>符合检测活动要求。</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（四）检测机构存在两个及以上不同地址的多个检测活动场所，均应在同一市（区）行政区内，并满足本条第（一）、（二）、（三）款的规定。</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bookmarkStart w:id="5" w:name="_Hlk146735014"/>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一</w:t>
      </w:r>
      <w:r>
        <w:rPr>
          <w:rFonts w:hint="eastAsia" w:ascii="黑体" w:hAnsi="黑体" w:eastAsia="黑体" w:cs="黑体"/>
          <w:kern w:val="2"/>
          <w:sz w:val="32"/>
          <w:szCs w:val="32"/>
        </w:rPr>
        <w:t>条</w:t>
      </w:r>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检测设备</w:t>
      </w:r>
      <w:r>
        <w:rPr>
          <w:rFonts w:hint="eastAsia" w:ascii="仿宋" w:hAnsi="仿宋" w:eastAsia="仿宋" w:cs="仿宋_GB2312"/>
          <w:kern w:val="2"/>
          <w:sz w:val="32"/>
          <w:szCs w:val="32"/>
        </w:rPr>
        <w:t>】</w:t>
      </w:r>
      <w:bookmarkEnd w:id="5"/>
      <w:r>
        <w:rPr>
          <w:rFonts w:ascii="仿宋" w:hAnsi="仿宋" w:eastAsia="仿宋" w:cs="仿宋_GB2312"/>
          <w:kern w:val="2"/>
          <w:sz w:val="32"/>
          <w:szCs w:val="32"/>
        </w:rPr>
        <w:t>检测机构</w:t>
      </w:r>
      <w:r>
        <w:rPr>
          <w:rFonts w:hint="eastAsia" w:ascii="仿宋" w:hAnsi="仿宋" w:eastAsia="仿宋" w:cs="仿宋_GB2312"/>
          <w:kern w:val="2"/>
          <w:sz w:val="32"/>
          <w:szCs w:val="32"/>
        </w:rPr>
        <w:t>检测设备设施</w:t>
      </w:r>
      <w:r>
        <w:rPr>
          <w:rFonts w:ascii="仿宋" w:hAnsi="仿宋" w:eastAsia="仿宋" w:cs="仿宋_GB2312"/>
          <w:kern w:val="2"/>
          <w:sz w:val="32"/>
          <w:szCs w:val="32"/>
        </w:rPr>
        <w:t>应</w:t>
      </w:r>
      <w:r>
        <w:rPr>
          <w:rFonts w:hint="eastAsia" w:ascii="仿宋" w:hAnsi="仿宋" w:eastAsia="仿宋" w:cs="仿宋_GB2312"/>
          <w:kern w:val="2"/>
          <w:sz w:val="32"/>
          <w:szCs w:val="32"/>
        </w:rPr>
        <w:t>齐全，其功能、量程、精度，配套设备设施应当满足资质许可检测参数要求。</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（一）检测机构</w:t>
      </w:r>
      <w:r>
        <w:rPr>
          <w:rFonts w:hint="eastAsia" w:ascii="仿宋" w:hAnsi="仿宋" w:eastAsia="仿宋" w:cs="仿宋_GB2312"/>
          <w:kern w:val="2"/>
          <w:sz w:val="32"/>
          <w:szCs w:val="32"/>
        </w:rPr>
        <w:t>应配备</w:t>
      </w:r>
      <w:r>
        <w:rPr>
          <w:rFonts w:ascii="仿宋" w:hAnsi="仿宋" w:eastAsia="仿宋" w:cs="仿宋_GB2312"/>
          <w:kern w:val="2"/>
          <w:sz w:val="32"/>
          <w:szCs w:val="32"/>
        </w:rPr>
        <w:t>性能</w:t>
      </w:r>
      <w:r>
        <w:rPr>
          <w:rFonts w:hint="eastAsia" w:ascii="仿宋" w:hAnsi="仿宋" w:eastAsia="仿宋" w:cs="仿宋_GB2312"/>
          <w:kern w:val="2"/>
          <w:sz w:val="32"/>
          <w:szCs w:val="32"/>
        </w:rPr>
        <w:t>和数量满足检测要求检测设备设施，并提供检测设备设施权属证明文件。</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（二）检测机构应当对</w:t>
      </w:r>
      <w:r>
        <w:rPr>
          <w:rFonts w:hint="eastAsia" w:ascii="仿宋" w:hAnsi="仿宋" w:eastAsia="仿宋" w:cs="仿宋_GB2312"/>
          <w:kern w:val="2"/>
          <w:sz w:val="32"/>
          <w:szCs w:val="32"/>
        </w:rPr>
        <w:t>影响</w:t>
      </w:r>
      <w:r>
        <w:rPr>
          <w:rFonts w:ascii="仿宋" w:hAnsi="仿宋" w:eastAsia="仿宋" w:cs="仿宋_GB2312"/>
          <w:kern w:val="2"/>
          <w:sz w:val="32"/>
          <w:szCs w:val="32"/>
        </w:rPr>
        <w:t>检测数据、结果准确性或有效</w:t>
      </w:r>
      <w:r>
        <w:rPr>
          <w:rFonts w:hint="eastAsia" w:ascii="仿宋" w:hAnsi="仿宋" w:eastAsia="仿宋" w:cs="仿宋_GB2312"/>
          <w:kern w:val="2"/>
          <w:sz w:val="32"/>
          <w:szCs w:val="32"/>
        </w:rPr>
        <w:t>性</w:t>
      </w:r>
      <w:r>
        <w:rPr>
          <w:rFonts w:ascii="仿宋" w:hAnsi="仿宋" w:eastAsia="仿宋" w:cs="仿宋_GB2312"/>
          <w:kern w:val="2"/>
          <w:sz w:val="32"/>
          <w:szCs w:val="32"/>
        </w:rPr>
        <w:t>的设备（包括用于测量环境条件等辅助测量设备）实施检定、校准或核查，保证数据、结果满足计量溯源性要求。</w:t>
      </w:r>
    </w:p>
    <w:p>
      <w:pPr>
        <w:pStyle w:val="6"/>
        <w:shd w:val="clear" w:color="auto" w:fill="FFFFFF"/>
        <w:spacing w:beforeAutospacing="0" w:afterAutospacing="0" w:line="274" w:lineRule="atLeast"/>
        <w:ind w:firstLine="640" w:firstLineChars="200"/>
        <w:jc w:val="both"/>
        <w:rPr>
          <w:rFonts w:ascii="仿宋" w:hAnsi="仿宋" w:eastAsia="仿宋" w:cs="仿宋_GB2312"/>
          <w:color w:val="70AD47" w:themeColor="accent6"/>
          <w:kern w:val="2"/>
          <w:sz w:val="32"/>
          <w:szCs w:val="32"/>
          <w14:textFill>
            <w14:solidFill>
              <w14:schemeClr w14:val="accent6"/>
            </w14:solidFill>
          </w14:textFill>
        </w:rPr>
      </w:pPr>
      <w:r>
        <w:rPr>
          <w:rFonts w:ascii="仿宋" w:hAnsi="仿宋" w:eastAsia="仿宋" w:cs="仿宋_GB2312"/>
          <w:kern w:val="2"/>
          <w:sz w:val="32"/>
          <w:szCs w:val="32"/>
        </w:rPr>
        <w:t>（三）检测机使用标准物质，应当满足计量溯源性要求。</w:t>
      </w:r>
      <w:r>
        <w:rPr>
          <w:rFonts w:hint="eastAsia" w:ascii="仿宋" w:hAnsi="仿宋" w:eastAsia="仿宋" w:cs="仿宋_GB2312"/>
          <w:kern w:val="2"/>
          <w:sz w:val="32"/>
          <w:szCs w:val="32"/>
        </w:rPr>
        <w:t>可能时，应</w:t>
      </w:r>
      <w:r>
        <w:rPr>
          <w:rFonts w:ascii="仿宋" w:hAnsi="仿宋" w:eastAsia="仿宋" w:cs="仿宋_GB2312"/>
          <w:kern w:val="2"/>
          <w:sz w:val="32"/>
          <w:szCs w:val="32"/>
        </w:rPr>
        <w:t>溯源</w:t>
      </w:r>
      <w:r>
        <w:rPr>
          <w:rFonts w:hint="eastAsia" w:ascii="仿宋" w:hAnsi="仿宋" w:eastAsia="仿宋" w:cs="仿宋_GB2312"/>
          <w:kern w:val="2"/>
          <w:sz w:val="32"/>
          <w:szCs w:val="32"/>
        </w:rPr>
        <w:t>到国际单位制（S</w:t>
      </w:r>
      <w:r>
        <w:rPr>
          <w:rFonts w:ascii="仿宋" w:hAnsi="仿宋" w:eastAsia="仿宋" w:cs="仿宋_GB2312"/>
          <w:kern w:val="2"/>
          <w:sz w:val="32"/>
          <w:szCs w:val="32"/>
        </w:rPr>
        <w:t>I</w:t>
      </w:r>
      <w:r>
        <w:rPr>
          <w:rFonts w:hint="eastAsia" w:ascii="仿宋" w:hAnsi="仿宋" w:eastAsia="仿宋" w:cs="仿宋_GB2312"/>
          <w:kern w:val="2"/>
          <w:sz w:val="32"/>
          <w:szCs w:val="32"/>
        </w:rPr>
        <w:t>）单位或有证标准物质。</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（四）</w:t>
      </w:r>
      <w:bookmarkStart w:id="6" w:name="_Hlk146814004"/>
      <w:r>
        <w:rPr>
          <w:rFonts w:ascii="仿宋" w:hAnsi="仿宋" w:eastAsia="仿宋" w:cs="仿宋_GB2312"/>
          <w:kern w:val="2"/>
          <w:sz w:val="32"/>
          <w:szCs w:val="32"/>
        </w:rPr>
        <w:t>检测机构</w:t>
      </w:r>
      <w:r>
        <w:rPr>
          <w:rFonts w:hint="eastAsia" w:ascii="仿宋" w:hAnsi="仿宋" w:eastAsia="仿宋" w:cs="仿宋_GB2312"/>
          <w:kern w:val="2"/>
          <w:sz w:val="32"/>
          <w:szCs w:val="32"/>
        </w:rPr>
        <w:t>应对检测数据具有重要影响的设备设施制定管理制度，建立设备档案，并指定专人实施动态管理。</w:t>
      </w:r>
      <w:bookmarkEnd w:id="6"/>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条</w:t>
      </w:r>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管理体系</w:t>
      </w:r>
      <w:r>
        <w:rPr>
          <w:rFonts w:hint="eastAsia" w:ascii="仿宋" w:hAnsi="仿宋" w:eastAsia="仿宋" w:cs="仿宋_GB2312"/>
          <w:kern w:val="2"/>
          <w:sz w:val="32"/>
          <w:szCs w:val="32"/>
        </w:rPr>
        <w:t>】</w:t>
      </w:r>
      <w:r>
        <w:rPr>
          <w:rFonts w:ascii="仿宋" w:hAnsi="仿宋" w:eastAsia="仿宋" w:cs="仿宋_GB2312"/>
          <w:kern w:val="2"/>
          <w:sz w:val="32"/>
          <w:szCs w:val="32"/>
        </w:rPr>
        <w:t>检测机构应当</w:t>
      </w:r>
      <w:r>
        <w:rPr>
          <w:rFonts w:hint="eastAsia" w:ascii="仿宋" w:hAnsi="仿宋" w:eastAsia="仿宋" w:cs="仿宋_GB2312"/>
          <w:kern w:val="2"/>
          <w:sz w:val="32"/>
          <w:szCs w:val="32"/>
        </w:rPr>
        <w:t>有完善的</w:t>
      </w:r>
      <w:bookmarkStart w:id="7" w:name="_Hlk146735929"/>
      <w:r>
        <w:rPr>
          <w:rFonts w:hint="eastAsia" w:ascii="仿宋" w:hAnsi="仿宋" w:eastAsia="仿宋" w:cs="仿宋_GB2312"/>
          <w:kern w:val="2"/>
          <w:sz w:val="32"/>
          <w:szCs w:val="32"/>
        </w:rPr>
        <w:t>组织机构</w:t>
      </w:r>
      <w:bookmarkEnd w:id="7"/>
      <w:r>
        <w:rPr>
          <w:rFonts w:hint="eastAsia" w:ascii="仿宋" w:hAnsi="仿宋" w:eastAsia="仿宋" w:cs="仿宋_GB2312"/>
          <w:kern w:val="2"/>
          <w:sz w:val="32"/>
          <w:szCs w:val="32"/>
        </w:rPr>
        <w:t>和</w:t>
      </w:r>
      <w:bookmarkStart w:id="8" w:name="_Hlk146737491"/>
      <w:r>
        <w:rPr>
          <w:rFonts w:hint="eastAsia" w:ascii="仿宋" w:hAnsi="仿宋" w:eastAsia="仿宋" w:cs="仿宋_GB2312"/>
          <w:kern w:val="2"/>
          <w:sz w:val="32"/>
          <w:szCs w:val="32"/>
        </w:rPr>
        <w:t>质量管理体系</w:t>
      </w:r>
      <w:bookmarkEnd w:id="8"/>
      <w:r>
        <w:rPr>
          <w:rFonts w:hint="eastAsia" w:ascii="仿宋" w:hAnsi="仿宋" w:eastAsia="仿宋" w:cs="仿宋_GB2312"/>
          <w:kern w:val="2"/>
          <w:sz w:val="32"/>
          <w:szCs w:val="32"/>
        </w:rPr>
        <w:t>，有健全的技术、档案等管理制度，并</w:t>
      </w:r>
      <w:r>
        <w:rPr>
          <w:rFonts w:ascii="仿宋" w:hAnsi="仿宋" w:eastAsia="仿宋" w:cs="仿宋_GB2312"/>
          <w:kern w:val="2"/>
          <w:sz w:val="32"/>
          <w:szCs w:val="32"/>
        </w:rPr>
        <w:t>确保</w:t>
      </w:r>
      <w:r>
        <w:rPr>
          <w:rFonts w:hint="eastAsia" w:ascii="仿宋" w:hAnsi="仿宋" w:eastAsia="仿宋" w:cs="仿宋_GB2312"/>
          <w:kern w:val="2"/>
          <w:sz w:val="32"/>
          <w:szCs w:val="32"/>
        </w:rPr>
        <w:t>组织机构和</w:t>
      </w:r>
      <w:r>
        <w:rPr>
          <w:rFonts w:ascii="仿宋" w:hAnsi="仿宋" w:eastAsia="仿宋" w:cs="仿宋_GB2312"/>
          <w:kern w:val="2"/>
          <w:sz w:val="32"/>
          <w:szCs w:val="32"/>
        </w:rPr>
        <w:t>管理体系能够得到有效、可控、稳定实施，持续符合检测机构资质</w:t>
      </w:r>
      <w:r>
        <w:rPr>
          <w:rFonts w:hint="eastAsia" w:ascii="仿宋" w:hAnsi="仿宋" w:eastAsia="仿宋" w:cs="仿宋_GB2312"/>
          <w:kern w:val="2"/>
          <w:sz w:val="32"/>
          <w:szCs w:val="32"/>
        </w:rPr>
        <w:t>许可</w:t>
      </w:r>
      <w:r>
        <w:rPr>
          <w:rFonts w:ascii="仿宋" w:hAnsi="仿宋" w:eastAsia="仿宋" w:cs="仿宋_GB2312"/>
          <w:kern w:val="2"/>
          <w:sz w:val="32"/>
          <w:szCs w:val="32"/>
        </w:rPr>
        <w:t>条件以及相关要求</w:t>
      </w:r>
      <w:r>
        <w:rPr>
          <w:rFonts w:hint="eastAsia" w:ascii="仿宋" w:hAnsi="仿宋" w:eastAsia="仿宋" w:cs="仿宋_GB2312"/>
          <w:kern w:val="2"/>
          <w:sz w:val="32"/>
          <w:szCs w:val="32"/>
        </w:rPr>
        <w:t>。综合资质检测机构的质量管理体系应满足《检测和校准实验室能力的通用要求》G</w:t>
      </w:r>
      <w:r>
        <w:rPr>
          <w:rFonts w:ascii="仿宋" w:hAnsi="仿宋" w:eastAsia="仿宋" w:cs="仿宋_GB2312"/>
          <w:kern w:val="2"/>
          <w:sz w:val="32"/>
          <w:szCs w:val="32"/>
        </w:rPr>
        <w:t>B/T2702-2019</w:t>
      </w:r>
      <w:r>
        <w:rPr>
          <w:rFonts w:hint="eastAsia" w:ascii="仿宋" w:hAnsi="仿宋" w:eastAsia="仿宋" w:cs="仿宋_GB2312"/>
          <w:kern w:val="2"/>
          <w:sz w:val="32"/>
          <w:szCs w:val="32"/>
        </w:rPr>
        <w:t>要求。</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（一）</w:t>
      </w:r>
      <w:bookmarkStart w:id="9" w:name="_Hlk146736845"/>
      <w:r>
        <w:rPr>
          <w:rFonts w:ascii="仿宋" w:hAnsi="仿宋" w:eastAsia="仿宋" w:cs="仿宋_GB2312"/>
          <w:kern w:val="2"/>
          <w:sz w:val="32"/>
          <w:szCs w:val="32"/>
        </w:rPr>
        <w:t>检测机构</w:t>
      </w:r>
      <w:bookmarkEnd w:id="9"/>
      <w:r>
        <w:rPr>
          <w:rFonts w:ascii="仿宋" w:hAnsi="仿宋" w:eastAsia="仿宋" w:cs="仿宋_GB2312"/>
          <w:kern w:val="2"/>
          <w:sz w:val="32"/>
          <w:szCs w:val="32"/>
        </w:rPr>
        <w:t>应当依据法律法规、标准的规定制定完善的</w:t>
      </w:r>
      <w:r>
        <w:rPr>
          <w:rFonts w:hint="eastAsia" w:ascii="仿宋" w:hAnsi="仿宋" w:eastAsia="仿宋" w:cs="仿宋_GB2312"/>
          <w:kern w:val="2"/>
          <w:sz w:val="32"/>
          <w:szCs w:val="32"/>
        </w:rPr>
        <w:t>组织机构和</w:t>
      </w:r>
      <w:r>
        <w:rPr>
          <w:rFonts w:ascii="仿宋" w:hAnsi="仿宋" w:eastAsia="仿宋" w:cs="仿宋_GB2312"/>
          <w:kern w:val="2"/>
          <w:sz w:val="32"/>
          <w:szCs w:val="32"/>
        </w:rPr>
        <w:t>管理体系，包括政策、制度、计划、程序和作业指导书等。</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（二）</w:t>
      </w:r>
      <w:r>
        <w:rPr>
          <w:rFonts w:ascii="仿宋" w:hAnsi="仿宋" w:eastAsia="仿宋" w:cs="仿宋_GB2312"/>
          <w:kern w:val="2"/>
          <w:sz w:val="32"/>
          <w:szCs w:val="32"/>
        </w:rPr>
        <w:t>检测机构建立的</w:t>
      </w:r>
      <w:r>
        <w:rPr>
          <w:rFonts w:hint="eastAsia" w:ascii="仿宋" w:hAnsi="仿宋" w:eastAsia="仿宋" w:cs="仿宋_GB2312"/>
          <w:kern w:val="2"/>
          <w:sz w:val="32"/>
          <w:szCs w:val="32"/>
        </w:rPr>
        <w:t>组织机构和</w:t>
      </w:r>
      <w:r>
        <w:rPr>
          <w:rFonts w:ascii="仿宋" w:hAnsi="仿宋" w:eastAsia="仿宋" w:cs="仿宋_GB2312"/>
          <w:kern w:val="2"/>
          <w:sz w:val="32"/>
          <w:szCs w:val="32"/>
        </w:rPr>
        <w:t>管理体系应当符合自身实际情况并有效运行</w:t>
      </w:r>
      <w:r>
        <w:rPr>
          <w:rFonts w:hint="eastAsia" w:ascii="仿宋" w:hAnsi="仿宋" w:eastAsia="仿宋" w:cs="仿宋_GB2312"/>
          <w:kern w:val="2"/>
          <w:sz w:val="32"/>
          <w:szCs w:val="32"/>
        </w:rPr>
        <w:t>。</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仿宋" w:hAnsi="仿宋" w:eastAsia="仿宋" w:cs="仿宋_GB2312"/>
          <w:kern w:val="2"/>
          <w:sz w:val="32"/>
          <w:szCs w:val="32"/>
        </w:rPr>
        <w:t>（三）检测机构</w:t>
      </w:r>
      <w:r>
        <w:rPr>
          <w:rFonts w:ascii="仿宋" w:hAnsi="仿宋" w:eastAsia="仿宋" w:cs="仿宋_GB2312"/>
          <w:kern w:val="2"/>
          <w:sz w:val="32"/>
          <w:szCs w:val="32"/>
        </w:rPr>
        <w:t>建立的</w:t>
      </w:r>
      <w:r>
        <w:rPr>
          <w:rFonts w:hint="eastAsia" w:ascii="仿宋" w:hAnsi="仿宋" w:eastAsia="仿宋" w:cs="仿宋_GB2312"/>
          <w:kern w:val="2"/>
          <w:sz w:val="32"/>
          <w:szCs w:val="32"/>
        </w:rPr>
        <w:t>组织机构应明确其组织结构及管理、技术运行和支持检测之间的关系，对各层级进行界定，明确职责权限，并在组织机构图中予以指明。</w:t>
      </w:r>
    </w:p>
    <w:p>
      <w:pPr>
        <w:pStyle w:val="6"/>
        <w:shd w:val="clear" w:color="auto" w:fill="FFFFFF"/>
        <w:spacing w:beforeAutospacing="0" w:afterAutospacing="0" w:line="219"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（四）</w:t>
      </w:r>
      <w:r>
        <w:rPr>
          <w:rFonts w:hint="eastAsia" w:ascii="仿宋" w:hAnsi="仿宋" w:eastAsia="仿宋" w:cs="仿宋_GB2312"/>
          <w:kern w:val="2"/>
          <w:sz w:val="32"/>
          <w:szCs w:val="32"/>
        </w:rPr>
        <w:t>检测机构的质量管理体系至少应包括下列内容：管理体系文件、管理体系文件的控制、记录控制、应对风险和机遇的措施、改进、纠正措施、内部审核、管理评审等。</w:t>
      </w:r>
    </w:p>
    <w:p>
      <w:pPr>
        <w:pStyle w:val="6"/>
        <w:shd w:val="clear" w:color="auto" w:fill="FFFFFF"/>
        <w:spacing w:beforeAutospacing="0" w:afterAutospacing="0" w:line="219" w:lineRule="atLeast"/>
        <w:ind w:firstLine="640" w:firstLineChars="200"/>
        <w:jc w:val="both"/>
        <w:rPr>
          <w:rFonts w:ascii="仿宋" w:hAnsi="仿宋" w:eastAsia="仿宋" w:cs="仿宋_GB2312"/>
          <w:kern w:val="2"/>
          <w:sz w:val="32"/>
          <w:szCs w:val="32"/>
        </w:rPr>
      </w:pPr>
      <w:bookmarkStart w:id="10" w:name="_Hlk146738894"/>
      <w:r>
        <w:rPr>
          <w:rFonts w:ascii="仿宋" w:hAnsi="仿宋" w:eastAsia="仿宋" w:cs="仿宋_GB2312"/>
          <w:kern w:val="2"/>
          <w:sz w:val="32"/>
          <w:szCs w:val="32"/>
        </w:rPr>
        <w:t>（</w:t>
      </w:r>
      <w:r>
        <w:rPr>
          <w:rFonts w:hint="eastAsia" w:ascii="仿宋" w:hAnsi="仿宋" w:eastAsia="仿宋" w:cs="仿宋_GB2312"/>
          <w:kern w:val="2"/>
          <w:sz w:val="32"/>
          <w:szCs w:val="32"/>
        </w:rPr>
        <w:t>五</w:t>
      </w:r>
      <w:r>
        <w:rPr>
          <w:rFonts w:ascii="仿宋" w:hAnsi="仿宋" w:eastAsia="仿宋" w:cs="仿宋_GB2312"/>
          <w:kern w:val="2"/>
          <w:sz w:val="32"/>
          <w:szCs w:val="32"/>
        </w:rPr>
        <w:t>）</w:t>
      </w:r>
      <w:bookmarkEnd w:id="10"/>
      <w:r>
        <w:rPr>
          <w:rFonts w:ascii="仿宋" w:hAnsi="仿宋" w:eastAsia="仿宋" w:cs="仿宋_GB2312"/>
          <w:kern w:val="2"/>
          <w:sz w:val="32"/>
          <w:szCs w:val="32"/>
        </w:rPr>
        <w:t>检测机构</w:t>
      </w:r>
      <w:r>
        <w:rPr>
          <w:rFonts w:hint="eastAsia" w:ascii="仿宋" w:hAnsi="仿宋" w:eastAsia="仿宋" w:cs="仿宋_GB2312"/>
          <w:kern w:val="2"/>
          <w:sz w:val="32"/>
          <w:szCs w:val="32"/>
        </w:rPr>
        <w:t>应</w:t>
      </w:r>
      <w:r>
        <w:rPr>
          <w:rFonts w:ascii="仿宋" w:hAnsi="仿宋" w:eastAsia="仿宋" w:cs="仿宋_GB2312"/>
          <w:kern w:val="2"/>
          <w:sz w:val="32"/>
          <w:szCs w:val="32"/>
        </w:rPr>
        <w:t>正确使用有效的方法开检测活动。检测方法包括标准方法和非标准方法，应当优先使用标准方法。使用标准方法前应当进行验证；使用非标准方法前，应当先对方法进行确认，再验证。</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六</w:t>
      </w:r>
      <w:r>
        <w:rPr>
          <w:rFonts w:ascii="仿宋" w:hAnsi="仿宋" w:eastAsia="仿宋" w:cs="仿宋_GB2312"/>
          <w:kern w:val="2"/>
          <w:sz w:val="32"/>
          <w:szCs w:val="32"/>
        </w:rPr>
        <w:t>）检测机构出具的检测报告，应当客观真实、方法有效、数据完整、信息齐全、结论明确、表述清晰并使用法定计量单位。</w:t>
      </w:r>
    </w:p>
    <w:p>
      <w:pPr>
        <w:pStyle w:val="6"/>
        <w:shd w:val="clear" w:color="auto" w:fill="FFFFFF"/>
        <w:spacing w:beforeAutospacing="0" w:afterAutospacing="0" w:line="274" w:lineRule="atLeast"/>
        <w:ind w:firstLine="624"/>
        <w:jc w:val="both"/>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七</w:t>
      </w:r>
      <w:r>
        <w:rPr>
          <w:rFonts w:ascii="仿宋" w:hAnsi="仿宋" w:eastAsia="仿宋" w:cs="仿宋_GB2312"/>
          <w:kern w:val="2"/>
          <w:sz w:val="32"/>
          <w:szCs w:val="32"/>
        </w:rPr>
        <w:t>）检测机构应当实施有效的数据、结果质量控制活动，质量控制活动与检验检测工作相适应。数据、结果质量控制活动包括内部质量控制活动和外部质量控制活动。内部质量控制活动包括人员比对、设备比对、留样再测、盲样考核等。外部质量控制活动包括但不限于能力验证、实验室间比对等。</w:t>
      </w:r>
    </w:p>
    <w:p>
      <w:pPr>
        <w:pStyle w:val="6"/>
        <w:shd w:val="clear" w:color="auto" w:fill="FFFFFF"/>
        <w:spacing w:beforeAutospacing="0" w:afterAutospacing="0" w:line="274" w:lineRule="atLeast"/>
        <w:ind w:firstLine="624"/>
        <w:jc w:val="both"/>
        <w:rPr>
          <w:rFonts w:ascii="仿宋" w:hAnsi="仿宋" w:eastAsia="仿宋" w:cs="仿宋_GB2312"/>
          <w:kern w:val="2"/>
          <w:sz w:val="32"/>
          <w:szCs w:val="32"/>
        </w:rPr>
      </w:pPr>
      <w:r>
        <w:rPr>
          <w:rFonts w:ascii="仿宋" w:hAnsi="仿宋" w:eastAsia="仿宋" w:cs="仿宋_GB2312"/>
          <w:kern w:val="2"/>
          <w:sz w:val="32"/>
          <w:szCs w:val="32"/>
        </w:rPr>
        <w:t>（</w:t>
      </w:r>
      <w:r>
        <w:rPr>
          <w:rFonts w:hint="eastAsia" w:ascii="仿宋" w:hAnsi="仿宋" w:eastAsia="仿宋" w:cs="仿宋_GB2312"/>
          <w:kern w:val="2"/>
          <w:sz w:val="32"/>
          <w:szCs w:val="32"/>
        </w:rPr>
        <w:t>八</w:t>
      </w:r>
      <w:r>
        <w:rPr>
          <w:rFonts w:ascii="仿宋" w:hAnsi="仿宋" w:eastAsia="仿宋" w:cs="仿宋_GB2312"/>
          <w:kern w:val="2"/>
          <w:sz w:val="32"/>
          <w:szCs w:val="32"/>
        </w:rPr>
        <w:t>）检测机构</w:t>
      </w:r>
      <w:r>
        <w:rPr>
          <w:rFonts w:hint="eastAsia" w:ascii="仿宋" w:hAnsi="仿宋" w:eastAsia="仿宋" w:cs="仿宋_GB2312"/>
          <w:kern w:val="2"/>
          <w:sz w:val="32"/>
          <w:szCs w:val="32"/>
        </w:rPr>
        <w:t>应有完善的信息化管理系统，</w:t>
      </w:r>
      <w:r>
        <w:rPr>
          <w:rFonts w:ascii="仿宋" w:hAnsi="仿宋" w:eastAsia="仿宋" w:cs="仿宋_GB2312"/>
          <w:kern w:val="2"/>
          <w:sz w:val="32"/>
          <w:szCs w:val="32"/>
        </w:rPr>
        <w:t>应当具有保障安全性、完整性、正确性措施</w:t>
      </w:r>
      <w:r>
        <w:rPr>
          <w:rFonts w:hint="eastAsia" w:ascii="仿宋" w:hAnsi="仿宋" w:eastAsia="仿宋" w:cs="仿宋_GB2312"/>
          <w:kern w:val="2"/>
          <w:sz w:val="32"/>
          <w:szCs w:val="32"/>
        </w:rPr>
        <w:t>，确保质量检测活动全过程可追溯。</w:t>
      </w:r>
    </w:p>
    <w:p>
      <w:pPr>
        <w:pStyle w:val="6"/>
        <w:shd w:val="clear" w:color="auto" w:fill="FFFFFF"/>
        <w:spacing w:beforeAutospacing="0" w:afterAutospacing="0" w:line="274" w:lineRule="atLeast"/>
        <w:ind w:firstLine="624"/>
        <w:jc w:val="both"/>
        <w:rPr>
          <w:rFonts w:ascii="仿宋" w:hAnsi="仿宋" w:eastAsia="仿宋" w:cs="仿宋_GB2312"/>
          <w:kern w:val="2"/>
          <w:sz w:val="32"/>
          <w:szCs w:val="32"/>
        </w:rPr>
      </w:pPr>
    </w:p>
    <w:p>
      <w:pPr>
        <w:spacing w:line="480" w:lineRule="auto"/>
        <w:jc w:val="center"/>
        <w:rPr>
          <w:rFonts w:ascii="仿宋" w:hAnsi="仿宋" w:eastAsia="仿宋" w:cs="仿宋_GB2312"/>
          <w:sz w:val="32"/>
          <w:szCs w:val="32"/>
        </w:rPr>
      </w:pPr>
      <w:r>
        <w:rPr>
          <w:rFonts w:hint="eastAsia" w:ascii="黑体" w:hAnsi="黑体" w:eastAsia="黑体" w:cs="黑体"/>
          <w:sz w:val="36"/>
          <w:szCs w:val="36"/>
        </w:rPr>
        <w:t>第三章 专家评审</w:t>
      </w:r>
    </w:p>
    <w:p>
      <w:pPr>
        <w:pStyle w:val="6"/>
        <w:shd w:val="clear" w:color="auto" w:fill="FFFFFF"/>
        <w:spacing w:beforeAutospacing="0" w:afterAutospacing="0" w:line="274" w:lineRule="atLeast"/>
        <w:ind w:firstLine="640" w:firstLineChars="200"/>
        <w:jc w:val="both"/>
        <w:rPr>
          <w:rFonts w:ascii="仿宋" w:hAnsi="仿宋" w:eastAsia="仿宋" w:cs="仿宋_GB2312"/>
          <w:strike/>
          <w:kern w:val="2"/>
          <w:sz w:val="32"/>
          <w:szCs w:val="32"/>
          <w:highlight w:val="red"/>
        </w:rPr>
      </w:pPr>
      <w:r>
        <w:rPr>
          <w:rFonts w:hint="eastAsia" w:ascii="黑体" w:hAnsi="黑体" w:eastAsia="黑体" w:cs="黑体"/>
          <w:kern w:val="2"/>
          <w:sz w:val="32"/>
          <w:szCs w:val="32"/>
        </w:rPr>
        <w:t>第十</w:t>
      </w: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条</w:t>
      </w:r>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评审方式</w:t>
      </w:r>
      <w:r>
        <w:rPr>
          <w:rFonts w:hint="eastAsia" w:ascii="仿宋" w:hAnsi="仿宋" w:eastAsia="仿宋" w:cs="仿宋_GB2312"/>
          <w:kern w:val="2"/>
          <w:sz w:val="32"/>
          <w:szCs w:val="32"/>
        </w:rPr>
        <w:t>】</w:t>
      </w:r>
      <w:r>
        <w:rPr>
          <w:rFonts w:ascii="仿宋" w:hAnsi="仿宋" w:eastAsia="仿宋" w:cs="仿宋_GB2312"/>
          <w:kern w:val="2"/>
          <w:sz w:val="32"/>
          <w:szCs w:val="32"/>
        </w:rPr>
        <w:t>检测机构资质</w:t>
      </w:r>
      <w:r>
        <w:rPr>
          <w:rFonts w:hint="eastAsia" w:ascii="仿宋" w:hAnsi="仿宋" w:eastAsia="仿宋" w:cs="仿宋_GB2312"/>
          <w:kern w:val="2"/>
          <w:sz w:val="32"/>
          <w:szCs w:val="32"/>
        </w:rPr>
        <w:t>专家</w:t>
      </w:r>
      <w:r>
        <w:rPr>
          <w:rFonts w:ascii="仿宋" w:hAnsi="仿宋" w:eastAsia="仿宋" w:cs="仿宋_GB2312"/>
          <w:kern w:val="2"/>
          <w:sz w:val="32"/>
          <w:szCs w:val="32"/>
        </w:rPr>
        <w:t>评审方式包括：现场评审</w:t>
      </w:r>
      <w:r>
        <w:rPr>
          <w:rFonts w:hint="eastAsia" w:ascii="仿宋" w:hAnsi="仿宋" w:eastAsia="仿宋" w:cs="仿宋_GB2312"/>
          <w:kern w:val="2"/>
          <w:sz w:val="32"/>
          <w:szCs w:val="32"/>
        </w:rPr>
        <w:t>和</w:t>
      </w:r>
      <w:r>
        <w:rPr>
          <w:rFonts w:ascii="仿宋" w:hAnsi="仿宋" w:eastAsia="仿宋" w:cs="仿宋_GB2312"/>
          <w:kern w:val="2"/>
          <w:sz w:val="32"/>
          <w:szCs w:val="32"/>
        </w:rPr>
        <w:t>书面</w:t>
      </w:r>
      <w:r>
        <w:rPr>
          <w:rFonts w:hint="eastAsia" w:ascii="仿宋" w:hAnsi="仿宋" w:eastAsia="仿宋" w:cs="仿宋_GB2312"/>
          <w:kern w:val="2"/>
          <w:sz w:val="32"/>
          <w:szCs w:val="32"/>
        </w:rPr>
        <w:t>评审。</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bookmarkStart w:id="11" w:name="_Hlk146741757"/>
      <w:r>
        <w:rPr>
          <w:rFonts w:hint="eastAsia" w:ascii="黑体" w:hAnsi="黑体" w:eastAsia="黑体" w:cs="黑体"/>
          <w:kern w:val="2"/>
          <w:sz w:val="32"/>
          <w:szCs w:val="32"/>
        </w:rPr>
        <w:t>第十四条</w:t>
      </w:r>
      <w:r>
        <w:rPr>
          <w:rFonts w:hint="eastAsia" w:ascii="仿宋" w:hAnsi="仿宋" w:eastAsia="仿宋" w:cs="仿宋_GB2312"/>
          <w:kern w:val="2"/>
          <w:sz w:val="32"/>
          <w:szCs w:val="32"/>
        </w:rPr>
        <w:t>【</w:t>
      </w:r>
      <w:r>
        <w:rPr>
          <w:rFonts w:hint="eastAsia" w:ascii="仿宋" w:hAnsi="仿宋" w:eastAsia="仿宋" w:cs="仿宋_GB2312"/>
          <w:color w:val="00B0F0"/>
          <w:kern w:val="2"/>
          <w:sz w:val="32"/>
          <w:szCs w:val="32"/>
        </w:rPr>
        <w:t>现场评审</w:t>
      </w:r>
      <w:r>
        <w:rPr>
          <w:rFonts w:hint="eastAsia" w:ascii="仿宋" w:hAnsi="仿宋" w:eastAsia="仿宋" w:cs="仿宋_GB2312"/>
          <w:kern w:val="2"/>
          <w:sz w:val="32"/>
          <w:szCs w:val="32"/>
        </w:rPr>
        <w:t>】</w:t>
      </w:r>
      <w:bookmarkEnd w:id="11"/>
      <w:r>
        <w:rPr>
          <w:rFonts w:ascii="仿宋" w:hAnsi="仿宋" w:eastAsia="仿宋" w:cs="仿宋_GB2312"/>
          <w:kern w:val="2"/>
          <w:sz w:val="32"/>
          <w:szCs w:val="32"/>
        </w:rPr>
        <w:t>现场评审适用于</w:t>
      </w:r>
      <w:r>
        <w:rPr>
          <w:rFonts w:hint="eastAsia" w:ascii="仿宋" w:hAnsi="仿宋" w:eastAsia="仿宋" w:cs="仿宋_GB2312"/>
          <w:kern w:val="2"/>
          <w:sz w:val="32"/>
          <w:szCs w:val="32"/>
        </w:rPr>
        <w:t>初次申请</w:t>
      </w:r>
      <w:r>
        <w:rPr>
          <w:rFonts w:ascii="仿宋" w:hAnsi="仿宋" w:eastAsia="仿宋" w:cs="仿宋_GB2312"/>
          <w:kern w:val="2"/>
          <w:sz w:val="32"/>
          <w:szCs w:val="32"/>
        </w:rPr>
        <w:t>、</w:t>
      </w:r>
      <w:r>
        <w:rPr>
          <w:rFonts w:hint="eastAsia" w:ascii="仿宋" w:hAnsi="仿宋" w:eastAsia="仿宋" w:cs="仿宋_GB2312"/>
          <w:kern w:val="2"/>
          <w:sz w:val="32"/>
          <w:szCs w:val="32"/>
        </w:rPr>
        <w:t>资质增项</w:t>
      </w:r>
      <w:r>
        <w:rPr>
          <w:rFonts w:ascii="仿宋" w:hAnsi="仿宋" w:eastAsia="仿宋" w:cs="仿宋_GB2312"/>
          <w:kern w:val="2"/>
          <w:sz w:val="32"/>
          <w:szCs w:val="32"/>
        </w:rPr>
        <w:t>、</w:t>
      </w:r>
      <w:r>
        <w:rPr>
          <w:rFonts w:hint="eastAsia" w:ascii="仿宋" w:hAnsi="仿宋" w:eastAsia="仿宋" w:cs="仿宋_GB2312"/>
          <w:kern w:val="2"/>
          <w:sz w:val="32"/>
          <w:szCs w:val="32"/>
        </w:rPr>
        <w:t>变更、</w:t>
      </w:r>
      <w:r>
        <w:rPr>
          <w:rFonts w:ascii="仿宋" w:hAnsi="仿宋" w:eastAsia="仿宋" w:cs="仿宋_GB2312"/>
          <w:kern w:val="2"/>
          <w:sz w:val="32"/>
          <w:szCs w:val="32"/>
        </w:rPr>
        <w:t>复查换证评审、</w:t>
      </w:r>
      <w:r>
        <w:rPr>
          <w:rFonts w:hint="eastAsia" w:ascii="仿宋" w:hAnsi="仿宋" w:eastAsia="仿宋" w:cs="仿宋_GB2312"/>
          <w:kern w:val="2"/>
          <w:sz w:val="32"/>
          <w:szCs w:val="32"/>
        </w:rPr>
        <w:t>机构重组（改制）变更等情形</w:t>
      </w:r>
      <w:r>
        <w:rPr>
          <w:rFonts w:ascii="仿宋" w:hAnsi="仿宋" w:eastAsia="仿宋" w:cs="仿宋_GB2312"/>
          <w:kern w:val="2"/>
          <w:sz w:val="32"/>
          <w:szCs w:val="32"/>
        </w:rPr>
        <w:t>。</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现场评审结论分为“符合”“基本符合”“不符合”三种。</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hint="eastAsia" w:ascii="黑体" w:hAnsi="黑体" w:eastAsia="黑体" w:cs="黑体"/>
          <w:kern w:val="2"/>
          <w:sz w:val="32"/>
          <w:szCs w:val="32"/>
        </w:rPr>
        <w:t>第十五条</w:t>
      </w:r>
      <w:r>
        <w:rPr>
          <w:rFonts w:hint="eastAsia" w:ascii="仿宋" w:hAnsi="仿宋" w:eastAsia="仿宋" w:cs="仿宋_GB2312"/>
          <w:b/>
          <w:bCs/>
          <w:kern w:val="2"/>
          <w:sz w:val="32"/>
          <w:szCs w:val="32"/>
        </w:rPr>
        <w:t>【</w:t>
      </w:r>
      <w:r>
        <w:rPr>
          <w:rFonts w:hint="eastAsia" w:ascii="仿宋" w:hAnsi="仿宋" w:eastAsia="仿宋" w:cs="仿宋_GB2312"/>
          <w:color w:val="00B0F0"/>
          <w:kern w:val="2"/>
          <w:sz w:val="32"/>
          <w:szCs w:val="32"/>
        </w:rPr>
        <w:t>书面评审</w:t>
      </w:r>
      <w:r>
        <w:rPr>
          <w:rFonts w:hint="eastAsia" w:ascii="仿宋" w:hAnsi="仿宋" w:eastAsia="仿宋" w:cs="仿宋_GB2312"/>
          <w:b/>
          <w:bCs/>
          <w:kern w:val="2"/>
          <w:sz w:val="32"/>
          <w:szCs w:val="32"/>
        </w:rPr>
        <w:t>】</w:t>
      </w:r>
      <w:r>
        <w:rPr>
          <w:rFonts w:ascii="仿宋" w:hAnsi="仿宋" w:eastAsia="仿宋" w:cs="仿宋_GB2312"/>
          <w:kern w:val="2"/>
          <w:sz w:val="32"/>
          <w:szCs w:val="32"/>
        </w:rPr>
        <w:t>书面</w:t>
      </w:r>
      <w:r>
        <w:rPr>
          <w:rFonts w:hint="eastAsia" w:ascii="仿宋" w:hAnsi="仿宋" w:eastAsia="仿宋" w:cs="仿宋_GB2312"/>
          <w:kern w:val="2"/>
          <w:sz w:val="32"/>
          <w:szCs w:val="32"/>
        </w:rPr>
        <w:t>评审</w:t>
      </w:r>
      <w:r>
        <w:rPr>
          <w:rFonts w:ascii="仿宋" w:hAnsi="仿宋" w:eastAsia="仿宋" w:cs="仿宋_GB2312"/>
          <w:kern w:val="2"/>
          <w:sz w:val="32"/>
          <w:szCs w:val="32"/>
        </w:rPr>
        <w:t>适用于已获资质</w:t>
      </w:r>
      <w:r>
        <w:rPr>
          <w:rFonts w:hint="eastAsia" w:ascii="仿宋" w:hAnsi="仿宋" w:eastAsia="仿宋" w:cs="仿宋_GB2312"/>
          <w:kern w:val="2"/>
          <w:sz w:val="32"/>
          <w:szCs w:val="32"/>
        </w:rPr>
        <w:t>许可，进行</w:t>
      </w:r>
      <w:r>
        <w:rPr>
          <w:rFonts w:ascii="仿宋" w:hAnsi="仿宋" w:eastAsia="仿宋" w:cs="仿宋_GB2312"/>
          <w:kern w:val="2"/>
          <w:sz w:val="32"/>
          <w:szCs w:val="32"/>
        </w:rPr>
        <w:t>技术能力内的少量参数扩项或变更</w:t>
      </w:r>
      <w:r>
        <w:rPr>
          <w:rFonts w:hint="eastAsia" w:ascii="仿宋" w:hAnsi="仿宋" w:eastAsia="仿宋" w:cs="仿宋_GB2312"/>
          <w:kern w:val="2"/>
          <w:sz w:val="32"/>
          <w:szCs w:val="32"/>
        </w:rPr>
        <w:t>、人员变更</w:t>
      </w:r>
      <w:r>
        <w:rPr>
          <w:rFonts w:ascii="仿宋" w:hAnsi="仿宋" w:eastAsia="仿宋" w:cs="仿宋_GB2312"/>
          <w:kern w:val="2"/>
          <w:sz w:val="32"/>
          <w:szCs w:val="32"/>
        </w:rPr>
        <w:t>（不影响其符合资质认定条件和要求）和上一许可周期内无违法违规行为、未列入失信名单且申请事项无实质性变化</w:t>
      </w:r>
      <w:r>
        <w:rPr>
          <w:rFonts w:hint="eastAsia" w:ascii="仿宋" w:hAnsi="仿宋" w:eastAsia="仿宋" w:cs="仿宋_GB2312"/>
          <w:kern w:val="2"/>
          <w:sz w:val="32"/>
          <w:szCs w:val="32"/>
        </w:rPr>
        <w:t>等情形</w:t>
      </w:r>
      <w:r>
        <w:rPr>
          <w:rFonts w:ascii="仿宋" w:hAnsi="仿宋" w:eastAsia="仿宋" w:cs="仿宋_GB2312"/>
          <w:kern w:val="2"/>
          <w:sz w:val="32"/>
          <w:szCs w:val="32"/>
        </w:rPr>
        <w:t>。</w:t>
      </w:r>
    </w:p>
    <w:p>
      <w:pPr>
        <w:pStyle w:val="6"/>
        <w:shd w:val="clear" w:color="auto" w:fill="FFFFFF"/>
        <w:spacing w:beforeAutospacing="0" w:afterAutospacing="0" w:line="274" w:lineRule="atLeast"/>
        <w:ind w:firstLine="640" w:firstLineChars="200"/>
        <w:jc w:val="both"/>
        <w:rPr>
          <w:rFonts w:ascii="仿宋" w:hAnsi="仿宋" w:eastAsia="仿宋" w:cs="仿宋_GB2312"/>
          <w:kern w:val="2"/>
          <w:sz w:val="32"/>
          <w:szCs w:val="32"/>
        </w:rPr>
      </w:pPr>
      <w:r>
        <w:rPr>
          <w:rFonts w:ascii="仿宋" w:hAnsi="仿宋" w:eastAsia="仿宋" w:cs="仿宋_GB2312"/>
          <w:kern w:val="2"/>
          <w:sz w:val="32"/>
          <w:szCs w:val="32"/>
        </w:rPr>
        <w:t>书面审查结论分为“符合”“不符合”两种。</w:t>
      </w:r>
    </w:p>
    <w:p>
      <w:pPr>
        <w:spacing w:line="360" w:lineRule="auto"/>
        <w:ind w:firstLine="640" w:firstLineChars="200"/>
        <w:rPr>
          <w:rFonts w:ascii="仿宋" w:hAnsi="仿宋" w:eastAsia="仿宋" w:cs="仿宋_GB2312"/>
          <w:sz w:val="32"/>
          <w:szCs w:val="32"/>
          <w:highlight w:val="blue"/>
        </w:rPr>
      </w:pPr>
      <w:r>
        <w:rPr>
          <w:rFonts w:hint="eastAsia" w:ascii="黑体" w:hAnsi="黑体" w:eastAsia="黑体" w:cs="黑体"/>
          <w:sz w:val="32"/>
          <w:szCs w:val="32"/>
        </w:rPr>
        <w:t>第十六条</w:t>
      </w:r>
      <w:r>
        <w:rPr>
          <w:rFonts w:hint="eastAsia" w:ascii="仿宋" w:hAnsi="仿宋" w:eastAsia="仿宋" w:cs="仿宋_GB2312"/>
          <w:sz w:val="32"/>
          <w:szCs w:val="32"/>
        </w:rPr>
        <w:t>【</w:t>
      </w:r>
      <w:r>
        <w:rPr>
          <w:rFonts w:hint="eastAsia" w:ascii="仿宋" w:hAnsi="仿宋" w:eastAsia="仿宋" w:cs="仿宋_GB2312"/>
          <w:color w:val="00B0F0"/>
          <w:sz w:val="32"/>
          <w:szCs w:val="32"/>
        </w:rPr>
        <w:t>组建评审组</w:t>
      </w:r>
      <w:r>
        <w:rPr>
          <w:rFonts w:hint="eastAsia" w:ascii="仿宋" w:hAnsi="仿宋" w:eastAsia="仿宋" w:cs="仿宋_GB2312"/>
          <w:sz w:val="32"/>
          <w:szCs w:val="32"/>
        </w:rPr>
        <w:t>】省住建厅根据检测机构申请的专业、类别和检测项目，按照专业覆盖和回避原则，从评审专家库中随机或选择评审组长和评审专家，组成评审组。评审组中同一检测机构专家原则上不得多于两名。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评审组由2人及以上专家组成，设组长1名（以下称评审组长）。每个申请检测项目应至少保证有一名专业或相关专业专家。</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第十七条</w:t>
      </w:r>
      <w:r>
        <w:rPr>
          <w:rFonts w:hint="eastAsia" w:ascii="仿宋" w:hAnsi="仿宋" w:eastAsia="仿宋" w:cs="仿宋_GB2312"/>
          <w:sz w:val="32"/>
          <w:szCs w:val="32"/>
        </w:rPr>
        <w:t>【</w:t>
      </w:r>
      <w:r>
        <w:rPr>
          <w:rFonts w:hint="eastAsia" w:ascii="仿宋" w:hAnsi="仿宋" w:eastAsia="仿宋" w:cs="仿宋_GB2312"/>
          <w:color w:val="00B0F0"/>
          <w:sz w:val="32"/>
          <w:szCs w:val="32"/>
        </w:rPr>
        <w:t>工作要求</w:t>
      </w:r>
      <w:r>
        <w:rPr>
          <w:rFonts w:hint="eastAsia" w:ascii="仿宋" w:hAnsi="仿宋" w:eastAsia="仿宋" w:cs="仿宋_GB2312"/>
          <w:sz w:val="32"/>
          <w:szCs w:val="32"/>
        </w:rPr>
        <w:t>】评审组应在规定时限内完成各项专家评审工作，如实上报评审结果，并对评审结果负责。</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第十八条</w:t>
      </w:r>
      <w:r>
        <w:rPr>
          <w:rFonts w:hint="eastAsia" w:ascii="仿宋" w:hAnsi="仿宋" w:eastAsia="仿宋" w:cs="仿宋_GB2312"/>
          <w:sz w:val="32"/>
          <w:szCs w:val="32"/>
        </w:rPr>
        <w:t>【</w:t>
      </w:r>
      <w:r>
        <w:rPr>
          <w:rFonts w:hint="eastAsia" w:ascii="仿宋" w:hAnsi="仿宋" w:eastAsia="仿宋" w:cs="仿宋_GB2312"/>
          <w:color w:val="00B0F0"/>
          <w:sz w:val="32"/>
          <w:szCs w:val="32"/>
        </w:rPr>
        <w:t>预备会议</w:t>
      </w:r>
      <w:r>
        <w:rPr>
          <w:rFonts w:hint="eastAsia" w:ascii="仿宋" w:hAnsi="仿宋" w:eastAsia="仿宋" w:cs="仿宋_GB2312"/>
          <w:sz w:val="32"/>
          <w:szCs w:val="32"/>
        </w:rPr>
        <w:t>】评审组长在开展现场评审前应召开全体评审组成员参加的预备会。必要时，可邀请被评审机构代表列席。会议主要内容应明确现场评审计划、专家分工、抽取现场考核参数和</w:t>
      </w:r>
      <w:r>
        <w:rPr>
          <w:rFonts w:hint="eastAsia" w:ascii="仿宋" w:hAnsi="仿宋" w:eastAsia="仿宋" w:cs="仿宋_GB2312"/>
          <w:sz w:val="32"/>
          <w:szCs w:val="32"/>
          <w:lang w:eastAsia="zh-CN"/>
        </w:rPr>
        <w:t>试验操作人员</w:t>
      </w:r>
      <w:r>
        <w:rPr>
          <w:rFonts w:hint="eastAsia" w:ascii="仿宋" w:hAnsi="仿宋" w:eastAsia="仿宋" w:cs="仿宋_GB2312"/>
          <w:sz w:val="32"/>
          <w:szCs w:val="32"/>
        </w:rPr>
        <w:t>等，并提出现场评审工作要求。</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第十九条</w:t>
      </w:r>
      <w:r>
        <w:rPr>
          <w:rFonts w:hint="eastAsia" w:ascii="仿宋" w:hAnsi="仿宋" w:eastAsia="仿宋" w:cs="仿宋_GB2312"/>
          <w:sz w:val="32"/>
          <w:szCs w:val="32"/>
        </w:rPr>
        <w:t>【</w:t>
      </w:r>
      <w:r>
        <w:rPr>
          <w:rFonts w:hint="eastAsia" w:ascii="仿宋" w:hAnsi="仿宋" w:eastAsia="仿宋" w:cs="仿宋_GB2312"/>
          <w:color w:val="00B0F0"/>
          <w:sz w:val="32"/>
          <w:szCs w:val="32"/>
        </w:rPr>
        <w:t>首次会议</w:t>
      </w:r>
      <w:r>
        <w:rPr>
          <w:rFonts w:hint="eastAsia" w:ascii="仿宋" w:hAnsi="仿宋" w:eastAsia="仿宋" w:cs="仿宋_GB2312"/>
          <w:sz w:val="32"/>
          <w:szCs w:val="32"/>
        </w:rPr>
        <w:t>】首次会议由评审组长主持，评审组全体成员和检测机构法定代表人、技术负责人、质量负责人、部门负责人等主要人员参加。首次会议应向检测机构明确现场评审工作安排及有关要求等。</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第二十条</w:t>
      </w:r>
      <w:r>
        <w:rPr>
          <w:rFonts w:hint="eastAsia" w:ascii="仿宋" w:hAnsi="仿宋" w:eastAsia="仿宋" w:cs="仿宋_GB2312"/>
          <w:sz w:val="32"/>
          <w:szCs w:val="32"/>
        </w:rPr>
        <w:t>【</w:t>
      </w:r>
      <w:r>
        <w:rPr>
          <w:rFonts w:hint="eastAsia" w:ascii="仿宋" w:hAnsi="仿宋" w:eastAsia="仿宋" w:cs="仿宋_GB2312"/>
          <w:color w:val="00B0F0"/>
          <w:sz w:val="32"/>
          <w:szCs w:val="32"/>
        </w:rPr>
        <w:t>现场</w:t>
      </w:r>
      <w:bookmarkStart w:id="12" w:name="_Hlk148107671"/>
      <w:r>
        <w:rPr>
          <w:rFonts w:hint="eastAsia" w:ascii="仿宋" w:hAnsi="仿宋" w:eastAsia="仿宋" w:cs="仿宋_GB2312"/>
          <w:color w:val="00B0F0"/>
          <w:sz w:val="32"/>
          <w:szCs w:val="32"/>
        </w:rPr>
        <w:t>考察</w:t>
      </w:r>
      <w:bookmarkEnd w:id="12"/>
      <w:r>
        <w:rPr>
          <w:rFonts w:hint="eastAsia" w:ascii="仿宋" w:hAnsi="仿宋" w:eastAsia="仿宋" w:cs="仿宋_GB2312"/>
          <w:sz w:val="32"/>
          <w:szCs w:val="32"/>
        </w:rPr>
        <w:t>】首次会议结束后，评审组对检测机构的关键场所及工作场地、环境条件、仪器设备、设施等进行现场考察，必要时应对相关检测人员进行提问，并做好记录。</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存在多场所的检测机构，评审组必须对每个场所进行全面的现场考察。</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第二十一条</w:t>
      </w:r>
      <w:r>
        <w:rPr>
          <w:rFonts w:hint="eastAsia" w:ascii="仿宋" w:hAnsi="仿宋" w:eastAsia="仿宋" w:cs="仿宋_GB2312"/>
          <w:sz w:val="32"/>
          <w:szCs w:val="32"/>
        </w:rPr>
        <w:t>【</w:t>
      </w:r>
      <w:r>
        <w:rPr>
          <w:rFonts w:hint="eastAsia" w:ascii="仿宋" w:hAnsi="仿宋" w:eastAsia="仿宋" w:cs="仿宋_GB2312"/>
          <w:color w:val="00B0F0"/>
          <w:sz w:val="32"/>
          <w:szCs w:val="32"/>
        </w:rPr>
        <w:t>评审方法</w:t>
      </w:r>
      <w:r>
        <w:rPr>
          <w:rFonts w:hint="eastAsia" w:ascii="仿宋" w:hAnsi="仿宋" w:eastAsia="仿宋" w:cs="仿宋_GB2312"/>
          <w:sz w:val="32"/>
          <w:szCs w:val="32"/>
        </w:rPr>
        <w:t>】现场评审应按本导则第二章评审内容要求，通过查阅记录、现场试验、现场提问、现场座谈等方式收集客观证据</w:t>
      </w:r>
      <w:r>
        <w:rPr>
          <w:rFonts w:hint="eastAsia" w:ascii="仿宋" w:hAnsi="仿宋" w:eastAsia="仿宋" w:cs="仿宋_GB2312"/>
          <w:color w:val="FF0000"/>
          <w:sz w:val="32"/>
          <w:szCs w:val="32"/>
          <w:lang w:eastAsia="zh-CN"/>
        </w:rPr>
        <w:t>，</w:t>
      </w:r>
      <w:r>
        <w:rPr>
          <w:rFonts w:hint="eastAsia" w:ascii="仿宋" w:hAnsi="仿宋" w:eastAsia="仿宋" w:cs="仿宋_GB2312"/>
          <w:sz w:val="32"/>
          <w:szCs w:val="32"/>
        </w:rPr>
        <w:t>开展现场评审工作。</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第二十二条</w:t>
      </w:r>
      <w:r>
        <w:rPr>
          <w:rFonts w:hint="eastAsia" w:ascii="仿宋" w:hAnsi="仿宋" w:eastAsia="仿宋" w:cs="仿宋_GB2312"/>
          <w:sz w:val="32"/>
          <w:szCs w:val="32"/>
        </w:rPr>
        <w:t>【</w:t>
      </w:r>
      <w:r>
        <w:rPr>
          <w:rFonts w:hint="eastAsia" w:ascii="仿宋" w:hAnsi="仿宋" w:eastAsia="仿宋" w:cs="仿宋_GB2312"/>
          <w:color w:val="00B0F0"/>
          <w:sz w:val="32"/>
          <w:szCs w:val="32"/>
        </w:rPr>
        <w:t>现场试验</w:t>
      </w:r>
      <w:r>
        <w:rPr>
          <w:rFonts w:hint="eastAsia" w:ascii="仿宋" w:hAnsi="仿宋" w:eastAsia="仿宋" w:cs="仿宋_GB2312"/>
          <w:sz w:val="32"/>
          <w:szCs w:val="32"/>
        </w:rPr>
        <w:t>】</w:t>
      </w:r>
      <w:bookmarkStart w:id="13" w:name="_Hlk146810892"/>
      <w:r>
        <w:rPr>
          <w:rFonts w:ascii="仿宋" w:hAnsi="仿宋" w:eastAsia="仿宋" w:cs="仿宋_GB2312"/>
          <w:sz w:val="32"/>
          <w:szCs w:val="32"/>
        </w:rPr>
        <w:t>现场试验项目</w:t>
      </w:r>
      <w:bookmarkEnd w:id="13"/>
      <w:r>
        <w:rPr>
          <w:rFonts w:hint="eastAsia" w:ascii="仿宋" w:hAnsi="仿宋" w:eastAsia="仿宋" w:cs="仿宋_GB2312"/>
          <w:sz w:val="32"/>
          <w:szCs w:val="32"/>
        </w:rPr>
        <w:t>（参数）</w:t>
      </w:r>
      <w:r>
        <w:rPr>
          <w:rFonts w:ascii="仿宋" w:hAnsi="仿宋" w:eastAsia="仿宋" w:cs="仿宋_GB2312"/>
          <w:sz w:val="32"/>
          <w:szCs w:val="32"/>
        </w:rPr>
        <w:t>抽取应具有代表性</w:t>
      </w:r>
      <w:r>
        <w:rPr>
          <w:rFonts w:hint="eastAsia" w:ascii="仿宋" w:hAnsi="仿宋" w:eastAsia="仿宋" w:cs="仿宋_GB2312"/>
          <w:sz w:val="32"/>
          <w:szCs w:val="32"/>
        </w:rPr>
        <w:t>，</w:t>
      </w:r>
      <w:r>
        <w:rPr>
          <w:rFonts w:ascii="仿宋" w:hAnsi="仿宋" w:eastAsia="仿宋" w:cs="仿宋_GB2312"/>
          <w:sz w:val="32"/>
          <w:szCs w:val="32"/>
        </w:rPr>
        <w:t>抽取比例</w:t>
      </w:r>
      <w:r>
        <w:rPr>
          <w:rFonts w:hint="eastAsia" w:ascii="仿宋" w:hAnsi="仿宋" w:eastAsia="仿宋" w:cs="仿宋_GB2312"/>
          <w:sz w:val="32"/>
          <w:szCs w:val="32"/>
        </w:rPr>
        <w:t>应符合以下原则：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属于</w:t>
      </w:r>
      <w:r>
        <w:rPr>
          <w:rFonts w:hint="eastAsia" w:ascii="仿宋" w:hAnsi="仿宋" w:eastAsia="仿宋" w:cs="仿宋_GB2312"/>
          <w:sz w:val="32"/>
          <w:szCs w:val="32"/>
        </w:rPr>
        <w:t>初次/增项等评审项目的，检测项目应做到全覆盖，参数按照</w:t>
      </w:r>
      <w:bookmarkStart w:id="14" w:name="_Hlk146810524"/>
      <w:r>
        <w:rPr>
          <w:rFonts w:hint="eastAsia" w:ascii="仿宋" w:hAnsi="仿宋" w:eastAsia="仿宋" w:cs="仿宋_GB2312"/>
          <w:sz w:val="32"/>
          <w:szCs w:val="32"/>
        </w:rPr>
        <w:t>必备参数</w:t>
      </w:r>
      <w:bookmarkEnd w:id="14"/>
      <w:r>
        <w:rPr>
          <w:rFonts w:hint="eastAsia" w:ascii="仿宋" w:hAnsi="仿宋" w:eastAsia="仿宋" w:cs="仿宋_GB2312"/>
          <w:sz w:val="32"/>
          <w:szCs w:val="32"/>
        </w:rPr>
        <w:t>不少于15%-20%、可选参数不少于10%-15%的比例进行抽取，且应包含具有代表性的重点产品或项目（参数）,并应覆盖其关键仪器设备。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现场试验项目</w:t>
      </w:r>
      <w:r>
        <w:rPr>
          <w:rFonts w:hint="eastAsia" w:ascii="仿宋" w:hAnsi="仿宋" w:eastAsia="仿宋" w:cs="仿宋_GB2312"/>
          <w:sz w:val="32"/>
          <w:szCs w:val="32"/>
        </w:rPr>
        <w:t>应该覆盖检测机构申请的80%以上主要人员。</w:t>
      </w:r>
    </w:p>
    <w:p>
      <w:pPr>
        <w:ind w:firstLine="640" w:firstLineChars="200"/>
        <w:rPr>
          <w:rFonts w:ascii="仿宋" w:hAnsi="仿宋" w:eastAsia="仿宋" w:cs="仿宋_GB2312"/>
          <w:sz w:val="32"/>
          <w:szCs w:val="32"/>
        </w:rPr>
      </w:pPr>
      <w:r>
        <w:rPr>
          <w:rFonts w:hint="eastAsia" w:ascii="黑体" w:hAnsi="黑体" w:eastAsia="黑体" w:cs="黑体"/>
          <w:sz w:val="32"/>
          <w:szCs w:val="32"/>
        </w:rPr>
        <w:t>第二十三条</w:t>
      </w:r>
      <w:r>
        <w:rPr>
          <w:rFonts w:hint="eastAsia" w:ascii="仿宋" w:hAnsi="仿宋" w:eastAsia="仿宋" w:cs="仿宋_GB2312"/>
          <w:sz w:val="32"/>
          <w:szCs w:val="32"/>
        </w:rPr>
        <w:t>【</w:t>
      </w:r>
      <w:r>
        <w:rPr>
          <w:rFonts w:hint="eastAsia" w:ascii="仿宋" w:hAnsi="仿宋" w:eastAsia="仿宋" w:cs="仿宋_GB2312"/>
          <w:color w:val="00B0F0"/>
          <w:sz w:val="32"/>
          <w:szCs w:val="32"/>
        </w:rPr>
        <w:t>评审记录</w:t>
      </w:r>
      <w:r>
        <w:rPr>
          <w:rFonts w:hint="eastAsia" w:ascii="仿宋" w:hAnsi="仿宋" w:eastAsia="仿宋" w:cs="仿宋_GB2312"/>
          <w:sz w:val="32"/>
          <w:szCs w:val="32"/>
        </w:rPr>
        <w:t>】评审组成员应在评审过程中认真做好相关记录，并如实填写《</w:t>
      </w:r>
      <w:bookmarkStart w:id="15" w:name="_Hlk148344269"/>
      <w:r>
        <w:rPr>
          <w:rFonts w:hint="eastAsia" w:ascii="仿宋" w:hAnsi="仿宋" w:eastAsia="仿宋" w:cs="仿宋_GB2312"/>
          <w:sz w:val="32"/>
          <w:szCs w:val="32"/>
        </w:rPr>
        <w:t>建设工程质量检测机构资质许可</w:t>
      </w:r>
      <w:bookmarkEnd w:id="15"/>
      <w:r>
        <w:rPr>
          <w:rFonts w:hint="eastAsia" w:ascii="仿宋" w:hAnsi="仿宋" w:eastAsia="仿宋" w:cs="仿宋_GB2312"/>
          <w:sz w:val="32"/>
          <w:szCs w:val="32"/>
        </w:rPr>
        <w:t>专家现场评审记录》（附件一）（以下简称评审记录）。</w:t>
      </w:r>
    </w:p>
    <w:p>
      <w:pPr>
        <w:spacing w:line="360" w:lineRule="auto"/>
        <w:ind w:firstLine="640" w:firstLineChars="200"/>
        <w:rPr>
          <w:rFonts w:ascii="仿宋" w:hAnsi="仿宋" w:eastAsia="仿宋" w:cs="仿宋_GB2312"/>
          <w:strike/>
          <w:color w:val="FF0000"/>
          <w:sz w:val="32"/>
          <w:szCs w:val="32"/>
        </w:rPr>
      </w:pPr>
      <w:r>
        <w:rPr>
          <w:rFonts w:ascii="仿宋" w:hAnsi="仿宋" w:eastAsia="仿宋" w:cs="仿宋_GB2312"/>
          <w:sz w:val="32"/>
          <w:szCs w:val="32"/>
        </w:rPr>
        <w:t>评审组长负责</w:t>
      </w:r>
      <w:r>
        <w:rPr>
          <w:rFonts w:hint="eastAsia" w:ascii="仿宋" w:hAnsi="仿宋" w:eastAsia="仿宋" w:cs="仿宋_GB2312"/>
          <w:sz w:val="32"/>
          <w:szCs w:val="32"/>
        </w:rPr>
        <w:t>收集</w:t>
      </w:r>
      <w:r>
        <w:rPr>
          <w:rFonts w:ascii="仿宋" w:hAnsi="仿宋" w:eastAsia="仿宋" w:cs="仿宋_GB2312"/>
          <w:sz w:val="32"/>
          <w:szCs w:val="32"/>
        </w:rPr>
        <w:t>汇总</w:t>
      </w:r>
      <w:r>
        <w:rPr>
          <w:rFonts w:hint="eastAsia" w:ascii="仿宋" w:hAnsi="仿宋" w:eastAsia="仿宋" w:cs="仿宋_GB2312"/>
          <w:sz w:val="32"/>
          <w:szCs w:val="32"/>
        </w:rPr>
        <w:t>评审文件、</w:t>
      </w:r>
      <w:r>
        <w:rPr>
          <w:rFonts w:ascii="仿宋" w:hAnsi="仿宋" w:eastAsia="仿宋" w:cs="仿宋_GB2312"/>
          <w:sz w:val="32"/>
          <w:szCs w:val="32"/>
        </w:rPr>
        <w:t>撰写评审组意见，完成</w:t>
      </w:r>
      <w:bookmarkStart w:id="16" w:name="_Hlk146813333"/>
      <w:r>
        <w:rPr>
          <w:rFonts w:hint="eastAsia" w:ascii="仿宋" w:hAnsi="仿宋" w:eastAsia="仿宋" w:cs="仿宋_GB2312"/>
          <w:sz w:val="32"/>
          <w:szCs w:val="32"/>
        </w:rPr>
        <w:t>《建设工程质量检测机构资质许可专家现场评审报告》</w:t>
      </w:r>
      <w:bookmarkEnd w:id="16"/>
      <w:r>
        <w:rPr>
          <w:rFonts w:ascii="仿宋" w:hAnsi="仿宋" w:eastAsia="仿宋" w:cs="仿宋_GB2312"/>
          <w:sz w:val="32"/>
          <w:szCs w:val="32"/>
        </w:rPr>
        <w:t>附录</w:t>
      </w:r>
      <w:r>
        <w:rPr>
          <w:rFonts w:hint="eastAsia" w:ascii="仿宋" w:hAnsi="仿宋" w:eastAsia="仿宋" w:cs="仿宋_GB2312"/>
          <w:sz w:val="32"/>
          <w:szCs w:val="32"/>
        </w:rPr>
        <w:t>二</w:t>
      </w:r>
      <w:r>
        <w:rPr>
          <w:rFonts w:ascii="仿宋" w:hAnsi="仿宋" w:eastAsia="仿宋" w:cs="仿宋_GB2312"/>
          <w:sz w:val="32"/>
          <w:szCs w:val="32"/>
        </w:rPr>
        <w:t>）</w:t>
      </w:r>
      <w:r>
        <w:rPr>
          <w:rFonts w:hint="eastAsia" w:ascii="仿宋" w:hAnsi="仿宋" w:eastAsia="仿宋" w:cs="仿宋_GB2312"/>
          <w:sz w:val="32"/>
          <w:szCs w:val="32"/>
        </w:rPr>
        <w:t>（以下简称评审报告）</w:t>
      </w:r>
      <w:r>
        <w:rPr>
          <w:rFonts w:ascii="仿宋" w:hAnsi="仿宋" w:eastAsia="仿宋" w:cs="仿宋_GB2312"/>
          <w:sz w:val="32"/>
          <w:szCs w:val="32"/>
        </w:rPr>
        <w:t>。</w:t>
      </w:r>
    </w:p>
    <w:p>
      <w:pPr>
        <w:spacing w:line="360" w:lineRule="auto"/>
        <w:ind w:firstLine="640" w:firstLineChars="200"/>
        <w:rPr>
          <w:rFonts w:ascii="仿宋" w:hAnsi="仿宋" w:eastAsia="仿宋" w:cs="仿宋_GB2312"/>
          <w:sz w:val="32"/>
          <w:szCs w:val="32"/>
        </w:rPr>
      </w:pPr>
      <w:bookmarkStart w:id="17" w:name="_Hlk146813388"/>
      <w:r>
        <w:rPr>
          <w:rFonts w:hint="eastAsia" w:ascii="黑体" w:hAnsi="黑体" w:eastAsia="黑体" w:cs="黑体"/>
          <w:sz w:val="32"/>
          <w:szCs w:val="32"/>
        </w:rPr>
        <w:t>第二十四条</w:t>
      </w:r>
      <w:bookmarkEnd w:id="17"/>
      <w:r>
        <w:rPr>
          <w:rFonts w:ascii="仿宋" w:hAnsi="仿宋" w:eastAsia="仿宋" w:cs="仿宋_GB2312"/>
          <w:sz w:val="32"/>
          <w:szCs w:val="32"/>
        </w:rPr>
        <w:t xml:space="preserve"> </w:t>
      </w:r>
      <w:bookmarkStart w:id="18" w:name="_Hlk146807989"/>
      <w:r>
        <w:rPr>
          <w:rFonts w:hint="eastAsia" w:ascii="仿宋" w:hAnsi="仿宋" w:eastAsia="仿宋" w:cs="仿宋_GB2312"/>
          <w:sz w:val="32"/>
          <w:szCs w:val="32"/>
        </w:rPr>
        <w:t>【</w:t>
      </w:r>
      <w:r>
        <w:rPr>
          <w:rFonts w:hint="eastAsia" w:ascii="仿宋" w:hAnsi="仿宋" w:eastAsia="仿宋" w:cs="仿宋_GB2312"/>
          <w:color w:val="00B0F0"/>
          <w:sz w:val="32"/>
          <w:szCs w:val="32"/>
        </w:rPr>
        <w:t>末次会议</w:t>
      </w:r>
      <w:r>
        <w:rPr>
          <w:rFonts w:hint="eastAsia" w:ascii="仿宋" w:hAnsi="仿宋" w:eastAsia="仿宋" w:cs="仿宋_GB2312"/>
          <w:sz w:val="32"/>
          <w:szCs w:val="32"/>
        </w:rPr>
        <w:t>】现场评审结束前，应由</w:t>
      </w:r>
      <w:r>
        <w:rPr>
          <w:rFonts w:ascii="仿宋" w:hAnsi="仿宋" w:eastAsia="仿宋" w:cs="仿宋_GB2312"/>
          <w:sz w:val="32"/>
          <w:szCs w:val="32"/>
        </w:rPr>
        <w:t>评审组长</w:t>
      </w:r>
      <w:r>
        <w:rPr>
          <w:rFonts w:hint="eastAsia" w:ascii="仿宋" w:hAnsi="仿宋" w:eastAsia="仿宋" w:cs="仿宋_GB2312"/>
          <w:sz w:val="32"/>
          <w:szCs w:val="32"/>
        </w:rPr>
        <w:t>召集</w:t>
      </w:r>
      <w:r>
        <w:rPr>
          <w:rFonts w:ascii="仿宋" w:hAnsi="仿宋" w:eastAsia="仿宋" w:cs="仿宋_GB2312"/>
          <w:sz w:val="32"/>
          <w:szCs w:val="32"/>
        </w:rPr>
        <w:t>末次会议，</w:t>
      </w:r>
      <w:r>
        <w:rPr>
          <w:rFonts w:hint="eastAsia" w:ascii="仿宋" w:hAnsi="仿宋" w:eastAsia="仿宋" w:cs="仿宋_GB2312"/>
          <w:sz w:val="32"/>
          <w:szCs w:val="32"/>
        </w:rPr>
        <w:t>向检测机构宣布评审组意见，提出对不符合项、基本符合项的整改要求及具体的整改时限和途径。末次会议由</w:t>
      </w:r>
      <w:r>
        <w:rPr>
          <w:rFonts w:ascii="仿宋" w:hAnsi="仿宋" w:eastAsia="仿宋" w:cs="仿宋_GB2312"/>
          <w:sz w:val="32"/>
          <w:szCs w:val="32"/>
        </w:rPr>
        <w:t>评审组全体成员参加，</w:t>
      </w:r>
      <w:r>
        <w:rPr>
          <w:rFonts w:hint="eastAsia" w:ascii="仿宋" w:hAnsi="仿宋" w:eastAsia="仿宋" w:cs="仿宋_GB2312"/>
          <w:sz w:val="32"/>
          <w:szCs w:val="32"/>
        </w:rPr>
        <w:t>检测</w:t>
      </w:r>
      <w:r>
        <w:rPr>
          <w:rFonts w:ascii="仿宋" w:hAnsi="仿宋" w:eastAsia="仿宋" w:cs="仿宋_GB2312"/>
          <w:sz w:val="32"/>
          <w:szCs w:val="32"/>
        </w:rPr>
        <w:t>机构</w:t>
      </w:r>
      <w:r>
        <w:rPr>
          <w:rFonts w:hint="eastAsia" w:ascii="仿宋" w:hAnsi="仿宋" w:eastAsia="仿宋" w:cs="仿宋_GB2312"/>
          <w:sz w:val="32"/>
          <w:szCs w:val="32"/>
        </w:rPr>
        <w:t>法定代表人、技术负责人、质量负责人和报告批准人等主要人员</w:t>
      </w:r>
      <w:r>
        <w:rPr>
          <w:rFonts w:ascii="仿宋" w:hAnsi="仿宋" w:eastAsia="仿宋" w:cs="仿宋_GB2312"/>
          <w:sz w:val="32"/>
          <w:szCs w:val="32"/>
        </w:rPr>
        <w:t>参加</w:t>
      </w:r>
      <w:r>
        <w:rPr>
          <w:rFonts w:hint="eastAsia" w:ascii="仿宋" w:hAnsi="仿宋" w:eastAsia="仿宋" w:cs="仿宋_GB2312"/>
          <w:sz w:val="32"/>
          <w:szCs w:val="32"/>
        </w:rPr>
        <w:t>。</w:t>
      </w:r>
    </w:p>
    <w:bookmarkEnd w:id="18"/>
    <w:p>
      <w:pPr>
        <w:spacing w:line="360" w:lineRule="auto"/>
        <w:ind w:firstLine="640" w:firstLineChars="200"/>
        <w:rPr>
          <w:rFonts w:ascii="仿宋" w:hAnsi="仿宋" w:eastAsia="仿宋" w:cs="仿宋_GB2312"/>
          <w:strike/>
          <w:sz w:val="32"/>
          <w:szCs w:val="32"/>
          <w:highlight w:val="red"/>
        </w:rPr>
      </w:pPr>
      <w:r>
        <w:rPr>
          <w:rFonts w:hint="eastAsia" w:ascii="黑体" w:hAnsi="黑体" w:eastAsia="黑体" w:cs="黑体"/>
          <w:sz w:val="32"/>
          <w:szCs w:val="32"/>
        </w:rPr>
        <w:t>第二十五条</w:t>
      </w:r>
      <w:r>
        <w:rPr>
          <w:rFonts w:hint="eastAsia" w:ascii="仿宋" w:hAnsi="仿宋" w:eastAsia="仿宋" w:cs="仿宋_GB2312"/>
          <w:sz w:val="32"/>
          <w:szCs w:val="32"/>
        </w:rPr>
        <w:t>【</w:t>
      </w:r>
      <w:r>
        <w:rPr>
          <w:rFonts w:hint="eastAsia" w:ascii="仿宋" w:hAnsi="仿宋" w:eastAsia="仿宋" w:cs="仿宋_GB2312"/>
          <w:color w:val="00B0F0"/>
          <w:sz w:val="32"/>
          <w:szCs w:val="32"/>
        </w:rPr>
        <w:t>评审报告</w:t>
      </w:r>
      <w:r>
        <w:rPr>
          <w:rFonts w:hint="eastAsia" w:ascii="仿宋" w:hAnsi="仿宋" w:eastAsia="仿宋" w:cs="仿宋_GB2312"/>
          <w:sz w:val="32"/>
          <w:szCs w:val="32"/>
        </w:rPr>
        <w:t>】</w:t>
      </w:r>
      <w:r>
        <w:rPr>
          <w:rFonts w:ascii="仿宋" w:hAnsi="仿宋" w:eastAsia="仿宋" w:cs="仿宋_GB2312"/>
          <w:sz w:val="32"/>
          <w:szCs w:val="32"/>
        </w:rPr>
        <w:t>末次会议</w:t>
      </w:r>
      <w:r>
        <w:rPr>
          <w:rFonts w:hint="eastAsia" w:ascii="仿宋" w:hAnsi="仿宋" w:eastAsia="仿宋" w:cs="仿宋_GB2312"/>
          <w:sz w:val="32"/>
          <w:szCs w:val="32"/>
        </w:rPr>
        <w:t>结束后，</w:t>
      </w:r>
      <w:r>
        <w:rPr>
          <w:rFonts w:ascii="仿宋" w:hAnsi="仿宋" w:eastAsia="仿宋" w:cs="仿宋_GB2312"/>
          <w:sz w:val="32"/>
          <w:szCs w:val="32"/>
        </w:rPr>
        <w:t>评审组全体成员</w:t>
      </w:r>
      <w:r>
        <w:rPr>
          <w:rFonts w:hint="eastAsia" w:ascii="仿宋" w:hAnsi="仿宋" w:eastAsia="仿宋" w:cs="仿宋_GB2312"/>
          <w:sz w:val="32"/>
          <w:szCs w:val="32"/>
        </w:rPr>
        <w:t>应及时签署</w:t>
      </w:r>
      <w:bookmarkStart w:id="19" w:name="_Hlk146811258"/>
      <w:r>
        <w:rPr>
          <w:rFonts w:hint="eastAsia" w:ascii="仿宋" w:hAnsi="仿宋" w:eastAsia="仿宋" w:cs="仿宋_GB2312"/>
          <w:sz w:val="32"/>
          <w:szCs w:val="32"/>
        </w:rPr>
        <w:t>《评审报告》</w:t>
      </w:r>
      <w:bookmarkEnd w:id="19"/>
      <w:r>
        <w:rPr>
          <w:rFonts w:hint="eastAsia" w:ascii="仿宋" w:hAnsi="仿宋" w:eastAsia="仿宋" w:cs="仿宋_GB2312"/>
          <w:sz w:val="32"/>
          <w:szCs w:val="32"/>
        </w:rPr>
        <w:t>并经检测单位确认。</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第</w:t>
      </w:r>
      <w:bookmarkStart w:id="20" w:name="_Hlk148342968"/>
      <w:r>
        <w:rPr>
          <w:rFonts w:hint="eastAsia" w:ascii="黑体" w:hAnsi="黑体" w:eastAsia="黑体" w:cs="黑体"/>
          <w:sz w:val="32"/>
          <w:szCs w:val="32"/>
        </w:rPr>
        <w:t>二十六</w:t>
      </w:r>
      <w:bookmarkEnd w:id="20"/>
      <w:r>
        <w:rPr>
          <w:rFonts w:hint="eastAsia" w:ascii="黑体" w:hAnsi="黑体" w:eastAsia="黑体" w:cs="黑体"/>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评审整改</w:t>
      </w:r>
      <w:r>
        <w:rPr>
          <w:rFonts w:hint="eastAsia" w:ascii="仿宋" w:hAnsi="仿宋" w:eastAsia="仿宋" w:cs="仿宋_GB2312"/>
          <w:sz w:val="32"/>
          <w:szCs w:val="32"/>
        </w:rPr>
        <w:t>】当评审结果为基本符合时，检测机构应进行有效整改。</w:t>
      </w:r>
    </w:p>
    <w:p>
      <w:pPr>
        <w:spacing w:line="360" w:lineRule="auto"/>
        <w:ind w:firstLine="640" w:firstLineChars="200"/>
        <w:rPr>
          <w:rFonts w:ascii="仿宋" w:hAnsi="仿宋" w:eastAsia="仿宋" w:cs="仿宋_GB2312"/>
          <w:sz w:val="32"/>
          <w:szCs w:val="32"/>
        </w:rPr>
      </w:pPr>
      <w:r>
        <w:rPr>
          <w:rFonts w:hint="eastAsia" w:ascii="黑体" w:hAnsi="黑体" w:eastAsia="黑体" w:cs="黑体"/>
          <w:sz w:val="32"/>
          <w:szCs w:val="32"/>
        </w:rPr>
        <w:t>第二十七条</w:t>
      </w:r>
      <w:bookmarkStart w:id="21" w:name="_Hlk148430615"/>
      <w:r>
        <w:rPr>
          <w:rFonts w:hint="eastAsia" w:ascii="仿宋" w:hAnsi="仿宋" w:eastAsia="仿宋" w:cs="仿宋_GB2312"/>
          <w:sz w:val="32"/>
          <w:szCs w:val="32"/>
        </w:rPr>
        <w:t>【</w:t>
      </w:r>
      <w:r>
        <w:rPr>
          <w:rFonts w:hint="eastAsia" w:ascii="仿宋" w:hAnsi="仿宋" w:eastAsia="仿宋" w:cs="仿宋_GB2312"/>
          <w:color w:val="00B0F0"/>
          <w:sz w:val="32"/>
          <w:szCs w:val="32"/>
        </w:rPr>
        <w:t>整改时限</w:t>
      </w:r>
      <w:r>
        <w:rPr>
          <w:rFonts w:hint="eastAsia" w:ascii="仿宋" w:hAnsi="仿宋" w:eastAsia="仿宋" w:cs="仿宋_GB2312"/>
          <w:sz w:val="32"/>
          <w:szCs w:val="32"/>
        </w:rPr>
        <w:t>】</w:t>
      </w:r>
      <w:bookmarkStart w:id="22" w:name="_Hlk148430631"/>
      <w:r>
        <w:rPr>
          <w:rFonts w:hint="eastAsia" w:ascii="仿宋" w:hAnsi="仿宋" w:eastAsia="仿宋" w:cs="仿宋_GB2312"/>
          <w:sz w:val="32"/>
          <w:szCs w:val="32"/>
        </w:rPr>
        <w:t>检测机构在规定的时限内对评审组提出的不符合内容进行有效整改，整改时限不超过该检测机构专家评审周期。整改完成后形成书面材料报评审组确认。评审组长在收到检测机构的整改材料后，应及时对整改措施的有效性和符合性进行验证。</w:t>
      </w:r>
      <w:bookmarkEnd w:id="22"/>
    </w:p>
    <w:bookmarkEnd w:id="21"/>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第二十八条</w:t>
      </w:r>
      <w:r>
        <w:rPr>
          <w:rFonts w:hint="eastAsia" w:ascii="仿宋" w:hAnsi="仿宋" w:eastAsia="仿宋" w:cs="仿宋_GB2312"/>
          <w:sz w:val="32"/>
          <w:szCs w:val="32"/>
        </w:rPr>
        <w:t>【</w:t>
      </w:r>
      <w:r>
        <w:rPr>
          <w:rFonts w:hint="eastAsia" w:ascii="仿宋" w:hAnsi="仿宋" w:eastAsia="仿宋" w:cs="仿宋_GB2312"/>
          <w:color w:val="00B0F0"/>
          <w:sz w:val="32"/>
          <w:szCs w:val="32"/>
        </w:rPr>
        <w:t>评审档案</w:t>
      </w:r>
      <w:r>
        <w:rPr>
          <w:rFonts w:hint="eastAsia" w:ascii="仿宋" w:hAnsi="仿宋" w:eastAsia="仿宋" w:cs="仿宋_GB2312"/>
          <w:sz w:val="32"/>
          <w:szCs w:val="32"/>
        </w:rPr>
        <w:t>】现场评审结束后，评审组长应及时收集、整理评审档案，并于该检测机构评审周期内，将《评审报告》、《评审记录》相关资纸质文本与电子文本上报省住建厅。</w:t>
      </w:r>
    </w:p>
    <w:p>
      <w:pPr>
        <w:spacing w:line="360" w:lineRule="auto"/>
        <w:ind w:firstLine="640" w:firstLineChars="200"/>
        <w:rPr>
          <w:rFonts w:ascii="仿宋" w:hAnsi="仿宋" w:eastAsia="仿宋" w:cs="仿宋_GB2312"/>
          <w:sz w:val="32"/>
          <w:szCs w:val="32"/>
        </w:rPr>
      </w:pPr>
      <w:bookmarkStart w:id="23" w:name="_Hlk146743728"/>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bookmarkEnd w:id="23"/>
      <w:r>
        <w:rPr>
          <w:rFonts w:hint="eastAsia" w:ascii="仿宋" w:hAnsi="仿宋" w:eastAsia="仿宋" w:cs="仿宋_GB2312"/>
          <w:sz w:val="32"/>
          <w:szCs w:val="32"/>
        </w:rPr>
        <w:t>【</w:t>
      </w:r>
      <w:r>
        <w:rPr>
          <w:rFonts w:hint="eastAsia" w:ascii="仿宋" w:hAnsi="仿宋" w:eastAsia="仿宋" w:cs="仿宋_GB2312"/>
          <w:color w:val="00B0F0"/>
          <w:sz w:val="32"/>
          <w:szCs w:val="32"/>
        </w:rPr>
        <w:t>终止评审</w:t>
      </w:r>
      <w:r>
        <w:rPr>
          <w:rFonts w:hint="eastAsia" w:ascii="仿宋" w:hAnsi="仿宋" w:eastAsia="仿宋" w:cs="仿宋_GB2312"/>
          <w:sz w:val="32"/>
          <w:szCs w:val="32"/>
        </w:rPr>
        <w:t>】发生下列情况之一，评审组经报告省住建厅同意后可终止现场评审工作，并形成终止评审报告：</w:t>
      </w:r>
    </w:p>
    <w:p>
      <w:pPr>
        <w:numPr>
          <w:ilvl w:val="0"/>
          <w:numId w:val="1"/>
        </w:numPr>
        <w:spacing w:line="360" w:lineRule="auto"/>
        <w:ind w:left="-10" w:firstLine="640"/>
        <w:rPr>
          <w:rFonts w:ascii="仿宋" w:hAnsi="仿宋" w:eastAsia="仿宋" w:cs="仿宋_GB2312"/>
          <w:sz w:val="32"/>
          <w:szCs w:val="32"/>
        </w:rPr>
      </w:pPr>
      <w:bookmarkStart w:id="24" w:name="_Hlk146810947"/>
      <w:r>
        <w:rPr>
          <w:rFonts w:hint="eastAsia" w:ascii="仿宋" w:hAnsi="仿宋" w:eastAsia="仿宋" w:cs="仿宋_GB2312"/>
          <w:sz w:val="32"/>
          <w:szCs w:val="32"/>
        </w:rPr>
        <w:t>检测机构实际状况与申请</w:t>
      </w:r>
      <w:bookmarkEnd w:id="24"/>
      <w:r>
        <w:rPr>
          <w:rFonts w:hint="eastAsia" w:ascii="仿宋" w:hAnsi="仿宋" w:eastAsia="仿宋" w:cs="仿宋_GB2312"/>
          <w:sz w:val="32"/>
          <w:szCs w:val="32"/>
        </w:rPr>
        <w:t>资料严重不符，包括人员、场地等强制性指标要求的实际情况低于材料申报内容；</w:t>
      </w:r>
    </w:p>
    <w:p>
      <w:pPr>
        <w:numPr>
          <w:ilvl w:val="0"/>
          <w:numId w:val="1"/>
        </w:numPr>
        <w:spacing w:line="360" w:lineRule="auto"/>
        <w:ind w:left="-10" w:firstLine="640"/>
        <w:rPr>
          <w:rFonts w:ascii="仿宋" w:hAnsi="仿宋" w:eastAsia="仿宋" w:cs="仿宋_GB2312"/>
          <w:sz w:val="32"/>
          <w:szCs w:val="32"/>
        </w:rPr>
      </w:pPr>
      <w:r>
        <w:rPr>
          <w:rFonts w:hint="eastAsia" w:ascii="仿宋" w:hAnsi="仿宋" w:eastAsia="仿宋" w:cs="仿宋_GB2312"/>
          <w:sz w:val="32"/>
          <w:szCs w:val="32"/>
        </w:rPr>
        <w:t>检测机构有意干扰评审工作，评审工作不能正常进行；</w:t>
      </w:r>
    </w:p>
    <w:p>
      <w:pPr>
        <w:numPr>
          <w:ilvl w:val="0"/>
          <w:numId w:val="1"/>
        </w:numPr>
        <w:spacing w:line="360" w:lineRule="auto"/>
        <w:ind w:left="-10" w:firstLine="640"/>
        <w:rPr>
          <w:rFonts w:ascii="仿宋" w:hAnsi="仿宋" w:eastAsia="仿宋" w:cs="仿宋_GB2312"/>
          <w:sz w:val="32"/>
          <w:szCs w:val="32"/>
        </w:rPr>
      </w:pPr>
      <w:r>
        <w:rPr>
          <w:rFonts w:hint="eastAsia" w:ascii="仿宋" w:hAnsi="仿宋" w:eastAsia="仿宋" w:cs="仿宋_GB2312"/>
          <w:sz w:val="32"/>
          <w:szCs w:val="32"/>
        </w:rPr>
        <w:t>发现检测机构存在伪造检测数据、出具虚假检测报告的行为；</w:t>
      </w:r>
    </w:p>
    <w:p>
      <w:pPr>
        <w:numPr>
          <w:ilvl w:val="0"/>
          <w:numId w:val="1"/>
        </w:numPr>
        <w:spacing w:line="360" w:lineRule="auto"/>
        <w:ind w:left="-10" w:firstLine="640"/>
        <w:rPr>
          <w:rFonts w:ascii="仿宋" w:hAnsi="仿宋" w:eastAsia="仿宋" w:cs="仿宋_GB2312"/>
          <w:sz w:val="32"/>
          <w:szCs w:val="32"/>
        </w:rPr>
      </w:pPr>
      <w:r>
        <w:rPr>
          <w:rFonts w:hint="eastAsia" w:ascii="仿宋" w:hAnsi="仿宋" w:eastAsia="仿宋" w:cs="仿宋_GB2312"/>
          <w:sz w:val="32"/>
          <w:szCs w:val="32"/>
        </w:rPr>
        <w:t>存在</w:t>
      </w:r>
      <w:r>
        <w:rPr>
          <w:rFonts w:hint="eastAsia" w:ascii="仿宋" w:hAnsi="仿宋" w:eastAsia="仿宋" w:cs="仿宋_GB2312"/>
          <w:sz w:val="32"/>
          <w:szCs w:val="32"/>
          <w:lang w:eastAsia="zh-CN"/>
        </w:rPr>
        <w:t>相关</w:t>
      </w:r>
      <w:r>
        <w:rPr>
          <w:rFonts w:hint="eastAsia" w:ascii="仿宋" w:hAnsi="仿宋" w:eastAsia="仿宋" w:cs="仿宋_GB2312"/>
          <w:sz w:val="32"/>
          <w:szCs w:val="32"/>
        </w:rPr>
        <w:t>人员冒名顶替情况；</w:t>
      </w:r>
    </w:p>
    <w:p>
      <w:pPr>
        <w:numPr>
          <w:ilvl w:val="0"/>
          <w:numId w:val="1"/>
        </w:numPr>
        <w:spacing w:line="360" w:lineRule="auto"/>
        <w:ind w:left="-10" w:firstLine="640"/>
        <w:rPr>
          <w:rFonts w:ascii="仿宋" w:hAnsi="仿宋" w:eastAsia="仿宋" w:cs="仿宋_GB2312"/>
          <w:sz w:val="32"/>
          <w:szCs w:val="32"/>
        </w:rPr>
      </w:pPr>
      <w:r>
        <w:rPr>
          <w:rFonts w:hint="eastAsia" w:ascii="仿宋" w:hAnsi="仿宋" w:eastAsia="仿宋" w:cs="仿宋_GB2312"/>
          <w:sz w:val="32"/>
          <w:szCs w:val="32"/>
        </w:rPr>
        <w:t>检测机构存在其他严重的违法违规问题。</w:t>
      </w:r>
    </w:p>
    <w:p>
      <w:pPr>
        <w:spacing w:line="360" w:lineRule="auto"/>
        <w:ind w:firstLine="640" w:firstLineChars="200"/>
        <w:rPr>
          <w:rFonts w:ascii="仿宋" w:hAnsi="仿宋" w:eastAsia="仿宋" w:cs="仿宋_GB2312"/>
          <w:sz w:val="32"/>
          <w:szCs w:val="32"/>
        </w:rPr>
      </w:pPr>
    </w:p>
    <w:p>
      <w:pPr>
        <w:spacing w:line="480" w:lineRule="auto"/>
        <w:jc w:val="center"/>
        <w:rPr>
          <w:rFonts w:ascii="黑体" w:hAnsi="黑体" w:eastAsia="黑体" w:cs="黑体"/>
          <w:sz w:val="36"/>
          <w:szCs w:val="36"/>
        </w:rPr>
      </w:pPr>
      <w:r>
        <w:rPr>
          <w:rFonts w:hint="eastAsia" w:ascii="黑体" w:hAnsi="黑体" w:eastAsia="黑体" w:cs="黑体"/>
          <w:sz w:val="36"/>
          <w:szCs w:val="36"/>
        </w:rPr>
        <w:t>第四章 附则</w:t>
      </w:r>
    </w:p>
    <w:p>
      <w:pPr>
        <w:spacing w:line="480" w:lineRule="auto"/>
        <w:ind w:firstLine="640" w:firstLineChars="200"/>
        <w:rPr>
          <w:rFonts w:ascii="黑体" w:hAnsi="黑体" w:eastAsia="黑体" w:cs="黑体"/>
          <w:sz w:val="36"/>
          <w:szCs w:val="36"/>
        </w:rPr>
      </w:pPr>
      <w:r>
        <w:rPr>
          <w:rFonts w:hint="eastAsia" w:ascii="黑体" w:hAnsi="仿宋_GB2312" w:eastAsia="黑体" w:cs="仿宋_GB2312"/>
          <w:bCs/>
          <w:kern w:val="0"/>
          <w:sz w:val="32"/>
          <w:szCs w:val="32"/>
        </w:rPr>
        <w:t>第三十条</w:t>
      </w:r>
      <w:r>
        <w:rPr>
          <w:rFonts w:hint="eastAsia" w:ascii="仿宋" w:hAnsi="仿宋" w:eastAsia="仿宋" w:cs="仿宋_GB2312"/>
          <w:sz w:val="32"/>
          <w:szCs w:val="32"/>
        </w:rPr>
        <w:t>【</w:t>
      </w:r>
      <w:r>
        <w:rPr>
          <w:rFonts w:hint="eastAsia" w:ascii="仿宋" w:hAnsi="仿宋" w:eastAsia="仿宋" w:cs="仿宋_GB2312"/>
          <w:color w:val="00B0F0"/>
          <w:sz w:val="32"/>
          <w:szCs w:val="32"/>
        </w:rPr>
        <w:t>导则解释</w:t>
      </w:r>
      <w:r>
        <w:rPr>
          <w:rFonts w:hint="eastAsia" w:ascii="仿宋" w:hAnsi="仿宋" w:eastAsia="仿宋" w:cs="仿宋_GB2312"/>
          <w:sz w:val="32"/>
          <w:szCs w:val="32"/>
        </w:rPr>
        <w:t>】</w:t>
      </w:r>
      <w:r>
        <w:rPr>
          <w:rFonts w:hint="eastAsia" w:ascii="仿宋_GB2312" w:eastAsia="仿宋_GB2312"/>
          <w:sz w:val="32"/>
          <w:szCs w:val="32"/>
        </w:rPr>
        <w:t>本导则由陕西省住房和城乡建设厅负责解释。</w:t>
      </w:r>
    </w:p>
    <w:p>
      <w:pPr>
        <w:ind w:firstLine="640" w:firstLineChars="200"/>
        <w:rPr>
          <w:rFonts w:ascii="仿宋_GB2312" w:eastAsia="仿宋_GB2312"/>
          <w:sz w:val="32"/>
          <w:szCs w:val="32"/>
        </w:rPr>
      </w:pPr>
      <w:r>
        <w:rPr>
          <w:rFonts w:hint="eastAsia" w:ascii="黑体" w:hAnsi="仿宋_GB2312" w:eastAsia="黑体" w:cs="仿宋_GB2312"/>
          <w:bCs/>
          <w:kern w:val="0"/>
          <w:sz w:val="32"/>
          <w:szCs w:val="32"/>
        </w:rPr>
        <w:t>第三十</w:t>
      </w:r>
      <w:r>
        <w:rPr>
          <w:rFonts w:hint="eastAsia" w:ascii="黑体" w:hAnsi="仿宋_GB2312" w:eastAsia="黑体" w:cs="仿宋_GB2312"/>
          <w:bCs/>
          <w:kern w:val="0"/>
          <w:sz w:val="32"/>
          <w:szCs w:val="32"/>
          <w:lang w:eastAsia="zh-CN"/>
        </w:rPr>
        <w:t>一</w:t>
      </w:r>
      <w:r>
        <w:rPr>
          <w:rFonts w:hint="eastAsia" w:ascii="黑体" w:hAnsi="仿宋_GB2312" w:eastAsia="黑体" w:cs="仿宋_GB2312"/>
          <w:bCs/>
          <w:kern w:val="0"/>
          <w:sz w:val="32"/>
          <w:szCs w:val="32"/>
        </w:rPr>
        <w:t>条</w:t>
      </w:r>
      <w:r>
        <w:rPr>
          <w:rFonts w:hint="eastAsia" w:ascii="仿宋" w:hAnsi="仿宋" w:eastAsia="仿宋" w:cs="仿宋_GB2312"/>
          <w:sz w:val="32"/>
          <w:szCs w:val="32"/>
        </w:rPr>
        <w:t>【</w:t>
      </w:r>
      <w:r>
        <w:rPr>
          <w:rFonts w:hint="eastAsia" w:ascii="仿宋" w:hAnsi="仿宋" w:eastAsia="仿宋" w:cs="仿宋_GB2312"/>
          <w:color w:val="00B0F0"/>
          <w:sz w:val="32"/>
          <w:szCs w:val="32"/>
        </w:rPr>
        <w:t>执行时间</w:t>
      </w:r>
      <w:r>
        <w:rPr>
          <w:rFonts w:hint="eastAsia" w:ascii="仿宋" w:hAnsi="仿宋" w:eastAsia="仿宋" w:cs="仿宋_GB2312"/>
          <w:sz w:val="32"/>
          <w:szCs w:val="32"/>
        </w:rPr>
        <w:t>】</w:t>
      </w:r>
      <w:r>
        <w:rPr>
          <w:rFonts w:hint="eastAsia" w:ascii="仿宋_GB2312" w:eastAsia="仿宋_GB2312"/>
          <w:sz w:val="32"/>
          <w:szCs w:val="32"/>
        </w:rPr>
        <w:t>本导则自202</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XX</w:t>
      </w:r>
      <w:r>
        <w:rPr>
          <w:rFonts w:hint="eastAsia" w:ascii="仿宋_GB2312" w:eastAsia="仿宋_GB2312"/>
          <w:sz w:val="32"/>
          <w:szCs w:val="32"/>
        </w:rPr>
        <w:t>月</w:t>
      </w:r>
      <w:r>
        <w:rPr>
          <w:rFonts w:ascii="仿宋_GB2312" w:eastAsia="仿宋_GB2312"/>
          <w:sz w:val="32"/>
          <w:szCs w:val="32"/>
        </w:rPr>
        <w:t>XX</w:t>
      </w:r>
      <w:r>
        <w:rPr>
          <w:rFonts w:hint="eastAsia" w:ascii="仿宋_GB2312" w:eastAsia="仿宋_GB2312"/>
          <w:sz w:val="32"/>
          <w:szCs w:val="32"/>
        </w:rPr>
        <w:t>日起施。</w:t>
      </w:r>
    </w:p>
    <w:p>
      <w:pPr>
        <w:rPr>
          <w:rFonts w:hint="eastAsia" w:ascii="仿宋" w:hAnsi="仿宋" w:eastAsia="仿宋" w:cs="仿宋_GB2312"/>
          <w:sz w:val="32"/>
          <w:szCs w:val="32"/>
          <w:highlight w:val="blue"/>
        </w:rPr>
      </w:pPr>
    </w:p>
    <w:p>
      <w:pPr>
        <w:rPr>
          <w:rFonts w:ascii="仿宋" w:hAnsi="仿宋" w:eastAsia="仿宋" w:cs="仿宋_GB2312"/>
          <w:sz w:val="32"/>
          <w:szCs w:val="32"/>
        </w:rPr>
      </w:pPr>
      <w:r>
        <w:rPr>
          <w:rFonts w:hint="eastAsia" w:ascii="仿宋" w:hAnsi="仿宋" w:eastAsia="仿宋" w:cs="仿宋_GB2312"/>
          <w:sz w:val="32"/>
          <w:szCs w:val="32"/>
        </w:rPr>
        <w:t>附件</w:t>
      </w:r>
      <w:r>
        <w:rPr>
          <w:rFonts w:ascii="仿宋" w:hAnsi="仿宋" w:eastAsia="仿宋" w:cs="仿宋_GB2312"/>
          <w:sz w:val="32"/>
          <w:szCs w:val="32"/>
        </w:rPr>
        <w:t xml:space="preserve"> </w:t>
      </w:r>
      <w:r>
        <w:rPr>
          <w:rFonts w:hint="eastAsia" w:ascii="仿宋" w:hAnsi="仿宋" w:eastAsia="仿宋" w:cs="仿宋_GB2312"/>
          <w:sz w:val="32"/>
          <w:szCs w:val="32"/>
        </w:rPr>
        <w:t>：</w:t>
      </w:r>
    </w:p>
    <w:p>
      <w:pPr>
        <w:rPr>
          <w:rFonts w:ascii="仿宋" w:hAnsi="仿宋" w:eastAsia="仿宋" w:cs="仿宋_GB2312"/>
          <w:sz w:val="32"/>
          <w:szCs w:val="32"/>
        </w:rPr>
      </w:pPr>
      <w:r>
        <w:rPr>
          <w:rFonts w:hint="eastAsia" w:ascii="仿宋" w:hAnsi="仿宋" w:eastAsia="仿宋" w:cs="仿宋_GB2312"/>
          <w:sz w:val="32"/>
          <w:szCs w:val="32"/>
        </w:rPr>
        <w:t>一、《建设工程质量检测机构资质许可专家现场评审记录》</w:t>
      </w:r>
    </w:p>
    <w:p>
      <w:pPr>
        <w:rPr>
          <w:rFonts w:ascii="仿宋" w:hAnsi="仿宋" w:eastAsia="仿宋" w:cs="仿宋_GB2312"/>
          <w:sz w:val="32"/>
          <w:szCs w:val="32"/>
        </w:rPr>
      </w:pPr>
      <w:r>
        <w:rPr>
          <w:rFonts w:hint="eastAsia" w:ascii="仿宋" w:hAnsi="仿宋" w:eastAsia="仿宋" w:cs="仿宋_GB2312"/>
          <w:sz w:val="32"/>
          <w:szCs w:val="32"/>
        </w:rPr>
        <w:t>二、《建设工程质量检测机构资质许可专家现场评审报告》</w:t>
      </w:r>
    </w:p>
    <w:p>
      <w:pPr>
        <w:rPr>
          <w:rFonts w:ascii="仿宋" w:hAnsi="仿宋" w:eastAsia="仿宋" w:cs="仿宋_GB2312"/>
          <w:sz w:val="32"/>
          <w:szCs w:val="32"/>
        </w:rPr>
        <w:sectPr>
          <w:pgSz w:w="11906" w:h="16838"/>
          <w:pgMar w:top="1440" w:right="1800" w:bottom="1440" w:left="1800" w:header="851" w:footer="992" w:gutter="0"/>
          <w:cols w:space="425" w:num="1"/>
          <w:docGrid w:type="lines" w:linePitch="312" w:charSpace="0"/>
        </w:sectPr>
      </w:pPr>
    </w:p>
    <w:p>
      <w:pPr>
        <w:rPr>
          <w:rFonts w:hint="eastAsia" w:ascii="仿宋" w:hAnsi="仿宋" w:eastAsia="仿宋" w:cs="仿宋_GB2312"/>
          <w:sz w:val="32"/>
          <w:szCs w:val="32"/>
        </w:rPr>
      </w:pPr>
      <w:r>
        <w:rPr>
          <w:rFonts w:hint="eastAsia" w:ascii="仿宋" w:hAnsi="仿宋" w:eastAsia="仿宋" w:cs="仿宋_GB2312"/>
          <w:sz w:val="32"/>
          <w:szCs w:val="32"/>
        </w:rPr>
        <w:t>附件</w:t>
      </w:r>
      <w:r>
        <w:rPr>
          <w:rFonts w:hint="eastAsia" w:ascii="仿宋" w:hAnsi="仿宋" w:eastAsia="仿宋" w:cs="仿宋_GB2312"/>
          <w:sz w:val="32"/>
          <w:szCs w:val="32"/>
          <w:lang w:val="en-US" w:eastAsia="zh-CN"/>
        </w:rPr>
        <w:t>1</w:t>
      </w:r>
      <w:r>
        <w:rPr>
          <w:rFonts w:ascii="仿宋" w:hAnsi="仿宋" w:eastAsia="仿宋" w:cs="仿宋_GB2312"/>
          <w:sz w:val="32"/>
          <w:szCs w:val="32"/>
        </w:rPr>
        <w:t xml:space="preserve"> </w:t>
      </w:r>
      <w:r>
        <w:rPr>
          <w:rFonts w:hint="eastAsia" w:ascii="仿宋" w:hAnsi="仿宋" w:eastAsia="仿宋" w:cs="仿宋_GB2312"/>
          <w:sz w:val="32"/>
          <w:szCs w:val="32"/>
        </w:rPr>
        <w:t>：</w:t>
      </w:r>
    </w:p>
    <w:p>
      <w:pPr>
        <w:spacing w:line="594" w:lineRule="exact"/>
        <w:ind w:firstLine="0" w:firstLineChars="0"/>
        <w:jc w:val="center"/>
        <w:rPr>
          <w:rFonts w:ascii="Times New Roman" w:hAnsi="Times New Roman" w:eastAsia="方正小标宋简体"/>
          <w:b/>
          <w:bCs/>
          <w:color w:val="000000" w:themeColor="text1"/>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建设工程质量检测机构资质许可专家现场评审记录</w:t>
      </w:r>
    </w:p>
    <w:p>
      <w:pPr>
        <w:pStyle w:val="2"/>
        <w:rPr>
          <w:rFonts w:hint="eastAsia" w:ascii="CESI仿宋-GB2312" w:hAnsi="CESI仿宋-GB2312" w:eastAsia="CESI仿宋-GB2312" w:cs="CESI仿宋-GB2312"/>
        </w:rPr>
      </w:pPr>
      <w:r>
        <w:rPr>
          <w:rFonts w:hint="eastAsia" w:ascii="CESI仿宋-GB2312" w:hAnsi="CESI仿宋-GB2312" w:eastAsia="CESI仿宋-GB2312" w:cs="CESI仿宋-GB2312"/>
          <w:color w:val="000000" w:themeColor="text1"/>
          <w:sz w:val="28"/>
          <w:szCs w:val="28"/>
          <w14:textFill>
            <w14:solidFill>
              <w14:schemeClr w14:val="tx1"/>
            </w14:solidFill>
          </w14:textFill>
        </w:rPr>
        <w:t xml:space="preserve">检测机构名称：                    </w:t>
      </w:r>
      <w:r>
        <w:rPr>
          <w:rFonts w:hint="eastAsia" w:ascii="CESI仿宋-GB2312" w:hAnsi="CESI仿宋-GB2312" w:eastAsia="CESI仿宋-GB2312" w:cs="CESI仿宋-GB2312"/>
          <w:color w:val="000000" w:themeColor="text1"/>
          <w:sz w:val="44"/>
          <w:szCs w:val="44"/>
          <w14:textFill>
            <w14:solidFill>
              <w14:schemeClr w14:val="tx1"/>
            </w14:solidFill>
          </w14:textFill>
        </w:rPr>
        <w:t xml:space="preserve">                            </w:t>
      </w:r>
      <w:r>
        <w:rPr>
          <w:rFonts w:hint="eastAsia" w:ascii="CESI仿宋-GB2312" w:hAnsi="CESI仿宋-GB2312" w:eastAsia="CESI仿宋-GB2312" w:cs="CESI仿宋-GB2312"/>
          <w:color w:val="000000" w:themeColor="text1"/>
          <w:sz w:val="28"/>
          <w:szCs w:val="28"/>
          <w14:textFill>
            <w14:solidFill>
              <w14:schemeClr w14:val="tx1"/>
            </w14:solidFill>
          </w14:textFill>
        </w:rPr>
        <w:t xml:space="preserve"> 第  页  共  页</w:t>
      </w:r>
    </w:p>
    <w:tbl>
      <w:tblPr>
        <w:tblStyle w:val="7"/>
        <w:tblW w:w="503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51"/>
        <w:gridCol w:w="160"/>
        <w:gridCol w:w="6935"/>
        <w:gridCol w:w="18"/>
        <w:gridCol w:w="1245"/>
        <w:gridCol w:w="371"/>
        <w:gridCol w:w="2023"/>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34" w:type="pct"/>
            <w:vMerge w:val="restart"/>
            <w:vAlign w:val="center"/>
          </w:tcPr>
          <w:p>
            <w:pPr>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条款</w:t>
            </w:r>
          </w:p>
        </w:tc>
        <w:tc>
          <w:tcPr>
            <w:tcW w:w="252" w:type="pct"/>
            <w:vMerge w:val="restart"/>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序号</w:t>
            </w:r>
          </w:p>
        </w:tc>
        <w:tc>
          <w:tcPr>
            <w:tcW w:w="2389" w:type="pct"/>
            <w:gridSpan w:val="2"/>
            <w:vMerge w:val="restart"/>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具体审查（核查）内容</w:t>
            </w:r>
          </w:p>
        </w:tc>
        <w:tc>
          <w:tcPr>
            <w:tcW w:w="1822" w:type="pct"/>
            <w:gridSpan w:val="5"/>
            <w:tcBorders>
              <w:right w:val="single" w:color="auto" w:sz="4" w:space="0"/>
            </w:tcBorders>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审查（核查）结论（在□中打√）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pct"/>
            <w:vMerge w:val="continue"/>
            <w:vAlign w:val="center"/>
          </w:tcPr>
          <w:p>
            <w:pPr>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p>
        </w:tc>
        <w:tc>
          <w:tcPr>
            <w:tcW w:w="252" w:type="pct"/>
            <w:vMerge w:val="continue"/>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p>
        </w:tc>
        <w:tc>
          <w:tcPr>
            <w:tcW w:w="2389" w:type="pct"/>
            <w:gridSpan w:val="2"/>
            <w:vMerge w:val="continue"/>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p>
        </w:tc>
        <w:tc>
          <w:tcPr>
            <w:tcW w:w="550" w:type="pct"/>
            <w:gridSpan w:val="3"/>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符合</w:t>
            </w:r>
          </w:p>
        </w:tc>
        <w:tc>
          <w:tcPr>
            <w:tcW w:w="681" w:type="pct"/>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基本符合</w:t>
            </w:r>
          </w:p>
        </w:tc>
        <w:tc>
          <w:tcPr>
            <w:tcW w:w="591" w:type="pct"/>
            <w:tcBorders>
              <w:right w:val="single" w:color="auto" w:sz="4" w:space="0"/>
            </w:tcBorders>
            <w:vAlign w:val="center"/>
          </w:tcPr>
          <w:p>
            <w:pPr>
              <w:snapToGrid w:val="0"/>
              <w:spacing w:line="400" w:lineRule="exact"/>
              <w:ind w:firstLine="0" w:firstLineChars="0"/>
              <w:jc w:val="center"/>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w:t>
            </w:r>
          </w:p>
        </w:tc>
        <w:tc>
          <w:tcPr>
            <w:tcW w:w="4465" w:type="pct"/>
            <w:gridSpan w:val="8"/>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评审内容与要求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2.8</w:t>
            </w:r>
          </w:p>
        </w:tc>
        <w:tc>
          <w:tcPr>
            <w:tcW w:w="4465" w:type="pct"/>
            <w:gridSpan w:val="8"/>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【机构主体】申请检测机构资质的单位应当是具有独立法人资格的企业、事业单位，或者依法设立的合伙企业，并能够承担相应法律责任的法人或者其他组织。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2.8.1</w:t>
            </w:r>
          </w:p>
        </w:tc>
        <w:tc>
          <w:tcPr>
            <w:tcW w:w="2642" w:type="pct"/>
            <w:gridSpan w:val="3"/>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检测机构应当有明确的法律地位，对其出具的检验检测数据、结果负责，并承担法律责任。</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tcBorders>
              <w:right w:val="single" w:color="auto" w:sz="4" w:space="0"/>
            </w:tcBorders>
            <w:vAlign w:val="center"/>
          </w:tcPr>
          <w:p>
            <w:pPr>
              <w:pStyle w:val="15"/>
              <w:numPr>
                <w:ilvl w:val="0"/>
                <w:numId w:val="0"/>
              </w:numPr>
              <w:spacing w:line="400" w:lineRule="exact"/>
              <w:ind w:leftChars="0"/>
              <w:jc w:val="center"/>
              <w:rPr>
                <w:rFonts w:hint="default"/>
                <w:color w:val="000000" w:themeColor="text1"/>
                <w:sz w:val="28"/>
                <w:szCs w:val="28"/>
                <w:lang w:val="en-US"/>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p>
        </w:tc>
        <w:tc>
          <w:tcPr>
            <w:tcW w:w="2389" w:type="pct"/>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检测机构是法人机构的应当依法进行登记。企业法人注册经营范围不得包含影响公正性的内容。</w:t>
            </w:r>
          </w:p>
        </w:tc>
        <w:tc>
          <w:tcPr>
            <w:tcW w:w="1822"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企业制的，应取得工商登记的营业执照</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cs="宋体" w:asciiTheme="minorEastAsia" w:hAnsiTheme="minorEastAsia" w:eastAsiaTheme="minorEastAsia"/>
                <w:color w:val="000000" w:themeColor="text1"/>
                <w:sz w:val="18"/>
                <w:szCs w:val="18"/>
                <w14:textFill>
                  <w14:solidFill>
                    <w14:schemeClr w14:val="tx1"/>
                  </w14:solidFill>
                </w14:textFill>
              </w:rPr>
              <w:t>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事业</w:t>
            </w:r>
            <w:r>
              <w:rPr>
                <w:rFonts w:hint="eastAsia" w:asciiTheme="minorEastAsia" w:hAnsiTheme="minorEastAsia"/>
                <w:color w:val="000000" w:themeColor="text1"/>
                <w:sz w:val="18"/>
                <w:szCs w:val="18"/>
                <w:lang w:eastAsia="zh-CN"/>
                <w14:textFill>
                  <w14:solidFill>
                    <w14:schemeClr w14:val="tx1"/>
                  </w14:solidFill>
                </w14:textFill>
              </w:rPr>
              <w:t>单位</w:t>
            </w:r>
            <w:r>
              <w:rPr>
                <w:rFonts w:hint="eastAsia" w:asciiTheme="minorEastAsia" w:hAnsiTheme="minorEastAsia" w:eastAsiaTheme="minorEastAsia"/>
                <w:color w:val="000000" w:themeColor="text1"/>
                <w:sz w:val="18"/>
                <w:szCs w:val="18"/>
                <w14:textFill>
                  <w14:solidFill>
                    <w14:schemeClr w14:val="tx1"/>
                  </w14:solidFill>
                </w14:textFill>
              </w:rPr>
              <w:t>应取得编办批准的事业单位法人证书</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cs="宋体" w:asciiTheme="minorEastAsia" w:hAnsiTheme="minorEastAsia" w:eastAsiaTheme="minorEastAsia"/>
                <w:color w:val="000000" w:themeColor="text1"/>
                <w:sz w:val="18"/>
                <w:szCs w:val="18"/>
                <w14:textFill>
                  <w14:solidFill>
                    <w14:schemeClr w14:val="tx1"/>
                  </w14:solidFill>
                </w14:textFill>
              </w:rPr>
              <w:t>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社团法人应取得民政部门批准的社团法人证书。有□无□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经营范围不得有影响检验检测公正性的经营项目。有□无□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34" w:type="pct"/>
            <w:vMerge w:val="continue"/>
            <w:tcBorders>
              <w:right w:val="single" w:color="auto" w:sz="4" w:space="0"/>
            </w:tcBorders>
            <w:vAlign w:val="center"/>
          </w:tcPr>
          <w:p>
            <w:pPr>
              <w:pStyle w:val="15"/>
              <w:spacing w:line="400" w:lineRule="exact"/>
              <w:ind w:firstLine="0" w:firstLineChars="0"/>
              <w:rPr>
                <w:color w:val="000000" w:themeColor="text1"/>
                <w:sz w:val="28"/>
                <w:szCs w:val="28"/>
                <w14:textFill>
                  <w14:solidFill>
                    <w14:schemeClr w14:val="tx1"/>
                  </w14:solidFill>
                </w14:textFill>
              </w:rPr>
            </w:pPr>
          </w:p>
        </w:tc>
        <w:tc>
          <w:tcPr>
            <w:tcW w:w="252" w:type="pct"/>
            <w:tcBorders>
              <w:left w:val="single" w:color="auto" w:sz="4" w:space="0"/>
              <w:bottom w:val="single" w:color="auto" w:sz="4" w:space="0"/>
            </w:tcBorders>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p>
        </w:tc>
        <w:tc>
          <w:tcPr>
            <w:tcW w:w="2389" w:type="pct"/>
            <w:gridSpan w:val="2"/>
            <w:tcBorders>
              <w:top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检测机构是其他组织（包括法人分支机构）的应当依法进行登记。</w:t>
            </w:r>
          </w:p>
        </w:tc>
        <w:tc>
          <w:tcPr>
            <w:tcW w:w="1822" w:type="pct"/>
            <w:gridSpan w:val="5"/>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其他组织应当取得相应管理部门的批准文件。有□无□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获证机构为非独立法人的，应提供所属法人的授权文件及不干预检验检测活动的声明（或文件）。有□无□</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机构异地（跨省、跨地市）设立机构，且该机构自行收样、自行检测、自行出具检测报告的，应按照分支机构对待。有□无□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34" w:type="pct"/>
            <w:vMerge w:val="continue"/>
            <w:tcBorders>
              <w:right w:val="single" w:color="auto" w:sz="4" w:space="0"/>
            </w:tcBorders>
            <w:vAlign w:val="center"/>
          </w:tcPr>
          <w:p>
            <w:pPr>
              <w:pStyle w:val="15"/>
              <w:spacing w:line="400" w:lineRule="exact"/>
              <w:ind w:firstLine="0" w:firstLineChars="0"/>
              <w:rPr>
                <w:color w:val="000000" w:themeColor="text1"/>
                <w:sz w:val="28"/>
                <w:szCs w:val="28"/>
                <w14:textFill>
                  <w14:solidFill>
                    <w14:schemeClr w14:val="tx1"/>
                  </w14:solidFill>
                </w14:textFill>
              </w:rPr>
            </w:pPr>
          </w:p>
        </w:tc>
        <w:tc>
          <w:tcPr>
            <w:tcW w:w="252" w:type="pct"/>
            <w:tcBorders>
              <w:left w:val="single" w:color="auto" w:sz="4" w:space="0"/>
              <w:bottom w:val="single" w:color="auto" w:sz="4" w:space="0"/>
            </w:tcBorders>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p>
        </w:tc>
        <w:tc>
          <w:tcPr>
            <w:tcW w:w="2389" w:type="pct"/>
            <w:gridSpan w:val="2"/>
            <w:tcBorders>
              <w:top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法人、其他组织登记、注册的机构名称、地址应当与资质认定申请书一致，且登记、注册证书在有效期内。</w:t>
            </w:r>
          </w:p>
        </w:tc>
        <w:tc>
          <w:tcPr>
            <w:tcW w:w="1822" w:type="pct"/>
            <w:gridSpan w:val="5"/>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机构的法律地位证明文件是否在有效期内。是□ 否□</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color w:val="000000" w:themeColor="text1"/>
                <w:sz w:val="15"/>
                <w:szCs w:val="15"/>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机构名称、地址是否与资质许可申请书一致。是□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34" w:type="pct"/>
            <w:vMerge w:val="continue"/>
            <w:tcBorders>
              <w:top w:val="single" w:color="auto" w:sz="4" w:space="0"/>
            </w:tcBorders>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tcBorders>
              <w:top w:val="single" w:color="auto" w:sz="4" w:space="0"/>
            </w:tcBorders>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p>
        </w:tc>
        <w:tc>
          <w:tcPr>
            <w:tcW w:w="2389" w:type="pct"/>
            <w:gridSpan w:val="2"/>
            <w:tcBorders>
              <w:top w:val="single" w:color="auto" w:sz="4" w:space="0"/>
            </w:tcBorders>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法定代表人不担任检测机构最高管理者的，应当对检验检测机构的最高管理者进行授权，并明确法律责任。</w:t>
            </w:r>
          </w:p>
        </w:tc>
        <w:tc>
          <w:tcPr>
            <w:tcW w:w="1822" w:type="pct"/>
            <w:gridSpan w:val="5"/>
            <w:tcBorders>
              <w:top w:val="single" w:color="auto" w:sz="4" w:space="0"/>
            </w:tcBorders>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是否有法定代表人对最高管理者的授权文件。</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授权文件是否明确了最高管理者的权利和义务。</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是否有法定代表人承担法律责任的相关表述。</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2.8.2</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检测机构应当以公开方式对其遵守法定要求、独立公正从业、履行社会责任、严守诚实信用等情况进行自我承诺。</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检测机构应有保证客观、公正和独立地从事检验检测活动的公正性声明。</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机构能否提供公正性声明或服务承诺等文件。</w:t>
            </w:r>
            <w:r>
              <w:rPr>
                <w:rFonts w:asciiTheme="minorEastAsia" w:hAnsiTheme="minorEastAsia" w:eastAsiaTheme="minorEastAsia"/>
                <w:color w:val="000000" w:themeColor="text1"/>
                <w:sz w:val="18"/>
                <w:szCs w:val="18"/>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检测机构应承诺“遵守国家相关法律法规的规定， 遵循客观独立、公平公正、诚实信用原则， 恪守职业道德，承担社会责任。”</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检测机构的承诺是否有“遵守国家相关法律法规的规定，</w:t>
            </w:r>
            <w:r>
              <w:rPr>
                <w:rFonts w:asciiTheme="minorEastAsia" w:hAnsiTheme="minorEastAsia" w:eastAsiaTheme="minorEastAsia"/>
                <w:color w:val="000000" w:themeColor="text1"/>
                <w:sz w:val="18"/>
                <w:szCs w:val="18"/>
                <w14:textFill>
                  <w14:solidFill>
                    <w14:schemeClr w14:val="tx1"/>
                  </w14:solidFill>
                </w14:textFill>
              </w:rPr>
              <w:t xml:space="preserve"> 遵循客观独立、公平公正、诚实信用原则， 恪守职业道德，承担社会责任</w:t>
            </w:r>
            <w:r>
              <w:rPr>
                <w:rFonts w:hint="eastAsia" w:asciiTheme="minorEastAsia" w:hAnsiTheme="minorEastAsia" w:eastAsiaTheme="minorEastAsia"/>
                <w:color w:val="000000" w:themeColor="text1"/>
                <w:sz w:val="18"/>
                <w:szCs w:val="18"/>
                <w14:textFill>
                  <w14:solidFill>
                    <w14:schemeClr w14:val="tx1"/>
                  </w14:solidFill>
                </w14:textFill>
              </w:rPr>
              <w:t>”的内容。</w:t>
            </w:r>
            <w:r>
              <w:rPr>
                <w:rFonts w:asciiTheme="minorEastAsia" w:hAnsiTheme="minorEastAsia" w:eastAsiaTheme="minorEastAsia"/>
                <w:color w:val="000000" w:themeColor="text1"/>
                <w:sz w:val="18"/>
                <w:szCs w:val="18"/>
                <w14:textFill>
                  <w14:solidFill>
                    <w14:schemeClr w14:val="tx1"/>
                  </w14:solidFill>
                </w14:textFill>
              </w:rPr>
              <w:t xml:space="preserve"> 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检测机构的自我承诺应在其官方网站、办公场所、公众号等公示。</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机构的自我承诺是否在其官方网站、办公场所、公众号等公示。</w:t>
            </w:r>
            <w:r>
              <w:rPr>
                <w:rFonts w:eastAsia="宋体" w:cs="宋体"/>
                <w:color w:val="000000" w:themeColor="text1"/>
                <w:sz w:val="24"/>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2.9</w:t>
            </w:r>
          </w:p>
        </w:tc>
        <w:tc>
          <w:tcPr>
            <w:tcW w:w="4465" w:type="pct"/>
            <w:gridSpan w:val="8"/>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【检测人员】</w:t>
            </w:r>
            <w:r>
              <w:rPr>
                <w:rFonts w:hint="eastAsia" w:ascii="CESI仿宋-GB2312" w:hAnsi="CESI仿宋-GB2312" w:eastAsia="CESI仿宋-GB2312" w:cs="CESI仿宋-GB2312"/>
                <w:color w:val="000000" w:themeColor="text1"/>
                <w:sz w:val="28"/>
                <w:szCs w:val="28"/>
                <w:lang w:eastAsia="zh-CN"/>
                <w14:textFill>
                  <w14:solidFill>
                    <w14:schemeClr w14:val="tx1"/>
                  </w14:solidFill>
                </w14:textFill>
              </w:rPr>
              <w:t>检测人员培训制度建立情况和档案管理情况</w:t>
            </w:r>
            <w:r>
              <w:rPr>
                <w:rFonts w:hint="eastAsia" w:ascii="CESI仿宋-GB2312" w:hAnsi="CESI仿宋-GB2312" w:eastAsia="CESI仿宋-GB2312" w:cs="CESI仿宋-GB2312"/>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34" w:type="pct"/>
            <w:vAlign w:val="center"/>
          </w:tcPr>
          <w:p>
            <w:pPr>
              <w:spacing w:line="400" w:lineRule="exact"/>
              <w:ind w:firstLine="0" w:firstLineChars="0"/>
              <w:rPr>
                <w:rFonts w:hint="eastAsia" w:ascii="Times New Roman" w:hAnsi="Times New Roman" w:eastAsiaTheme="minorEastAsia"/>
                <w:color w:val="000000" w:themeColor="text1"/>
                <w:sz w:val="28"/>
                <w:szCs w:val="28"/>
                <w:lang w:eastAsia="zh-C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2.9.</w:t>
            </w:r>
            <w:r>
              <w:rPr>
                <w:rFonts w:hint="eastAsia" w:ascii="Times New Roman" w:hAnsi="Times New Roman"/>
                <w:color w:val="000000" w:themeColor="text1"/>
                <w:sz w:val="28"/>
                <w:szCs w:val="28"/>
                <w:lang w:val="en-US" w:eastAsia="zh-CN"/>
                <w14:textFill>
                  <w14:solidFill>
                    <w14:schemeClr w14:val="tx1"/>
                  </w14:solidFill>
                </w14:textFill>
              </w:rPr>
              <w:t>1</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检测机构应建立主要人员培训制度，并按年制定培训计划。</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检测机构应根据工作类型和工作任务提出对人员教育和培训要求，并制定满足培训需求和提供培训的政策和程序，内容包括教育、培训目标，培训计划的制定与实施等。</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是否制定人员培训程序</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人员培训程序，是否包括教育、培训目标，培训计划的制定与实施等内容</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培训计划既要考虑检测机构当前和预期的任务需要，也要考虑检测人员以及其他与检测活动相关人员的资格、能力、经验和监督评价的结果。</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培训计划应包括法律法规、质量管理及专业技能等方面内容。</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培训计划是否与机构当前和预期的任务相适应</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培训计划是否考虑检验检测人员以及其他与检验检测活动相关人员的资格、能力、经验和监督评价的结果</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年度培训计划是否包括法律法规、评审准则、质量管理及专业技能等方面内容</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培训计划内容是否包括培训的课题、培训的时间、培训的对象、培训方式、授课人等</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lang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培训效果的评价：至少包括培训政策和程序的制定、培训需求的识别与分析、培训目标规划、计划的编制与实现、培训的组 织与管理、培训结果的考核方式等方面</w:t>
            </w:r>
            <w:r>
              <w:rPr>
                <w:rFonts w:hint="eastAsia" w:ascii="CESI仿宋-GB2312" w:hAnsi="CESI仿宋-GB2312" w:eastAsia="CESI仿宋-GB2312" w:cs="CESI仿宋-GB2312"/>
                <w:color w:val="000000" w:themeColor="text1"/>
                <w:sz w:val="28"/>
                <w:szCs w:val="28"/>
                <w:lang w:eastAsia="zh-CN"/>
                <w14:textFill>
                  <w14:solidFill>
                    <w14:schemeClr w14:val="tx1"/>
                  </w14:solidFill>
                </w14:textFill>
              </w:rPr>
              <w:t>。</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是否进行培训效果的评价</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培训效果的评价方式是否符合</w:t>
            </w:r>
            <w:r>
              <w:rPr>
                <w:rFonts w:hint="eastAsia" w:asciiTheme="minorEastAsia" w:hAnsiTheme="minorEastAsia" w:eastAsiaTheme="minorEastAsia"/>
                <w:color w:val="000000" w:themeColor="text1"/>
                <w:sz w:val="18"/>
                <w:szCs w:val="18"/>
                <w14:textFill>
                  <w14:solidFill>
                    <w14:schemeClr w14:val="tx1"/>
                  </w14:solidFill>
                </w14:textFill>
              </w:rPr>
              <w:t>质量体系管理</w:t>
            </w:r>
            <w:r>
              <w:rPr>
                <w:rFonts w:asciiTheme="minorEastAsia" w:hAnsiTheme="minorEastAsia" w:eastAsiaTheme="minorEastAsia"/>
                <w:color w:val="000000" w:themeColor="text1"/>
                <w:sz w:val="18"/>
                <w:szCs w:val="18"/>
                <w14:textFill>
                  <w14:solidFill>
                    <w14:schemeClr w14:val="tx1"/>
                  </w14:solidFill>
                </w14:textFill>
              </w:rPr>
              <w:t>规定的要求</w:t>
            </w:r>
            <w:r>
              <w:rPr>
                <w:rFonts w:hint="eastAsia" w:asciiTheme="minorEastAsia" w:hAnsiTheme="minorEastAsia" w:eastAsiaTheme="minorEastAsia"/>
                <w:color w:val="000000" w:themeColor="text1"/>
                <w:sz w:val="18"/>
                <w:szCs w:val="18"/>
                <w14:textFill>
                  <w14:solidFill>
                    <w14:schemeClr w14:val="tx1"/>
                  </w14:solidFill>
                </w14:textFill>
              </w:rPr>
              <w:t>。</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4" w:type="pct"/>
            <w:vAlign w:val="center"/>
          </w:tcPr>
          <w:p>
            <w:pPr>
              <w:spacing w:line="400" w:lineRule="exact"/>
              <w:ind w:firstLine="0" w:firstLineChars="0"/>
              <w:rPr>
                <w:rFonts w:hint="eastAsia" w:ascii="Times New Roman" w:hAnsi="Times New Roman" w:eastAsiaTheme="minorEastAsia"/>
                <w:color w:val="000000" w:themeColor="text1"/>
                <w:sz w:val="28"/>
                <w:szCs w:val="28"/>
                <w:lang w:eastAsia="zh-CN"/>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2.9.</w:t>
            </w:r>
            <w:r>
              <w:rPr>
                <w:rFonts w:hint="eastAsia" w:ascii="Times New Roman" w:hAnsi="Times New Roman"/>
                <w:color w:val="000000" w:themeColor="text1"/>
                <w:sz w:val="28"/>
                <w:szCs w:val="28"/>
                <w:lang w:val="en-US" w:eastAsia="zh-CN"/>
                <w14:textFill>
                  <w14:solidFill>
                    <w14:schemeClr w14:val="tx1"/>
                  </w14:solidFill>
                </w14:textFill>
              </w:rPr>
              <w:t>2</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检测机构应对主要人员建立人员档案，保存相关培训记录、能力确认、劳动合同、社保缴纳证明等，并实施动态管理。</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检测机构应对从事样品接收、设备操作、 检测操作、报告编报告审核、报告批准、档案管理等工作的主要人员建立并保留所有技术人员的档案。</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是否有所有技术人员的档案</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档案内容包括相关授权和能力的确认记录，含确认日期、学历教育证书、取得的资质及证书、培训学习和效果评价、工作经历或技术经历证明、人员记 录中能力要求的确定、人员选择、人员培训、 人员监督、人员授权和人员能力监控等记录。</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档案内容是否齐全目录。 </w:t>
            </w:r>
            <w:r>
              <w:rPr>
                <w:rFonts w:asciiTheme="minorEastAsia" w:hAnsiTheme="minorEastAsia" w:eastAsiaTheme="minorEastAsia"/>
                <w:color w:val="000000" w:themeColor="text1"/>
                <w:sz w:val="18"/>
                <w:szCs w:val="18"/>
                <w14:textFill>
                  <w14:solidFill>
                    <w14:schemeClr w14:val="tx1"/>
                  </w14:solidFill>
                </w14:textFill>
              </w:rPr>
              <w:t>有□无□</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学历教育证书复印件</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有□无□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职称证书复印件</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有□无□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取得的资质及证书</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有□无□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培训学习和效果评价</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有□ 无□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工作经历或技术经历证明</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有□无□</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人员记录中是否有能力要求的确定、人员选择、人员培训、人员监督、人员授权和人员能力监控的记录，并包含授权和能力确认的日期</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left="-11"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人员档案一人一档，档案资料必须及时更新和完善。</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是否一人一档</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是□否□ </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是否及时更新和完善</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2.10</w:t>
            </w:r>
          </w:p>
        </w:tc>
        <w:tc>
          <w:tcPr>
            <w:tcW w:w="4465" w:type="pct"/>
            <w:gridSpan w:val="8"/>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检测机构应当有满足工作需要的固定工作场所及检测场所，其检测环境应符合相关标准要求。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2.10.1*</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检测机构对其检测场所应具有完全的使用权，并能提供不动产权属证书或租赁合同等证明文件。</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306" w:type="pct"/>
            <w:gridSpan w:val="2"/>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35" w:type="pct"/>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检测机构的工作场所与《检测机构资质认可申请书》填写的工作场所地址一致。</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检测机构名称、地址是否与资质许可申请书一致。</w:t>
            </w:r>
            <w:r>
              <w:rPr>
                <w:rFonts w:asciiTheme="minorEastAsia" w:hAnsiTheme="minorEastAsia" w:eastAsiaTheme="minorEastAsia"/>
                <w:color w:val="000000" w:themeColor="text1"/>
                <w:sz w:val="18"/>
                <w:szCs w:val="18"/>
                <w14:textFill>
                  <w14:solidFill>
                    <w14:schemeClr w14:val="tx1"/>
                  </w14:solidFill>
                </w14:textFill>
              </w:rPr>
              <w:t xml:space="preserve">是□否□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306" w:type="pct"/>
            <w:gridSpan w:val="2"/>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35" w:type="pct"/>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检测机构对工作场所具有完全的使用权，并能提供证明文件。如租用、借用场地，期限宜为一个完整资质认可周期且不应少于1年。</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是否有检测场所所有权或合法使用权证明文件(租赁合同及岀租方所有权证明)</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如是租赁场所</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  有效租赁期至：   年</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月</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2.10.2</w:t>
            </w:r>
          </w:p>
        </w:tc>
        <w:tc>
          <w:tcPr>
            <w:tcW w:w="2642" w:type="pct"/>
            <w:gridSpan w:val="3"/>
            <w:vAlign w:val="center"/>
          </w:tcPr>
          <w:p>
            <w:pPr>
              <w:pStyle w:val="6"/>
              <w:shd w:val="clear" w:color="auto" w:fill="FFFFFF"/>
              <w:spacing w:beforeAutospacing="0" w:afterAutospacing="0" w:line="274" w:lineRule="atLeast"/>
              <w:ind w:firstLine="0" w:firstLineChars="0"/>
              <w:jc w:val="both"/>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kern w:val="2"/>
                <w:sz w:val="28"/>
                <w:szCs w:val="28"/>
                <w:lang w:val="en-US" w:eastAsia="zh-CN" w:bidi="ar-SA"/>
                <w14:textFill>
                  <w14:solidFill>
                    <w14:schemeClr w14:val="tx1"/>
                  </w14:solidFill>
                </w14:textFill>
              </w:rPr>
              <w:t>检测机构应具有符合标准或者技术规范要求的检测场所。</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6"/>
              <w:shd w:val="clear" w:color="auto" w:fill="FFFFFF"/>
              <w:spacing w:beforeAutospacing="0" w:afterAutospacing="0" w:line="274" w:lineRule="atLeas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检测机构的工作场所应能完全满足《检测机构资质认可申请书》填写的检测参数能力的要求。</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核查</w:t>
            </w:r>
            <w:r>
              <w:rPr>
                <w:rFonts w:asciiTheme="minorEastAsia" w:hAnsiTheme="minorEastAsia" w:eastAsiaTheme="minorEastAsia"/>
                <w:color w:val="000000" w:themeColor="text1"/>
                <w:sz w:val="18"/>
                <w:szCs w:val="18"/>
                <w14:textFill>
                  <w14:solidFill>
                    <w14:schemeClr w14:val="tx1"/>
                  </w14:solidFill>
                </w14:textFill>
              </w:rPr>
              <w:t>检测机构的工作场所</w:t>
            </w:r>
            <w:r>
              <w:rPr>
                <w:rFonts w:hint="eastAsia" w:asciiTheme="minorEastAsia" w:hAnsiTheme="minorEastAsia" w:eastAsiaTheme="minorEastAsia"/>
                <w:color w:val="000000" w:themeColor="text1"/>
                <w:sz w:val="18"/>
                <w:szCs w:val="18"/>
                <w14:textFill>
                  <w14:solidFill>
                    <w14:schemeClr w14:val="tx1"/>
                  </w14:solidFill>
                </w14:textFill>
              </w:rPr>
              <w:t>的场地空间大小、配套设施是否满足申请的检测参数同时开展检测的要求。</w:t>
            </w: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工作场所</w:t>
            </w:r>
            <w:r>
              <w:rPr>
                <w:rFonts w:hint="eastAsia" w:asciiTheme="minorEastAsia" w:hAnsiTheme="minorEastAsia" w:eastAsiaTheme="minorEastAsia"/>
                <w:color w:val="000000" w:themeColor="text1"/>
                <w:sz w:val="18"/>
                <w:szCs w:val="18"/>
                <w14:textFill>
                  <w14:solidFill>
                    <w14:schemeClr w14:val="tx1"/>
                  </w14:solidFill>
                </w14:textFill>
              </w:rPr>
              <w:t>的布局、功能是否合理，标识是否明确清晰，是否符合检验检测标准或者技术规范的要求。</w:t>
            </w: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工作场所</w:t>
            </w:r>
            <w:r>
              <w:rPr>
                <w:rFonts w:hint="eastAsia" w:asciiTheme="minorEastAsia" w:hAnsiTheme="minorEastAsia" w:eastAsiaTheme="minorEastAsia"/>
                <w:color w:val="000000" w:themeColor="text1"/>
                <w:sz w:val="18"/>
                <w:szCs w:val="18"/>
                <w14:textFill>
                  <w14:solidFill>
                    <w14:schemeClr w14:val="tx1"/>
                  </w14:solidFill>
                </w14:textFill>
              </w:rPr>
              <w:t>分区是否存在相互干扰、功能区划不明确的现象。</w:t>
            </w:r>
          </w:p>
          <w:p>
            <w:pPr>
              <w:snapToGrid w:val="0"/>
              <w:spacing w:line="400" w:lineRule="exact"/>
              <w:ind w:firstLine="3060" w:firstLineChars="170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6"/>
              <w:shd w:val="clear" w:color="auto" w:fill="FFFFFF"/>
              <w:spacing w:beforeAutospacing="0" w:afterAutospacing="0" w:line="274" w:lineRule="atLeas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检测场所包括固定的、临时的、可移动的或者多个地点的场所，应根据所检测参数能力对应的标准规范要求设立。</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检测机构的所有检测场所应有证据证明检测机构对工作场所合法且具有完全的使用权（如产权、租赁合同）。</w:t>
            </w:r>
            <w:r>
              <w:rPr>
                <w:rFonts w:asciiTheme="minorEastAsia" w:hAnsiTheme="minorEastAsia" w:eastAsiaTheme="minorEastAsia"/>
                <w:color w:val="000000" w:themeColor="text1"/>
                <w:sz w:val="18"/>
                <w:szCs w:val="18"/>
                <w14:textFill>
                  <w14:solidFill>
                    <w14:schemeClr w14:val="tx1"/>
                  </w14:solidFill>
                </w14:textFill>
              </w:rPr>
              <w:t>有□无□</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不允许同一检验检测场所同一时期被不同检验检测机构使用及申请资质认定。</w:t>
            </w:r>
            <w:r>
              <w:rPr>
                <w:rFonts w:asciiTheme="minorEastAsia" w:hAnsiTheme="minorEastAsia" w:eastAsiaTheme="minorEastAsia"/>
                <w:color w:val="000000" w:themeColor="text1"/>
                <w:sz w:val="18"/>
                <w:szCs w:val="18"/>
                <w14:textFill>
                  <w14:solidFill>
                    <w14:schemeClr w14:val="tx1"/>
                  </w14:solidFill>
                </w14:textFill>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2.10.3</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检测工作环境及安全条件符合检测活动要求。</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标准或者技术规范对开展检测活动的环境条件有要求，或者当环境条件影响检测结果质量时，检测机构应当对环境条件进行监测、控制和记录，使其持续符合标准或者技术规范要求。</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是否识别并明确规定环境条件满足检验检测工作正常开展的要求（湿度、温度、电压稳定性及接地情况、空气洁净度、 电磁干扰）</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是□否□ </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相应的环境条件控制措施是否确保环境条件符合相关技术标准或规范的规定</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是否有对其定期进行监测的记录（如对温湿度有要求的大型仪器设备室、特殊样品的贮存条件、试剂室、存放样品或标准物质的冰箱等）</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检测机构应当有效识别检测活动所涉及的安全因素（如危险化学品的规范存储和领用、危废处理的合规性、气瓶的安全管理和使用等），并设置必要的防护设施、应急设施，制定相应预案。</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是否对已识别出的检验检测活动所涉及的危及安全和污染环境等因素采取控制措施。</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是否配置了必要的防护设施、应急设施（包括应急预案）等，例如化学类实验室是否配置了个人防护装备、烟雾报警器、洗眼装置及紧急喷淋装置、灭火器材等。</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是否能定期核查这些设施的有效性。</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p>
        </w:tc>
        <w:tc>
          <w:tcPr>
            <w:tcW w:w="2389" w:type="pct"/>
            <w:gridSpan w:val="2"/>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当相邻区域的活动或工作，出现不相容或相互影响时，检测机构应对相关区域进行有效隔离，采取措施消除影响，防止干扰或者交叉污染，以保证环境条件符合检测标准或者技术规范的要求。</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是否对环境条件有要求的或者影响检验检测结果质量的地方进行规定、识别：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是否识别并明确工作场所对所列各影响因素的应对措施， 保证工作场所内的技术活动不致因相关因素的影响而不符合技术标准要求（如灰尘、电磁干扰、湿度、温度、振级等）</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现场条件是否满足消除相关因素的要求</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2.10.</w:t>
            </w:r>
            <w:r>
              <w:rPr>
                <w:rFonts w:hint="eastAsia" w:ascii="Times New Roman" w:hAnsi="Times New Roman"/>
                <w:color w:val="000000" w:themeColor="text1"/>
                <w:sz w:val="28"/>
                <w:szCs w:val="28"/>
                <w14:textFill>
                  <w14:solidFill>
                    <w14:schemeClr w14:val="tx1"/>
                  </w14:solidFill>
                </w14:textFill>
              </w:rPr>
              <w:t>4</w:t>
            </w:r>
          </w:p>
        </w:tc>
        <w:tc>
          <w:tcPr>
            <w:tcW w:w="2642" w:type="pct"/>
            <w:gridSpan w:val="3"/>
            <w:vAlign w:val="center"/>
          </w:tcPr>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exact"/>
              <w:ind w:firstLine="0" w:firstLineChars="0"/>
              <w:jc w:val="both"/>
              <w:textAlignment w:val="auto"/>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kern w:val="2"/>
                <w:sz w:val="28"/>
                <w:szCs w:val="28"/>
                <w:lang w:val="en-US" w:eastAsia="zh-CN" w:bidi="ar-SA"/>
                <w14:textFill>
                  <w14:solidFill>
                    <w14:schemeClr w14:val="tx1"/>
                  </w14:solidFill>
                </w14:textFill>
              </w:rPr>
              <w:t>检测机构存在两个及以上不同地址的多个检测活动场所，均应在同一市（区）行政区内，并满足2.10.1、2.10.2、2.10.3条的规定。</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6"/>
              <w:shd w:val="clear" w:color="auto" w:fill="FFFFFF"/>
              <w:spacing w:beforeAutospacing="0" w:afterAutospacing="0" w:line="274" w:lineRule="atLeas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检测机构存在两个及以上不同地址的多个检测活动场所，每个场所均应满足2.10.1、2.10.2、2.10.3条的规定。</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两个及以上不同地址的多个检测活动场所，每个场所是否满足资质许可的要求。</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6"/>
              <w:shd w:val="clear" w:color="auto" w:fill="FFFFFF"/>
              <w:spacing w:beforeAutospacing="0" w:afterAutospacing="0" w:line="274" w:lineRule="atLeast"/>
              <w:ind w:firstLine="0" w:firstLineChars="0"/>
              <w:jc w:val="center"/>
              <w:rPr>
                <w:rFonts w:ascii="Times New Roman" w:hAnsi="Times New Roman"/>
                <w:color w:val="000000" w:themeColor="text1"/>
                <w:sz w:val="28"/>
                <w:szCs w:val="28"/>
                <w14:textFill>
                  <w14:solidFill>
                    <w14:schemeClr w14:val="tx1"/>
                  </w14:solidFill>
                </w14:textFill>
              </w:rPr>
            </w:pPr>
            <w:r>
              <w:rPr>
                <w:rFonts w:hint="eastAsia" w:cs="Times New Roman"/>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专项资质或综合资质涉及两个及以上不同地址的多个检测活动场所，均应在同一市（区）行政区内。</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多个检测活动场所，是否在同一市（区）行政区内，是否满足资质许可的要求。</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2.11</w:t>
            </w:r>
          </w:p>
        </w:tc>
        <w:tc>
          <w:tcPr>
            <w:tcW w:w="4465" w:type="pct"/>
            <w:gridSpan w:val="8"/>
            <w:vAlign w:val="center"/>
          </w:tcPr>
          <w:p>
            <w:pPr>
              <w:snapToGrid w:val="0"/>
              <w:spacing w:line="400" w:lineRule="exact"/>
              <w:ind w:firstLine="0" w:firstLineChars="0"/>
              <w:jc w:val="both"/>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检测机构检测设备设施应齐全，其功能、量程、精度，配套设备设施应当满足资质许可检测参数要求。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2.11.1*</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检测机构应配备性能和数量满足检测要求检测设备设施，并提供检测设备设施权属证明文件。</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检测机构应当配备性能和数量均满足开展检测（包括抽样、样品制备、数据处理与分析等）工作要求的设备和设施。</w:t>
            </w:r>
          </w:p>
        </w:tc>
        <w:tc>
          <w:tcPr>
            <w:tcW w:w="1822" w:type="pct"/>
            <w:gridSpan w:val="5"/>
            <w:vAlign w:val="center"/>
          </w:tcPr>
          <w:p>
            <w:pPr>
              <w:numPr>
                <w:ilvl w:val="0"/>
                <w:numId w:val="0"/>
              </w:numPr>
              <w:snapToGrid w:val="0"/>
              <w:spacing w:line="4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申报</w:t>
            </w:r>
            <w:r>
              <w:rPr>
                <w:rFonts w:hint="eastAsia" w:asciiTheme="minorEastAsia" w:hAnsiTheme="minorEastAsia" w:eastAsiaTheme="minorEastAsia"/>
                <w:color w:val="000000" w:themeColor="text1"/>
                <w:sz w:val="18"/>
                <w:szCs w:val="18"/>
                <w14:textFill>
                  <w14:solidFill>
                    <w14:schemeClr w14:val="tx1"/>
                  </w14:solidFill>
                </w14:textFill>
              </w:rPr>
              <w:t>检测</w:t>
            </w:r>
            <w:r>
              <w:rPr>
                <w:rFonts w:asciiTheme="minorEastAsia" w:hAnsiTheme="minorEastAsia" w:eastAsiaTheme="minorEastAsia"/>
                <w:color w:val="000000" w:themeColor="text1"/>
                <w:sz w:val="18"/>
                <w:szCs w:val="18"/>
                <w14:textFill>
                  <w14:solidFill>
                    <w14:schemeClr w14:val="tx1"/>
                  </w14:solidFill>
                </w14:textFill>
              </w:rPr>
              <w:t>项目</w:t>
            </w:r>
            <w:r>
              <w:rPr>
                <w:rFonts w:hint="eastAsia" w:asciiTheme="minorEastAsia" w:hAnsiTheme="minorEastAsia" w:eastAsiaTheme="minorEastAsia"/>
                <w:color w:val="000000" w:themeColor="text1"/>
                <w:sz w:val="18"/>
                <w:szCs w:val="18"/>
                <w14:textFill>
                  <w14:solidFill>
                    <w14:schemeClr w14:val="tx1"/>
                  </w14:solidFill>
                </w14:textFill>
              </w:rPr>
              <w:t>/参数</w:t>
            </w:r>
            <w:r>
              <w:rPr>
                <w:rFonts w:asciiTheme="minorEastAsia" w:hAnsiTheme="minorEastAsia" w:eastAsiaTheme="minorEastAsia"/>
                <w:color w:val="000000" w:themeColor="text1"/>
                <w:sz w:val="18"/>
                <w:szCs w:val="18"/>
                <w14:textFill>
                  <w14:solidFill>
                    <w14:schemeClr w14:val="tx1"/>
                  </w14:solidFill>
                </w14:textFill>
              </w:rPr>
              <w:t>所要求的所有仪器设备是否配备齐全，包括所必须的</w:t>
            </w:r>
            <w:r>
              <w:rPr>
                <w:rFonts w:hint="eastAsia" w:asciiTheme="minorEastAsia" w:hAnsiTheme="minorEastAsia" w:eastAsiaTheme="minorEastAsia"/>
                <w:color w:val="000000" w:themeColor="text1"/>
                <w:sz w:val="18"/>
                <w:szCs w:val="18"/>
                <w14:textFill>
                  <w14:solidFill>
                    <w14:schemeClr w14:val="tx1"/>
                  </w14:solidFill>
                </w14:textFill>
              </w:rPr>
              <w:t>工具、</w:t>
            </w:r>
            <w:r>
              <w:rPr>
                <w:rFonts w:asciiTheme="minorEastAsia" w:hAnsiTheme="minorEastAsia" w:eastAsiaTheme="minorEastAsia"/>
                <w:color w:val="000000" w:themeColor="text1"/>
                <w:sz w:val="18"/>
                <w:szCs w:val="18"/>
                <w14:textFill>
                  <w14:solidFill>
                    <w14:schemeClr w14:val="tx1"/>
                  </w14:solidFill>
                </w14:textFill>
              </w:rPr>
              <w:t>配件等，完全满足检验检测包括抽样、制备、数据处理与分析的要求</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numPr>
                <w:ilvl w:val="0"/>
                <w:numId w:val="0"/>
              </w:numPr>
              <w:snapToGrid w:val="0"/>
              <w:spacing w:line="400" w:lineRule="exact"/>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设备配备的数量是否满足检验检测工作量的需求</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在用检测仪器设备一览表是否与实际一致</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检测机构使用租用、借用的设备设施申请资质认定的，应当有合法的租用、借用合同，租用、借用期限不少于1年。并对租用、借用的设备设施具有完全的使用权、支配权。同一台设备设施不得共同租用、借用、使用。</w:t>
            </w:r>
          </w:p>
        </w:tc>
        <w:tc>
          <w:tcPr>
            <w:tcW w:w="1822" w:type="pct"/>
            <w:gridSpan w:val="5"/>
            <w:vAlign w:val="center"/>
          </w:tcPr>
          <w:p>
            <w:pPr>
              <w:numPr>
                <w:ilvl w:val="0"/>
                <w:numId w:val="0"/>
              </w:numPr>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olor w:val="000000" w:themeColor="text1"/>
                <w:sz w:val="18"/>
                <w:szCs w:val="18"/>
                <w14:textFill>
                  <w14:solidFill>
                    <w14:schemeClr w14:val="tx1"/>
                  </w14:solidFill>
                </w14:textFill>
              </w:rPr>
              <w:t>是否有租赁设备</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是□ 否□  不适用□</w:t>
            </w:r>
          </w:p>
          <w:p>
            <w:pPr>
              <w:numPr>
                <w:ilvl w:val="0"/>
                <w:numId w:val="0"/>
              </w:numPr>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是否提供租赁、借用合同（期限不少于1 年）及产权证明复印件</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numPr>
                <w:ilvl w:val="0"/>
                <w:numId w:val="0"/>
              </w:numPr>
              <w:snapToGrid w:val="0"/>
              <w:spacing w:line="400" w:lineRule="exac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olor w:val="000000" w:themeColor="text1"/>
                <w:sz w:val="18"/>
                <w:szCs w:val="18"/>
                <w14:textFill>
                  <w14:solidFill>
                    <w14:schemeClr w14:val="tx1"/>
                  </w14:solidFill>
                </w14:textFill>
              </w:rPr>
              <w:t>租用、借用设备设施的管理是否纳入检验检测机构的管理体系</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both"/>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4.机构是否提供其对租用、借用的设备设施具有支配权、使用权的证明材料。</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2.11.2</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检测机构应当对影响检测数据、结果准确性或有效性的设备（包括用于测量环境条件等辅助测量设备）实施检定、校准或核查，保证数据、结果满足计量溯源性要求。</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1</w:t>
            </w:r>
            <w:r>
              <w:rPr>
                <w:rFonts w:hint="eastAsia" w:ascii="CESI仿宋-GB2312" w:hAnsi="CESI仿宋-GB2312" w:eastAsia="CESI仿宋-GB2312" w:cs="CESI仿宋-GB2312"/>
                <w:color w:val="000000" w:themeColor="text1"/>
                <w:sz w:val="28"/>
                <w:szCs w:val="28"/>
                <w14:textFill>
                  <w14:solidFill>
                    <w14:schemeClr w14:val="tx1"/>
                  </w14:solidFill>
                </w14:textFill>
              </w:rPr>
              <w:t>.对检测数据、结果有影响的设备（包括仪器、软件、测量标准、参考数据、试剂、消耗品、辅助设备或相应组合装置），投入使用前应当实施核查、检定或者校准及周期核查、检定或者校准。</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28"/>
                <w:szCs w:val="28"/>
                <w14:textFill>
                  <w14:solidFill>
                    <w14:schemeClr w14:val="tx1"/>
                  </w14:solidFill>
                </w14:textFill>
              </w:rPr>
              <w:t>.设备检定或者校准应当满足计量溯源性要求。</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3</w:t>
            </w:r>
            <w:r>
              <w:rPr>
                <w:rFonts w:hint="eastAsia" w:ascii="CESI仿宋-GB2312" w:hAnsi="CESI仿宋-GB2312" w:eastAsia="CESI仿宋-GB2312" w:cs="CESI仿宋-GB2312"/>
                <w:color w:val="000000" w:themeColor="text1"/>
                <w:sz w:val="28"/>
                <w:szCs w:val="28"/>
                <w14:textFill>
                  <w14:solidFill>
                    <w14:schemeClr w14:val="tx1"/>
                  </w14:solidFill>
                </w14:textFill>
              </w:rPr>
              <w:t>.设备的核查、使用、维护、保管、运输等应符合相应的程序以确保其溯源的有效性。</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是否制定仪器设备检定/校准计划</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hint="eastAsia" w:asciiTheme="minorEastAsia" w:hAnsiTheme="minorEastAsia" w:eastAsiaTheme="minorEastAsia"/>
                <w:color w:val="000000" w:themeColor="text1"/>
                <w:sz w:val="18"/>
                <w:szCs w:val="18"/>
                <w14:textFill>
                  <w14:solidFill>
                    <w14:schemeClr w14:val="tx1"/>
                  </w14:solidFill>
                </w14:textFill>
              </w:rPr>
              <w:t>设备在投入使用和重新投入使用前（如周期的计量溯源，设备脱离直接控制、出现故障修复后等）是否按规定要求实施了必要的检定、校准或核查</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检验检测设备的溯源的状态标识是否粘贴（合格标识，不合格的贴停用标识，部分功能受限或降级使用的贴准用标识）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olor w:val="000000" w:themeColor="text1"/>
                <w:sz w:val="18"/>
                <w:szCs w:val="18"/>
                <w14:textFill>
                  <w14:solidFill>
                    <w14:schemeClr w14:val="tx1"/>
                  </w14:solidFill>
                </w14:textFill>
              </w:rPr>
              <w:t>当开展内部校准时，是否提供的完整的活动记录。</w:t>
            </w:r>
            <w:r>
              <w:rPr>
                <w:rFonts w:asciiTheme="minorEastAsia" w:hAnsiTheme="minorEastAsia" w:eastAsiaTheme="minorEastAsia"/>
                <w:color w:val="000000" w:themeColor="text1"/>
                <w:sz w:val="18"/>
                <w:szCs w:val="18"/>
                <w14:textFill>
                  <w14:solidFill>
                    <w14:schemeClr w14:val="tx1"/>
                  </w14:solidFill>
                </w14:textFill>
              </w:rPr>
              <w:t xml:space="preserve"> 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1</w:t>
            </w:r>
            <w:r>
              <w:rPr>
                <w:rFonts w:hint="eastAsia" w:ascii="CESI仿宋-GB2312" w:hAnsi="CESI仿宋-GB2312" w:eastAsia="CESI仿宋-GB2312" w:cs="CESI仿宋-GB2312"/>
                <w:color w:val="000000" w:themeColor="text1"/>
                <w:sz w:val="28"/>
                <w:szCs w:val="28"/>
                <w14:textFill>
                  <w14:solidFill>
                    <w14:schemeClr w14:val="tx1"/>
                  </w14:solidFill>
                </w14:textFill>
              </w:rPr>
              <w:t>.对检定、校准或核查的结果进行有效性确认，确保其满足预期使用要求。包括溯源文件的有效性、检定、校准或核查的结果与预期使用的计量要求相比较以及所要求的标识。</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2</w:t>
            </w:r>
            <w:r>
              <w:rPr>
                <w:rFonts w:hint="eastAsia" w:ascii="CESI仿宋-GB2312" w:hAnsi="CESI仿宋-GB2312" w:eastAsia="CESI仿宋-GB2312" w:cs="CESI仿宋-GB2312"/>
                <w:color w:val="000000" w:themeColor="text1"/>
                <w:sz w:val="28"/>
                <w:szCs w:val="28"/>
                <w14:textFill>
                  <w14:solidFill>
                    <w14:schemeClr w14:val="tx1"/>
                  </w14:solidFill>
                </w14:textFill>
              </w:rPr>
              <w:t>.所有修正信息得到有效利用、更新和备份。</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3</w:t>
            </w:r>
            <w:r>
              <w:rPr>
                <w:rFonts w:hint="eastAsia" w:ascii="CESI仿宋-GB2312" w:hAnsi="CESI仿宋-GB2312" w:eastAsia="CESI仿宋-GB2312" w:cs="CESI仿宋-GB2312"/>
                <w:color w:val="000000" w:themeColor="text1"/>
                <w:sz w:val="28"/>
                <w:szCs w:val="28"/>
                <w14:textFill>
                  <w14:solidFill>
                    <w14:schemeClr w14:val="tx1"/>
                  </w14:solidFill>
                </w14:textFill>
              </w:rPr>
              <w:t>.无法溯源到国家或国际测量标准时，检验检测机构应当保留检测结果相关性或准确性的证据。</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4</w:t>
            </w:r>
            <w:r>
              <w:rPr>
                <w:rFonts w:hint="eastAsia" w:ascii="CESI仿宋-GB2312" w:hAnsi="CESI仿宋-GB2312" w:eastAsia="CESI仿宋-GB2312" w:cs="CESI仿宋-GB2312"/>
                <w:color w:val="000000" w:themeColor="text1"/>
                <w:sz w:val="28"/>
                <w:szCs w:val="28"/>
                <w14:textFill>
                  <w14:solidFill>
                    <w14:schemeClr w14:val="tx1"/>
                  </w14:solidFill>
                </w14:textFill>
              </w:rPr>
              <w:t>.检测机构的参考标准及其使用应满足溯源要求。</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是否对自校结果进行确认</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是□ 否□ 不适用□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在对检定/校准结果进行确认时，是否明确了需要使用的修正因子</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3.</w:t>
            </w:r>
            <w:r>
              <w:rPr>
                <w:rFonts w:asciiTheme="minorEastAsia" w:hAnsiTheme="minorEastAsia" w:eastAsiaTheme="minorEastAsia"/>
                <w:color w:val="000000" w:themeColor="text1"/>
                <w:sz w:val="18"/>
                <w:szCs w:val="18"/>
                <w14:textFill>
                  <w14:solidFill>
                    <w14:schemeClr w14:val="tx1"/>
                  </w14:solidFill>
                </w14:textFill>
              </w:rPr>
              <w:t>是否采取措施便于修正因子使用、备份和更新</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4.</w:t>
            </w:r>
            <w:r>
              <w:rPr>
                <w:rFonts w:asciiTheme="minorEastAsia" w:hAnsiTheme="minorEastAsia" w:eastAsiaTheme="minorEastAsia"/>
                <w:color w:val="000000" w:themeColor="text1"/>
                <w:sz w:val="18"/>
                <w:szCs w:val="18"/>
                <w14:textFill>
                  <w14:solidFill>
                    <w14:schemeClr w14:val="tx1"/>
                  </w14:solidFill>
                </w14:textFill>
              </w:rPr>
              <w:t>是否每次使用仪器设备时，将修正因子带入到检测数据中 进行修正</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5.</w:t>
            </w:r>
            <w:r>
              <w:rPr>
                <w:rFonts w:asciiTheme="minorEastAsia" w:hAnsiTheme="minorEastAsia" w:eastAsiaTheme="minorEastAsia"/>
                <w:color w:val="000000" w:themeColor="text1"/>
                <w:sz w:val="18"/>
                <w:szCs w:val="18"/>
                <w14:textFill>
                  <w14:solidFill>
                    <w14:schemeClr w14:val="tx1"/>
                  </w14:solidFill>
                </w14:textFill>
              </w:rPr>
              <w:t>无法溯源到国家或国际测量标准时，测量结果应溯源至 SI、公认的或约定的测量方法、标准，或通过比对等途径， 证明其测量结果与同类检验检测机构的一致性（如使用有证标准物质（参考物质）对某种材料给出可靠的物理或化学特性、使用规定方法和/或被有关各方接受并描述清晰的协议标准、参加三家以上实验室间比对结果等）</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6.</w:t>
            </w:r>
            <w:r>
              <w:rPr>
                <w:rFonts w:asciiTheme="minorEastAsia" w:hAnsiTheme="minorEastAsia" w:eastAsiaTheme="minorEastAsia"/>
                <w:color w:val="000000" w:themeColor="text1"/>
                <w:sz w:val="18"/>
                <w:szCs w:val="18"/>
                <w14:textFill>
                  <w14:solidFill>
                    <w14:schemeClr w14:val="tx1"/>
                  </w14:solidFill>
                </w14:textFill>
              </w:rPr>
              <w:t>当测量结果溯源至公认的或约定的测量方法、标准时，检验检测机构是否提供了该方法、标准的来源等相关证据</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7.</w:t>
            </w:r>
            <w:r>
              <w:rPr>
                <w:rFonts w:asciiTheme="minorEastAsia" w:hAnsiTheme="minorEastAsia" w:eastAsiaTheme="minorEastAsia"/>
                <w:color w:val="000000" w:themeColor="text1"/>
                <w:sz w:val="18"/>
                <w:szCs w:val="18"/>
                <w14:textFill>
                  <w14:solidFill>
                    <w14:schemeClr w14:val="tx1"/>
                  </w14:solidFill>
                </w14:textFill>
              </w:rPr>
              <w:t>相关的管理程序是否规定参考标准的溯源</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8.</w:t>
            </w:r>
            <w:r>
              <w:rPr>
                <w:rFonts w:asciiTheme="minorEastAsia" w:hAnsiTheme="minorEastAsia" w:eastAsiaTheme="minorEastAsia"/>
                <w:color w:val="000000" w:themeColor="text1"/>
                <w:sz w:val="18"/>
                <w:szCs w:val="18"/>
                <w14:textFill>
                  <w14:solidFill>
                    <w14:schemeClr w14:val="tx1"/>
                  </w14:solidFill>
                </w14:textFill>
              </w:rPr>
              <w:t>参考标准是否按要求溯源并记录</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2.11.3</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检测机构使用标准物质，应当满足计量溯源性要求。可能时，应溯源到国际单位制（SI）单位或有证标准物质。</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若使用标准物质，应当满足计量溯源性要求，可能时，溯源到SI单位或者有证标准物质。</w:t>
            </w:r>
          </w:p>
        </w:tc>
        <w:tc>
          <w:tcPr>
            <w:tcW w:w="1822" w:type="pct"/>
            <w:gridSpan w:val="5"/>
            <w:vAlign w:val="center"/>
          </w:tcPr>
          <w:p>
            <w:pPr>
              <w:pStyle w:val="13"/>
              <w:numPr>
                <w:ilvl w:val="0"/>
                <w:numId w:val="0"/>
              </w:numPr>
              <w:snapToGrid w:val="0"/>
              <w:spacing w:line="400" w:lineRule="exact"/>
              <w:ind w:left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asciiTheme="minorEastAsia" w:hAnsiTheme="minorEastAsia" w:eastAsiaTheme="minorEastAsia"/>
                <w:color w:val="000000" w:themeColor="text1"/>
                <w:sz w:val="18"/>
                <w:szCs w:val="18"/>
                <w14:textFill>
                  <w14:solidFill>
                    <w14:schemeClr w14:val="tx1"/>
                  </w14:solidFill>
                </w14:textFill>
              </w:rPr>
              <w:t>相关的管理程序是否规定标准物质的溯源</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是否按要求溯源并记录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right="-185" w:rightChars="-88"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w:t>
            </w:r>
            <w:r>
              <w:rPr>
                <w:rFonts w:hint="eastAsia" w:ascii="Times New Roman" w:hAnsi="Times New Roman"/>
                <w:color w:val="000000" w:themeColor="text1"/>
                <w:sz w:val="28"/>
                <w:szCs w:val="28"/>
                <w14:textFill>
                  <w14:solidFill>
                    <w14:schemeClr w14:val="tx1"/>
                  </w14:solidFill>
                </w14:textFill>
              </w:rPr>
              <w:t>1</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olor w:val="000000" w:themeColor="text1"/>
                <w:sz w:val="28"/>
                <w:szCs w:val="28"/>
                <w14:textFill>
                  <w14:solidFill>
                    <w14:schemeClr w14:val="tx1"/>
                  </w14:solidFill>
                </w14:textFill>
              </w:rPr>
              <w:t>4</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检测机构应对检测数据具有重要影响的设备设施制定管理制度，建立设备档案，并指定专人实施动态管理。</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检验检测机构应对设备的核查、使用、维护、保管、运输等过程进行规范管理以确保其功能正常，并防止污染或性能退化。</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是否建立相关的管理程序，描述检验检测设备和设施的申请、购买、安全处置、运输、存储、使用、维护、修理、溯源、确认、停用、隔离、报废等规定</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是否有措施防止其污染或性能退化</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是否有措施确保设备在运输、存储和使用时，具有安全保障</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有□ 无□ </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检测机构配置的仪器设备、设施</w:t>
            </w:r>
            <w:r>
              <w:rPr>
                <w:rFonts w:asciiTheme="minorEastAsia" w:hAnsiTheme="minorEastAsia" w:eastAsiaTheme="minorEastAsia"/>
                <w:color w:val="000000" w:themeColor="text1"/>
                <w:sz w:val="18"/>
                <w:szCs w:val="18"/>
                <w14:textFill>
                  <w14:solidFill>
                    <w14:schemeClr w14:val="tx1"/>
                  </w14:solidFill>
                </w14:textFill>
              </w:rPr>
              <w:t>是否满足检验检测工作需要</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对检验检测具有重要影响的设备及其软件应有相关记录，建立设备档案，并安排专人实施动态管理，及时补充相关的信息。记录至少应包括以下信息:</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1.设备及其软件的识别;</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2.制造商名称、型式标识、系列号或其他唯一性标识;</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3.核查设备是否符合规范;</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4.当前位置(适用时)，或指明其放置地点;</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5.制造商的说明书(如果有);</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6.检定、校准报告或证书的日期、结果，设备调整、验收准则和下次校准的预定日期;</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7.设备维护计划，及维护记录 (适用时) ;</w:t>
            </w:r>
          </w:p>
          <w:p>
            <w:pPr>
              <w:snapToGrid w:val="0"/>
              <w:spacing w:line="400" w:lineRule="exact"/>
              <w:ind w:firstLine="0" w:firstLineChars="0"/>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8.设备的任何损坏、故障、改装或修理情况记录;</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9.量值溯源结果确认。</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w:t>
            </w:r>
            <w:r>
              <w:rPr>
                <w:rFonts w:asciiTheme="minorEastAsia" w:hAnsiTheme="minorEastAsia" w:eastAsiaTheme="minorEastAsia"/>
                <w:color w:val="000000" w:themeColor="text1"/>
                <w:sz w:val="18"/>
                <w:szCs w:val="18"/>
                <w14:textFill>
                  <w14:solidFill>
                    <w14:schemeClr w14:val="tx1"/>
                  </w14:solidFill>
                </w14:textFill>
              </w:rPr>
              <w:t>建立设备档案</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相关的管理程序是否规定仪器设备的档案内容至少包括给出的 9个方面</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仪器设备档案资料是否符合规定的要求</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是否及时更新和完善</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5</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是否制定设备维护计划</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6</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是否按照设备维护计划执行，并保存维护记录</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7</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是否保存设备的任何损坏、故障、改装或修理的记录</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8</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改装或修理后的设备是否进行再检定或校准（见4.4.5条款）</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是□ 否□ 不适用□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9</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设备使用和维护的最新版说明书（包括设备制造商提供的有关手册）是否便于检验检测人员取用</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.12</w:t>
            </w:r>
          </w:p>
        </w:tc>
        <w:tc>
          <w:tcPr>
            <w:tcW w:w="4465" w:type="pct"/>
            <w:gridSpan w:val="8"/>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管理体系】检测机构应当有完善的组织机构和质量管理体系，有健全的技术、档案等管理制度，并确保组织机构和管理体系能够得到有效、可控、稳定实施，持续符合检测机构资质许可条件以及相关要求。综合资质检测机构并应满足《检测和校准实验室能力的通用要求》GB/T2702-2019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2.12.1</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检测机构应当依据法律法规、标准的规定制定完善的组织机构和管理体系，包括政策、制度、计划、程序和作业指导书等。</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检测机构应依据相关法律法规、国家标准、行业标准、国际标准建立管理体系。检验检测机构建立的管理体系应符合自身实际情况，适应自身检验检测活动。</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检测机构的</w:t>
            </w:r>
            <w:r>
              <w:rPr>
                <w:rFonts w:asciiTheme="minorEastAsia" w:hAnsiTheme="minorEastAsia" w:eastAsiaTheme="minorEastAsia"/>
                <w:color w:val="000000" w:themeColor="text1"/>
                <w:sz w:val="18"/>
                <w:szCs w:val="18"/>
                <w14:textFill>
                  <w14:solidFill>
                    <w14:schemeClr w14:val="tx1"/>
                  </w14:solidFill>
                </w14:textFill>
              </w:rPr>
              <w:t>管理体系文件是否符合</w:t>
            </w:r>
            <w:r>
              <w:rPr>
                <w:rFonts w:hint="eastAsia" w:asciiTheme="minorEastAsia" w:hAnsiTheme="minorEastAsia" w:eastAsiaTheme="minorEastAsia"/>
                <w:color w:val="000000" w:themeColor="text1"/>
                <w:sz w:val="18"/>
                <w:szCs w:val="18"/>
                <w14:textFill>
                  <w14:solidFill>
                    <w14:schemeClr w14:val="tx1"/>
                  </w14:solidFill>
                </w14:textFill>
              </w:rPr>
              <w:t>相关法律法规、国家标准、行业标准。</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建立的管理体系是否与其活动范围相适应</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 xml:space="preserve"> 。</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检测机构的管理体系文件应包括但不限于质量手册、程序文件、作业指导书及记录表格等。</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检测机构应包括质量管理部分、技术管理部分和行政管理部分等。其文件化内容应涵盖检测机构所有场所和所有检测项目。</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管理体系文件中是否在职责中明确表明质量管理、技术管理和行政管理三者之间的关系，并符合实际运作。是□否□</w:t>
            </w:r>
            <w:r>
              <w:rPr>
                <w:rFonts w:asciiTheme="minorEastAsia" w:hAnsiTheme="minorEastAsia" w:eastAsiaTheme="minorEastAsia"/>
                <w:color w:val="000000" w:themeColor="text1"/>
                <w:sz w:val="18"/>
                <w:szCs w:val="18"/>
                <w14:textFill>
                  <w14:solidFill>
                    <w14:schemeClr w14:val="tx1"/>
                  </w14:solidFill>
                </w14:textFill>
              </w:rPr>
              <w:cr/>
            </w: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是否与检测机构活动类型、范围、工作量相适应，是否具有可操作性</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管理体系文件是否覆盖检测机构申请的所有场所和所有检测项目。</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各场所的隶属关系及工作接口是否描述清晰，各分场所内部的组织机构（适用时）及人员职责是否明确。</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检测机构应明确内部组织构成，并通过组织结构图来表述。非独立法人的检测机构， 应明确其与所属法人以及所属法人的其他组成部门的相互关系。</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管理体系文件是否明确</w:t>
            </w:r>
            <w:r>
              <w:rPr>
                <w:rFonts w:hint="eastAsia" w:asciiTheme="minorEastAsia" w:hAnsiTheme="minorEastAsia" w:eastAsiaTheme="minorEastAsia"/>
                <w:color w:val="000000" w:themeColor="text1"/>
                <w:sz w:val="18"/>
                <w:szCs w:val="18"/>
                <w14:textFill>
                  <w14:solidFill>
                    <w14:schemeClr w14:val="tx1"/>
                  </w14:solidFill>
                </w14:textFill>
              </w:rPr>
              <w:t>检测机构</w:t>
            </w:r>
            <w:r>
              <w:rPr>
                <w:rFonts w:asciiTheme="minorEastAsia" w:hAnsiTheme="minorEastAsia" w:eastAsiaTheme="minorEastAsia"/>
                <w:color w:val="000000" w:themeColor="text1"/>
                <w:sz w:val="18"/>
                <w:szCs w:val="18"/>
                <w14:textFill>
                  <w14:solidFill>
                    <w14:schemeClr w14:val="tx1"/>
                  </w14:solidFill>
                </w14:textFill>
              </w:rPr>
              <w:t>内部组织构成，并通过组织结构图来表述，符合实际运作</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非独立法人的检验检测机构，是否通过组织结构图，明确其与所属法人以及所属法人的其他组成部门的相互关系，并符合实际运作</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2389" w:type="pct"/>
            <w:gridSpan w:val="2"/>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检测机构内部组织机构框图中明确表明管理、技术运作和支持服务之间的关系。</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管理体系文件中是否在职责中明确表明质量管理、技术管理和行政管理三者之间的关系，并符合实际运作</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是□否□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.2</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检测机构建立的组织机构和管理体系应当符合自身实际情况并有效运行。</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检测机构的组织机构和管理体系件应明确规定了管理体系的建立、实施和保持的责任主体和措施，明确规定管理层（或最高管理者）的相关职责，各级管理人员的职责权限，及与管理层保持沟通的全渠道等。</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检测机构是否明确规定了管理体系的建立、实施和保持的责任主体和措施。</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是否明确规定了质量管理、技术管理和行政管理的职责权限，及与管理层保持沟通的全渠道等。</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检测机构的管理体系应当有效运行，并能提供其管理体系有效、可控、稳定实施的证据，如定期的人员培训、内部审核、管理评审、质量控制等活动记录。</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检测机构管理体系形成文件后，应当以适当的方式传达至有关人员，使其能够“获取、理解、执行”管理体系。</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检测机构应保存管理体系有效运行的活动记录。</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检测机构应配备检验检测活动所需的资源，包括人员、设施、设备、系统及支持服务。</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检测机构是否配备检验检测活动所需的资源，包括人员、</w:t>
            </w:r>
            <w:r>
              <w:rPr>
                <w:rFonts w:hint="eastAsia" w:asciiTheme="minorEastAsia" w:hAnsiTheme="minorEastAsia" w:eastAsiaTheme="minorEastAsia"/>
                <w:color w:val="000000" w:themeColor="text1"/>
                <w:sz w:val="18"/>
                <w:szCs w:val="18"/>
                <w14:textFill>
                  <w14:solidFill>
                    <w14:schemeClr w14:val="tx1"/>
                  </w14:solidFill>
                </w14:textFill>
              </w:rPr>
              <w:t>场所</w:t>
            </w:r>
            <w:r>
              <w:rPr>
                <w:rFonts w:asciiTheme="minorEastAsia" w:hAnsiTheme="minorEastAsia" w:eastAsiaTheme="minorEastAsia"/>
                <w:color w:val="000000" w:themeColor="text1"/>
                <w:sz w:val="18"/>
                <w:szCs w:val="18"/>
                <w14:textFill>
                  <w14:solidFill>
                    <w14:schemeClr w14:val="tx1"/>
                  </w14:solidFill>
                </w14:textFill>
              </w:rPr>
              <w:t>设施、设备</w:t>
            </w:r>
            <w:r>
              <w:rPr>
                <w:rFonts w:hint="eastAsia" w:asciiTheme="minorEastAsia" w:hAnsiTheme="minorEastAsia" w:eastAsiaTheme="minorEastAsia"/>
                <w:color w:val="000000" w:themeColor="text1"/>
                <w:sz w:val="18"/>
                <w:szCs w:val="18"/>
                <w14:textFill>
                  <w14:solidFill>
                    <w14:schemeClr w14:val="tx1"/>
                  </w14:solidFill>
                </w14:textFill>
              </w:rPr>
              <w:t>来支撑</w:t>
            </w:r>
            <w:r>
              <w:rPr>
                <w:rFonts w:asciiTheme="minorEastAsia" w:hAnsiTheme="minorEastAsia" w:eastAsiaTheme="minorEastAsia"/>
                <w:color w:val="000000" w:themeColor="text1"/>
                <w:sz w:val="18"/>
                <w:szCs w:val="18"/>
                <w14:textFill>
                  <w14:solidFill>
                    <w14:schemeClr w14:val="tx1"/>
                  </w14:solidFill>
                </w14:textFill>
              </w:rPr>
              <w:t>管理体系</w:t>
            </w:r>
            <w:r>
              <w:rPr>
                <w:rFonts w:hint="eastAsia" w:asciiTheme="minorEastAsia" w:hAnsiTheme="minorEastAsia" w:eastAsiaTheme="minorEastAsia"/>
                <w:color w:val="000000" w:themeColor="text1"/>
                <w:sz w:val="18"/>
                <w:szCs w:val="18"/>
                <w14:textFill>
                  <w14:solidFill>
                    <w14:schemeClr w14:val="tx1"/>
                  </w14:solidFill>
                </w14:textFill>
              </w:rPr>
              <w:t xml:space="preserve">的有效运行。 </w:t>
            </w:r>
            <w:r>
              <w:rPr>
                <w:rFonts w:asciiTheme="minorEastAsia" w:hAnsiTheme="minorEastAsia" w:eastAsiaTheme="minorEastAsia"/>
                <w:color w:val="000000" w:themeColor="text1"/>
                <w:sz w:val="18"/>
                <w:szCs w:val="18"/>
                <w14:textFill>
                  <w14:solidFill>
                    <w14:schemeClr w14:val="tx1"/>
                  </w14:solidFill>
                </w14:textFill>
              </w:rPr>
              <w:t xml:space="preserve">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w:t>
            </w:r>
            <w:r>
              <w:rPr>
                <w:rFonts w:hint="eastAsia" w:ascii="Times New Roman" w:hAnsi="Times New Roman"/>
                <w:color w:val="000000" w:themeColor="text1"/>
                <w:sz w:val="28"/>
                <w:szCs w:val="28"/>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t>.3</w:t>
            </w:r>
          </w:p>
        </w:tc>
        <w:tc>
          <w:tcPr>
            <w:tcW w:w="2648" w:type="pct"/>
            <w:gridSpan w:val="4"/>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检测机构建立的组织机构应明确其组织结构及管理、技术运行和支持检测之间的关系，对各层级进行界定，明确职责权限，并在组织机构图中予以指明。</w:t>
            </w:r>
          </w:p>
        </w:tc>
        <w:tc>
          <w:tcPr>
            <w:tcW w:w="419"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806" w:type="pct"/>
            <w:gridSpan w:val="2"/>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95" w:type="pct"/>
            <w:gridSpan w:val="3"/>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检测机构内设机构及部门以相应文件的方式确认，至少应有业务管理、检测技术等部门。各部门职能明确，尽量避免交叉重复，并能按分工开展工作。</w:t>
            </w:r>
          </w:p>
        </w:tc>
        <w:tc>
          <w:tcPr>
            <w:tcW w:w="1816" w:type="pct"/>
            <w:gridSpan w:val="4"/>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olor w:val="000000" w:themeColor="text1"/>
                <w:sz w:val="18"/>
                <w:szCs w:val="18"/>
                <w14:textFill>
                  <w14:solidFill>
                    <w14:schemeClr w14:val="tx1"/>
                  </w14:solidFill>
                </w14:textFill>
              </w:rPr>
              <w:t>检测机构是否有内设机构及部门的文件。</w:t>
            </w: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检测机构内设机构是否业务管理、检测技术等部门。</w:t>
            </w: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left="4140" w:hanging="4140" w:hangingChars="230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查看检测机构管理体系中的职能分配表是否明确各部门职能。</w:t>
            </w:r>
            <w:r>
              <w:rPr>
                <w:rFonts w:asciiTheme="minorEastAsia" w:hAnsiTheme="minorEastAsia" w:eastAsiaTheme="minorEastAsia"/>
                <w:color w:val="000000" w:themeColor="text1"/>
                <w:sz w:val="18"/>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95" w:type="pct"/>
            <w:gridSpan w:val="3"/>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有组织机构框图。标明各组成部门主要职责及相互关系、负责人姓名和职称。如检测机构为某一组织的一部分时，应标明与相关部门在管理、技术运作和支持服务等方面的关系。</w:t>
            </w:r>
          </w:p>
        </w:tc>
        <w:tc>
          <w:tcPr>
            <w:tcW w:w="1816" w:type="pct"/>
            <w:gridSpan w:val="4"/>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查看检测机构组织机构框体，是否明确其内外部关系。</w:t>
            </w:r>
          </w:p>
          <w:p>
            <w:pPr>
              <w:snapToGrid w:val="0"/>
              <w:spacing w:line="400" w:lineRule="exact"/>
              <w:ind w:firstLine="4140" w:firstLineChars="230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查看检测机构组织机构框体是否标明相关信息。</w:t>
            </w:r>
            <w:r>
              <w:rPr>
                <w:rFonts w:asciiTheme="minorEastAsia" w:hAnsiTheme="minorEastAsia" w:eastAsiaTheme="minorEastAsia"/>
                <w:color w:val="000000" w:themeColor="text1"/>
                <w:sz w:val="18"/>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95" w:type="pct"/>
            <w:gridSpan w:val="3"/>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机构内部设置的主要岗位人员设置合理，并在质量手册中明确岗位职责。</w:t>
            </w:r>
          </w:p>
        </w:tc>
        <w:tc>
          <w:tcPr>
            <w:tcW w:w="1816" w:type="pct"/>
            <w:gridSpan w:val="4"/>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检测机构是否有内设主要岗位人员的文件。</w:t>
            </w:r>
            <w:r>
              <w:rPr>
                <w:rFonts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查看检测机构管理体系中是否明确人员的岗位职责。</w:t>
            </w:r>
            <w:r>
              <w:rPr>
                <w:rFonts w:asciiTheme="minorEastAsia" w:hAnsiTheme="minorEastAsia" w:eastAsiaTheme="minorEastAsia"/>
                <w:color w:val="000000" w:themeColor="text1"/>
                <w:sz w:val="18"/>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w:t>
            </w:r>
            <w:r>
              <w:rPr>
                <w:rFonts w:hint="eastAsia" w:ascii="Times New Roman" w:hAnsi="Times New Roman"/>
                <w:color w:val="000000" w:themeColor="text1"/>
                <w:sz w:val="28"/>
                <w:szCs w:val="28"/>
                <w14:textFill>
                  <w14:solidFill>
                    <w14:schemeClr w14:val="tx1"/>
                  </w14:solidFill>
                </w14:textFill>
              </w:rPr>
              <w:t>4</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检测机构的质量管理体系至少应包括下列内容：管理体系文件、管理体系文件的控制、记录控制、应对风险和机遇的措施、改进、纠正措施、内部审核、管理评审等。</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1</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检测机构应建立符合自身实际状况，适应自身检测活动并能保证其独立、公正、科学、诚信的管理体系。</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检测机构应建立保证其检验检测活动独立、公正、科学、诚信的管理体系。是□否□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2</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检测机构的质量方针、质量目标应进行系统的规定和管理，从而实现预期结果。</w:t>
            </w:r>
          </w:p>
        </w:tc>
        <w:tc>
          <w:tcPr>
            <w:tcW w:w="1822" w:type="pct"/>
            <w:gridSpan w:val="5"/>
            <w:vAlign w:val="center"/>
          </w:tcPr>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是否制定发布质量方针声明和质量目标</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是否对质量方针的适宜性、有效性、充分性进行评价</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是否对质量目标完成情况进行考核</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3</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检测机构的质量管理体系应将政策、制度、计划、程序、和指导书等过程要素文件化。</w:t>
            </w:r>
          </w:p>
        </w:tc>
        <w:tc>
          <w:tcPr>
            <w:tcW w:w="1822" w:type="pct"/>
            <w:gridSpan w:val="5"/>
            <w:vAlign w:val="center"/>
          </w:tcPr>
          <w:p>
            <w:pPr>
              <w:snapToGrid w:val="0"/>
              <w:spacing w:line="400" w:lineRule="exact"/>
              <w:ind w:firstLine="0" w:firstLineChars="0"/>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1.机构是否依据相关法律法规、标准的规定制定完善的管理体系文件，包括</w:t>
            </w:r>
            <w:r>
              <w:rPr>
                <w:rFonts w:hint="eastAsia" w:asciiTheme="minorEastAsia" w:hAnsiTheme="minorEastAsia" w:eastAsiaTheme="minorEastAsia"/>
                <w:color w:val="000000" w:themeColor="text1"/>
                <w:sz w:val="18"/>
                <w:szCs w:val="18"/>
                <w14:textFill>
                  <w14:solidFill>
                    <w14:schemeClr w14:val="tx1"/>
                  </w14:solidFill>
                </w14:textFill>
              </w:rPr>
              <w:t>政策、制度、计划、程序、和指导书等</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制定成文件</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2.管理体系文件是否符合</w:t>
            </w:r>
            <w:r>
              <w:rPr>
                <w:rFonts w:asciiTheme="minorEastAsia" w:hAnsiTheme="minorEastAsia" w:eastAsiaTheme="minorEastAsia"/>
                <w:color w:val="000000" w:themeColor="text1"/>
                <w:sz w:val="18"/>
                <w:szCs w:val="18"/>
                <w14:textFill>
                  <w14:solidFill>
                    <w14:schemeClr w14:val="tx1"/>
                  </w14:solidFill>
                </w14:textFill>
              </w:rPr>
              <w:t>机构的实际</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情况并有效运行</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4</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质量管理体系至少应包括管理体系文件、管理体系文件的控制、记录控制、应对风险和机遇的措施、改进、纠正措施、内部审核、管理评审等。</w:t>
            </w:r>
          </w:p>
        </w:tc>
        <w:tc>
          <w:tcPr>
            <w:tcW w:w="1822" w:type="pct"/>
            <w:gridSpan w:val="5"/>
            <w:vAlign w:val="center"/>
          </w:tcPr>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机构的管理体系至少应包括：管理体系文件、 管理体系文件的控制、记录控制、应对风险和机遇的措施、改进、纠正措施、内部审核和管理评审</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5</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检测机构的质量管理体系形成文件后，应当以适当的方式传达有关人员，使其能够“获取、理解、执行”管理体系。</w:t>
            </w:r>
          </w:p>
        </w:tc>
        <w:tc>
          <w:tcPr>
            <w:tcW w:w="1822" w:type="pct"/>
            <w:gridSpan w:val="5"/>
            <w:vAlign w:val="center"/>
          </w:tcPr>
          <w:p>
            <w:pPr>
              <w:snapToGrid w:val="0"/>
              <w:spacing w:line="400" w:lineRule="exact"/>
              <w:ind w:left="360" w:hanging="360" w:hangingChars="200"/>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1.机构制定的体系文件是否有宣贯培训计划并按照计划实施。    是□ 否□</w:t>
            </w:r>
          </w:p>
          <w:p>
            <w:pPr>
              <w:snapToGrid w:val="0"/>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2.机构形成的管理体系文件是否便于员工“获取、 理解、执行”。是□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w:t>
            </w:r>
            <w:r>
              <w:rPr>
                <w:rFonts w:hint="eastAsia" w:ascii="Times New Roman" w:hAnsi="Times New Roman"/>
                <w:color w:val="000000" w:themeColor="text1"/>
                <w:sz w:val="28"/>
                <w:szCs w:val="28"/>
                <w14:textFill>
                  <w14:solidFill>
                    <w14:schemeClr w14:val="tx1"/>
                  </w14:solidFill>
                </w14:textFill>
              </w:rPr>
              <w:t>5</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检测机构应正确使用有效的方法开检测活动。检测方法包括标准方法和非标准方法，应当优先使用标准方法。使用标准方法前应当进行验证；使用非标准方法前，应当先对方法进行确认，再验证。</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sym w:font="Wingdings 2" w:char="00A3"/>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检测机构申请的标准方法应正确、有效，与申报的检测项目相符。</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机构申请的标准方法是否正确、有效。</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机构是否保留现行有效的标准方法。</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检测机构在初次使用标准方法前，应进行方法验证，并提供相关证明材料。</w:t>
            </w:r>
          </w:p>
        </w:tc>
        <w:tc>
          <w:tcPr>
            <w:tcW w:w="1822" w:type="pct"/>
            <w:gridSpan w:val="5"/>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检测机构在初次使用标准方法前，是否进行了方法验证，并提供相关证明材料。</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检测机构应根据检测工作的需要制定作业指导书，作业指导书的内容应能保证检测人员操作的一致性。</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因标准、规范、方法不能被检测人员直接使用，或其内容不便于理解，规定不够简明或缺少足够的信息，或方法中有可选择的步骤，会在方法运用时造成因人而异，可能影响检验检测数据和结果正确性时，是否制定作业指导书（含附加细则或补充文件）</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作业指导书是否符合相关标准的要求</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 不适用□</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制定的作业指导书是否经过验证审批后使用</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4</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制定作业指导书（含附加细则或补充文件）等是否纳入受</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控管理</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2389" w:type="pct"/>
            <w:gridSpan w:val="2"/>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检测机构应对检测方法标准定期查新和保留查新记录做出文件化规定，并能提供对检测标准的定期查新记录。</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1.</w:t>
            </w:r>
            <w:r>
              <w:rPr>
                <w:rFonts w:hint="eastAsia" w:asciiTheme="minorEastAsia" w:hAnsiTheme="minorEastAsia" w:eastAsiaTheme="minorEastAsia"/>
                <w:color w:val="000000" w:themeColor="text1"/>
                <w:sz w:val="18"/>
                <w:szCs w:val="18"/>
                <w14:textFill>
                  <w14:solidFill>
                    <w14:schemeClr w14:val="tx1"/>
                  </w14:solidFill>
                </w14:textFill>
              </w:rPr>
              <w:t>机构是否建立检测方法查新的规定。是□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2.</w:t>
            </w:r>
            <w:r>
              <w:rPr>
                <w:rFonts w:asciiTheme="minorEastAsia" w:hAnsiTheme="minorEastAsia" w:eastAsiaTheme="minorEastAsia"/>
                <w:color w:val="000000" w:themeColor="text1"/>
                <w:sz w:val="18"/>
                <w:szCs w:val="18"/>
                <w14:textFill>
                  <w14:solidFill>
                    <w14:schemeClr w14:val="tx1"/>
                  </w14:solidFill>
                </w14:textFill>
              </w:rPr>
              <w:t>机构</w:t>
            </w:r>
            <w:r>
              <w:rPr>
                <w:rFonts w:hint="eastAsia" w:asciiTheme="minorEastAsia" w:hAnsiTheme="minorEastAsia" w:eastAsiaTheme="minorEastAsia"/>
                <w:color w:val="000000" w:themeColor="text1"/>
                <w:sz w:val="18"/>
                <w:szCs w:val="18"/>
                <w14:textFill>
                  <w14:solidFill>
                    <w14:schemeClr w14:val="tx1"/>
                  </w14:solidFill>
                </w14:textFill>
              </w:rPr>
              <w:t>是否按规定进行标准查新，并保留标准方法查新的记录。</w:t>
            </w:r>
          </w:p>
          <w:p>
            <w:pPr>
              <w:snapToGrid w:val="0"/>
              <w:spacing w:line="400" w:lineRule="exact"/>
              <w:ind w:firstLine="3960" w:firstLineChars="220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w:t>
            </w:r>
            <w:r>
              <w:rPr>
                <w:rFonts w:asciiTheme="minorEastAsia" w:hAnsiTheme="minorEastAsia" w:eastAsiaTheme="minorEastAsia"/>
                <w:color w:val="000000" w:themeColor="text1"/>
                <w:sz w:val="18"/>
                <w:szCs w:val="18"/>
                <w14:textFill>
                  <w14:solidFill>
                    <w14:schemeClr w14:val="tx1"/>
                  </w14:solidFill>
                </w14:textFill>
              </w:rPr>
              <w:t>使用的方法，是否是现行有效的</w:t>
            </w:r>
            <w:r>
              <w:rPr>
                <w:rFonts w:hint="eastAsia" w:asciiTheme="minorEastAsia" w:hAnsiTheme="minorEastAsia" w:eastAsiaTheme="minorEastAsia"/>
                <w:color w:val="000000" w:themeColor="text1"/>
                <w:sz w:val="18"/>
                <w:szCs w:val="18"/>
                <w14:textFill>
                  <w14:solidFill>
                    <w14:schemeClr w14:val="tx1"/>
                  </w14:solidFill>
                </w14:textFill>
              </w:rPr>
              <w:t>。是□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w:t>
            </w:r>
            <w:r>
              <w:rPr>
                <w:rFonts w:hint="eastAsia" w:ascii="Times New Roman" w:hAnsi="Times New Roman"/>
                <w:color w:val="000000" w:themeColor="text1"/>
                <w:sz w:val="28"/>
                <w:szCs w:val="28"/>
                <w14:textFill>
                  <w14:solidFill>
                    <w14:schemeClr w14:val="tx1"/>
                  </w14:solidFill>
                </w14:textFill>
              </w:rPr>
              <w:t>6</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检测机构出具的检测报告，应当客观真实、方法有效、数据完整、信息齐全、结论明确、表述清晰并使用法定计量单位。</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检测机构应准确、清晰、明确和客观地以书面或电子方式出具检测报告。检测报告应当客观真实、方法有效、数据完整、信息齐全、结论明确、表述清晰并使用法定计量单位。</w:t>
            </w:r>
          </w:p>
        </w:tc>
        <w:tc>
          <w:tcPr>
            <w:tcW w:w="1822" w:type="pct"/>
            <w:gridSpan w:val="5"/>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检测机构是否制定检验检测报告或证书控制程序，保证准确、清晰、明确和客观地出具的报告或证书满足前述基本要求。是□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检测机构在资质许可范围内出具的报告，报告的编制应符合行业管理的相关规定。</w:t>
            </w:r>
          </w:p>
        </w:tc>
        <w:tc>
          <w:tcPr>
            <w:tcW w:w="1822" w:type="pct"/>
            <w:gridSpan w:val="5"/>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检测报告的编制应依照行业管理要求，并在机构管理体系中进行明确。是□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检测机构开展检测活动的原始记录信息能有效支撑对应出具的报告内容，以确保报告的可追溯性。</w:t>
            </w:r>
          </w:p>
        </w:tc>
        <w:tc>
          <w:tcPr>
            <w:tcW w:w="1822" w:type="pct"/>
            <w:gridSpan w:val="5"/>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每项检测的记录是否信息充分（如样品、检测条件、涉及量值溯源的设备或标准物质、检测过程等），保证能够再现其检测活动，实现可追溯性。</w:t>
            </w: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如有电子签名的检测报告，检测机构质量体系文件中应有使用电子签名的规定，规定使用可靠的电子签名。</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是否建立并执行电子签名的相关程序和管理制度。</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hint="eastAsia"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电子签名的检测报告，其等效标识是否具有唯一性和安全性。是□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w:t>
            </w:r>
            <w:r>
              <w:rPr>
                <w:rFonts w:hint="eastAsia" w:ascii="Times New Roman" w:hAnsi="Times New Roman"/>
                <w:color w:val="000000" w:themeColor="text1"/>
                <w:sz w:val="28"/>
                <w:szCs w:val="28"/>
                <w14:textFill>
                  <w14:solidFill>
                    <w14:schemeClr w14:val="tx1"/>
                  </w14:solidFill>
                </w14:textFill>
              </w:rPr>
              <w:t>7</w:t>
            </w:r>
          </w:p>
        </w:tc>
        <w:tc>
          <w:tcPr>
            <w:tcW w:w="2642" w:type="pct"/>
            <w:gridSpan w:val="3"/>
            <w:vAlign w:val="center"/>
          </w:tcPr>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当实施有效的数据、结果质量控制活动，质量控制活动与检验检测工作相适应。数据、结果质量控制活动包括内部质量控制活动和外部质量控制活动。内部质量控制活动包括人员比对、设备比对、留样再测、盲样考核等。外部质量控制活动包括但不限于能力验证、实验室间比对等。</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检测机构的管理体系文件，应包含对数据、结果质量控制方面的相关规定，包括内部质量控制活动和外部质量控制活动的全部要求。</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机构管理体系文件，是否包含了对数据、结果质量控制方面的相关规定(程序</w:t>
            </w:r>
            <w:r>
              <w:rPr>
                <w:rFonts w:asciiTheme="minorEastAsia" w:hAnsiTheme="minorEastAsia" w:eastAsiaTheme="minorEastAsia"/>
                <w:color w:val="000000" w:themeColor="text1"/>
                <w:sz w:val="18"/>
                <w:szCs w:val="18"/>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是否明确检测过程</w:t>
            </w:r>
            <w:r>
              <w:rPr>
                <w:rFonts w:hint="eastAsia" w:asciiTheme="minorEastAsia" w:hAnsiTheme="minorEastAsia" w:eastAsiaTheme="minorEastAsia"/>
                <w:color w:val="000000" w:themeColor="text1"/>
                <w:sz w:val="18"/>
                <w:szCs w:val="18"/>
                <w14:textFill>
                  <w14:solidFill>
                    <w14:schemeClr w14:val="tx1"/>
                  </w14:solidFill>
                </w14:textFill>
              </w:rPr>
              <w:t>控制要求，并覆盖资质认定范围内的全部检验检测项目类别。</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是否包括了内部质量控制活动和外部质量控制活动的全部要求。</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检测机构能提供其年度质量控制活动计划及实施记录。记录内容至少应包括：质控对象、质控方式、组织者、（预计）实施的时间、参加人员、评价依据、质控结果与结果评价等内容。</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是否制定年度质量控制计划。</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是否按照年度质量控制计划实施，并提供相应的记录</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记录内容是否包括：质控对象、质控方式、组织者、（预计）实施的时间、参加人员、评价依据、质控结果与结果评价等内容。是□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机构参加能力验证活动应满足行业主管部门制定的相关规定要求。保留参加能力验证活动的相关记录。记录内容至少应包括：任务书、检验检测技术记录，结果反馈证书及结果评价等内容。</w:t>
            </w:r>
          </w:p>
        </w:tc>
        <w:tc>
          <w:tcPr>
            <w:tcW w:w="1822" w:type="pct"/>
            <w:gridSpan w:val="5"/>
            <w:vAlign w:val="center"/>
          </w:tcPr>
          <w:p>
            <w:pPr>
              <w:snapToGrid w:val="0"/>
              <w:spacing w:line="400" w:lineRule="exact"/>
              <w:ind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机构是否参加资质</w:t>
            </w:r>
            <w:r>
              <w:rPr>
                <w:rFonts w:hint="eastAsia" w:asciiTheme="minorEastAsia" w:hAnsiTheme="minorEastAsia" w:eastAsiaTheme="minorEastAsia"/>
                <w:color w:val="000000" w:themeColor="text1"/>
                <w:sz w:val="18"/>
                <w:szCs w:val="18"/>
                <w14:textFill>
                  <w14:solidFill>
                    <w14:schemeClr w14:val="tx1"/>
                  </w14:solidFill>
                </w14:textFill>
              </w:rPr>
              <w:t>许可</w:t>
            </w:r>
            <w:r>
              <w:rPr>
                <w:rFonts w:asciiTheme="minorEastAsia" w:hAnsiTheme="minorEastAsia" w:eastAsiaTheme="minorEastAsia"/>
                <w:color w:val="000000" w:themeColor="text1"/>
                <w:sz w:val="18"/>
                <w:szCs w:val="18"/>
                <w14:textFill>
                  <w14:solidFill>
                    <w14:schemeClr w14:val="tx1"/>
                  </w14:solidFill>
                </w14:textFill>
              </w:rPr>
              <w:t>部门所要求的能力验证或者检验</w:t>
            </w:r>
            <w:r>
              <w:rPr>
                <w:rFonts w:hint="eastAsia" w:asciiTheme="minorEastAsia" w:hAnsiTheme="minorEastAsia" w:eastAsiaTheme="minorEastAsia"/>
                <w:color w:val="000000" w:themeColor="text1"/>
                <w:sz w:val="18"/>
                <w:szCs w:val="18"/>
                <w14:textFill>
                  <w14:solidFill>
                    <w14:schemeClr w14:val="tx1"/>
                  </w14:solidFill>
                </w14:textFill>
              </w:rPr>
              <w:t>检测机构间比对活动，并留参加相应的记录。</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numPr>
                <w:ilvl w:val="0"/>
                <w:numId w:val="0"/>
              </w:numPr>
              <w:spacing w:line="400" w:lineRule="exact"/>
              <w:ind w:left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检测机构提供的内部质控材料，应能确认其开展内部质量控制活动的针对性和有效性与本机构开展检测活动的类型相适宜，能覆盖了本机构的资质许可能力范围。</w:t>
            </w:r>
          </w:p>
        </w:tc>
        <w:tc>
          <w:tcPr>
            <w:tcW w:w="1822" w:type="pct"/>
            <w:gridSpan w:val="5"/>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年度质量控制计划是否覆盖检测能力领域的各个类</w:t>
            </w:r>
            <w:r>
              <w:rPr>
                <w:rFonts w:hint="eastAsia" w:asciiTheme="minorEastAsia" w:hAnsiTheme="minorEastAsia" w:eastAsiaTheme="minorEastAsia"/>
                <w:color w:val="000000" w:themeColor="text1"/>
                <w:sz w:val="18"/>
                <w:szCs w:val="18"/>
                <w14:textFill>
                  <w14:solidFill>
                    <w14:schemeClr w14:val="tx1"/>
                  </w14:solidFill>
                </w14:textFill>
              </w:rPr>
              <w:t>别。</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是□ 否□</w:t>
            </w:r>
          </w:p>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left"/>
              <w:textAlignment w:val="auto"/>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年度质量控制计划内容是否包括领域类别、项目/参数、</w:t>
            </w:r>
            <w:r>
              <w:rPr>
                <w:rFonts w:hint="eastAsia" w:asciiTheme="minorEastAsia" w:hAnsiTheme="minorEastAsia" w:eastAsiaTheme="minorEastAsia"/>
                <w:color w:val="000000" w:themeColor="text1"/>
                <w:sz w:val="18"/>
                <w:szCs w:val="18"/>
                <w14:textFill>
                  <w14:solidFill>
                    <w14:schemeClr w14:val="tx1"/>
                  </w14:solidFill>
                </w14:textFill>
              </w:rPr>
              <w:t>时间、方法、人员、评价方式。是□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rFonts w:hint="eastAsia"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w:t>
            </w:r>
          </w:p>
        </w:tc>
        <w:tc>
          <w:tcPr>
            <w:tcW w:w="2389" w:type="pct"/>
            <w:gridSpan w:val="2"/>
            <w:vAlign w:val="center"/>
          </w:tcPr>
          <w:p>
            <w:pPr>
              <w:snapToGrid w:val="0"/>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检测机构在开展的内部或外部质量控制活动中发现数据异常或超出了预先判定规则，应保留有其组织原因分析，必要时采取的有效的措施纠正和防止报告错误的结果（包括必要时追回报告）等活动的证明材料。</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是否对质量控制结果</w:t>
            </w:r>
            <w:r>
              <w:rPr>
                <w:rFonts w:hint="eastAsia" w:asciiTheme="minorEastAsia" w:hAnsiTheme="minorEastAsia" w:eastAsiaTheme="minorEastAsia"/>
                <w:color w:val="000000" w:themeColor="text1"/>
                <w:sz w:val="18"/>
                <w:szCs w:val="18"/>
                <w14:textFill>
                  <w14:solidFill>
                    <w14:schemeClr w14:val="tx1"/>
                  </w14:solidFill>
                </w14:textFill>
              </w:rPr>
              <w:t>果进行评价，并采取相应的纠正措施、预防措施。</w:t>
            </w:r>
            <w:r>
              <w:rPr>
                <w:rFonts w:asciiTheme="minorEastAsia" w:hAnsiTheme="minorEastAsia" w:eastAsiaTheme="minorEastAsia"/>
                <w:color w:val="000000" w:themeColor="text1"/>
                <w:sz w:val="18"/>
                <w:szCs w:val="18"/>
                <w14:textFill>
                  <w14:solidFill>
                    <w14:schemeClr w14:val="tx1"/>
                  </w14:solidFill>
                </w14:textFill>
              </w:rPr>
              <w:t>是□ 否□</w:t>
            </w:r>
          </w:p>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当分析质量控制数据发现其偏离预先判断时，是否采取有计划的措施来纠正出现的问题，防止报告错误的结果</w:t>
            </w:r>
            <w:r>
              <w:rPr>
                <w:rFonts w:hint="eastAsia" w:asciiTheme="minorEastAsia" w:hAnsiTheme="minorEastAsia" w:eastAsiaTheme="minorEastAsia"/>
                <w:color w:val="000000" w:themeColor="text1"/>
                <w:sz w:val="18"/>
                <w:szCs w:val="18"/>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34" w:type="pc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2.12.</w:t>
            </w:r>
            <w:r>
              <w:rPr>
                <w:rFonts w:hint="eastAsia" w:ascii="Times New Roman" w:hAnsi="Times New Roman"/>
                <w:color w:val="000000" w:themeColor="text1"/>
                <w:sz w:val="28"/>
                <w:szCs w:val="28"/>
                <w14:textFill>
                  <w14:solidFill>
                    <w14:schemeClr w14:val="tx1"/>
                  </w14:solidFill>
                </w14:textFill>
              </w:rPr>
              <w:t>8</w:t>
            </w:r>
          </w:p>
        </w:tc>
        <w:tc>
          <w:tcPr>
            <w:tcW w:w="2642" w:type="pct"/>
            <w:gridSpan w:val="3"/>
            <w:vAlign w:val="center"/>
          </w:tcPr>
          <w:p>
            <w:pPr>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检测机构应有完善的信息化管理系统，应当具有保障安全性、完整性、正确性措施，确保质量检测活动全过程可追溯。</w:t>
            </w:r>
          </w:p>
        </w:tc>
        <w:tc>
          <w:tcPr>
            <w:tcW w:w="550" w:type="pct"/>
            <w:gridSpan w:val="3"/>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68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c>
          <w:tcPr>
            <w:tcW w:w="591" w:type="pct"/>
            <w:vAlign w:val="center"/>
          </w:tcPr>
          <w:p>
            <w:pPr>
              <w:snapToGrid w:val="0"/>
              <w:spacing w:line="400" w:lineRule="exact"/>
              <w:ind w:firstLine="0" w:firstLineChars="0"/>
              <w:jc w:val="center"/>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pct"/>
            <w:vMerge w:val="restart"/>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检测机构有完善的信息化管理系统，并符合厅检测机构信息化管理系统要求。</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机构是否建立检测信息化管理系统。是□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信息化系统是否能保证检测活动全过程可追溯。是□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hint="eastAsia" w:ascii="Times New Roman" w:hAnsi="Times New Roman"/>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机构是否对其信息管理系统进行有效管理，以保证获得检验检测活动所需的数据和信息。是□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管理体系文件中应包含了计算机信息系统的保护数据完整性、安全性和不可伪造篡改的内容，以及电子存储和传输结果的规定。</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机构应建立和保持计算机信息系统的数据完整性、正确性和保密性的保护程序。是□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hint="eastAsia"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机构是否制定的保障检测信息管理系统安全性、完整性、正确性的管理措施。是□</w:t>
            </w:r>
            <w:r>
              <w:rPr>
                <w:rFonts w:asciiTheme="minorEastAsia" w:hAnsiTheme="minorEastAsia" w:eastAsiaTheme="minorEastAsia"/>
                <w:color w:val="000000" w:themeColor="text1"/>
                <w:sz w:val="18"/>
                <w:szCs w:val="18"/>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检测信息化管理系统应能确保检验检测数据、结果不被篡改，并实现不丢失、可追溯功能。对信息化管理系统、数据采集系统、数据处理系统的正确性进行了验证，能保留了相关活动的记录。</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机构是否保留检测信息管理系统记录和设备运行记录，确认其能否确保检验检测数据、结果不被篡改，并实现不丢失、可追溯功能。是□</w:t>
            </w:r>
            <w:r>
              <w:rPr>
                <w:rFonts w:asciiTheme="minorEastAsia" w:hAnsiTheme="minorEastAsia" w:eastAsiaTheme="minorEastAsia"/>
                <w:color w:val="000000" w:themeColor="text1"/>
                <w:sz w:val="18"/>
                <w:szCs w:val="18"/>
                <w14:textFill>
                  <w14:solidFill>
                    <w14:schemeClr w14:val="tx1"/>
                  </w14:solidFill>
                </w14:textFill>
              </w:rPr>
              <w:t xml:space="preserve"> 否□</w:t>
            </w:r>
          </w:p>
          <w:p>
            <w:pPr>
              <w:snapToGrid w:val="0"/>
              <w:spacing w:line="400" w:lineRule="exact"/>
              <w:ind w:firstLine="0" w:firstLineChars="0"/>
              <w:jc w:val="left"/>
              <w:rPr>
                <w:rFonts w:ascii="Times New Roman" w:hAnsi="Times New Roman"/>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2</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机构是否定期对利用计算机或自动化设备采集、处理、记录、报告、存储或检索的检测数据进行检查、手工计算，确保数据的完整性、真实性、准确性，并保留相关记录。</w:t>
            </w:r>
            <w:r>
              <w:rPr>
                <w:rFonts w:asciiTheme="minorEastAsia" w:hAnsiTheme="minorEastAsia" w:eastAsiaTheme="minorEastAsia"/>
                <w:color w:val="000000" w:themeColor="text1"/>
                <w:sz w:val="18"/>
                <w:szCs w:val="18"/>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34" w:type="pct"/>
            <w:vMerge w:val="continue"/>
            <w:vAlign w:val="center"/>
          </w:tcPr>
          <w:p>
            <w:pPr>
              <w:spacing w:line="400" w:lineRule="exact"/>
              <w:ind w:firstLine="0" w:firstLineChars="0"/>
              <w:rPr>
                <w:rFonts w:ascii="Times New Roman" w:hAnsi="Times New Roman"/>
                <w:color w:val="000000" w:themeColor="text1"/>
                <w:sz w:val="28"/>
                <w:szCs w:val="28"/>
                <w14:textFill>
                  <w14:solidFill>
                    <w14:schemeClr w14:val="tx1"/>
                  </w14:solidFill>
                </w14:textFill>
              </w:rPr>
            </w:pPr>
          </w:p>
        </w:tc>
        <w:tc>
          <w:tcPr>
            <w:tcW w:w="252" w:type="pct"/>
            <w:vAlign w:val="center"/>
          </w:tcPr>
          <w:p>
            <w:pPr>
              <w:pStyle w:val="15"/>
              <w:spacing w:line="400" w:lineRule="exact"/>
              <w:ind w:firstLine="0" w:firstLineChars="0"/>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4</w:t>
            </w:r>
          </w:p>
        </w:tc>
        <w:tc>
          <w:tcPr>
            <w:tcW w:w="2389" w:type="pct"/>
            <w:gridSpan w:val="2"/>
            <w:vAlign w:val="center"/>
          </w:tcPr>
          <w:p>
            <w:pPr>
              <w:spacing w:line="400" w:lineRule="exact"/>
              <w:ind w:firstLine="0" w:firstLineChars="0"/>
              <w:jc w:val="left"/>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pPr>
            <w:r>
              <w:rPr>
                <w:rFonts w:hint="eastAsia" w:ascii="CESI仿宋-GB2312" w:hAnsi="CESI仿宋-GB2312" w:eastAsia="CESI仿宋-GB2312" w:cs="CESI仿宋-GB2312"/>
                <w:color w:val="000000" w:themeColor="text1"/>
                <w:sz w:val="28"/>
                <w:szCs w:val="28"/>
                <w:lang w:val="en-US" w:eastAsia="zh-CN"/>
                <w14:textFill>
                  <w14:solidFill>
                    <w14:schemeClr w14:val="tx1"/>
                  </w14:solidFill>
                </w14:textFill>
              </w:rPr>
              <w:t>有人负责管理、维护检测信息化管理系统。</w:t>
            </w:r>
          </w:p>
        </w:tc>
        <w:tc>
          <w:tcPr>
            <w:tcW w:w="1822" w:type="pct"/>
            <w:gridSpan w:val="5"/>
            <w:vAlign w:val="center"/>
          </w:tcPr>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1</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是否规定</w:t>
            </w:r>
            <w:r>
              <w:rPr>
                <w:rFonts w:hint="eastAsia" w:asciiTheme="minorEastAsia" w:hAnsiTheme="minorEastAsia" w:eastAsiaTheme="minorEastAsia"/>
                <w:color w:val="000000" w:themeColor="text1"/>
                <w:sz w:val="18"/>
                <w:szCs w:val="18"/>
                <w14:textFill>
                  <w14:solidFill>
                    <w14:schemeClr w14:val="tx1"/>
                  </w14:solidFill>
                </w14:textFill>
              </w:rPr>
              <w:t>检测信息化系统管理人员</w:t>
            </w:r>
            <w:r>
              <w:rPr>
                <w:rFonts w:asciiTheme="minorEastAsia" w:hAnsiTheme="minorEastAsia" w:eastAsiaTheme="minorEastAsia"/>
                <w:color w:val="000000" w:themeColor="text1"/>
                <w:sz w:val="18"/>
                <w:szCs w:val="18"/>
                <w14:textFill>
                  <w14:solidFill>
                    <w14:schemeClr w14:val="tx1"/>
                  </w14:solidFill>
                </w14:textFill>
              </w:rPr>
              <w:t>的职责、权力、任职要求。是□否□</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lang w:eastAsia="zh-CN"/>
                <w14:textFill>
                  <w14:solidFill>
                    <w14:schemeClr w14:val="tx1"/>
                  </w14:solidFill>
                </w14:textFill>
              </w:rPr>
              <w:t>２</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hint="eastAsia" w:asciiTheme="minorEastAsia" w:hAnsiTheme="minorEastAsia" w:eastAsiaTheme="minorEastAsia"/>
                <w:color w:val="000000" w:themeColor="text1"/>
                <w:sz w:val="18"/>
                <w:szCs w:val="18"/>
                <w14:textFill>
                  <w14:solidFill>
                    <w14:schemeClr w14:val="tx1"/>
                  </w14:solidFill>
                </w14:textFill>
              </w:rPr>
              <w:t>计算机和自动设备所必需的环境和运行条件是否满足要求，以保护检测数据完整性。</w:t>
            </w:r>
            <w:r>
              <w:rPr>
                <w:rFonts w:asciiTheme="minorEastAsia" w:hAnsiTheme="minorEastAsia" w:eastAsiaTheme="minorEastAsia"/>
                <w:color w:val="000000" w:themeColor="text1"/>
                <w:sz w:val="18"/>
                <w:szCs w:val="18"/>
                <w14:textFill>
                  <w14:solidFill>
                    <w14:schemeClr w14:val="tx1"/>
                  </w14:solidFill>
                </w14:textFill>
              </w:rPr>
              <w:t xml:space="preserve"> 是□ 否□</w:t>
            </w:r>
          </w:p>
          <w:p>
            <w:pPr>
              <w:snapToGrid w:val="0"/>
              <w:spacing w:line="400" w:lineRule="exact"/>
              <w:ind w:firstLine="0" w:firstLineChars="0"/>
              <w:jc w:val="left"/>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color w:val="000000" w:themeColor="text1"/>
                <w:sz w:val="18"/>
                <w:szCs w:val="18"/>
                <w:lang w:eastAsia="zh-CN"/>
                <w14:textFill>
                  <w14:solidFill>
                    <w14:schemeClr w14:val="tx1"/>
                  </w14:solidFill>
                </w14:textFill>
              </w:rPr>
              <w:t>３</w:t>
            </w:r>
            <w:r>
              <w:rPr>
                <w:rFonts w:hint="eastAsia" w:asciiTheme="minorEastAsia" w:hAnsiTheme="minorEastAsia" w:eastAsiaTheme="minorEastAsia"/>
                <w:color w:val="000000" w:themeColor="text1"/>
                <w:sz w:val="18"/>
                <w:szCs w:val="18"/>
                <w:lang w:val="en-US" w:eastAsia="zh-CN"/>
                <w14:textFill>
                  <w14:solidFill>
                    <w14:schemeClr w14:val="tx1"/>
                  </w14:solidFill>
                </w14:textFill>
              </w:rPr>
              <w:t>.</w:t>
            </w:r>
            <w:r>
              <w:rPr>
                <w:rFonts w:asciiTheme="minorEastAsia" w:hAnsiTheme="minorEastAsia" w:eastAsiaTheme="minorEastAsia"/>
                <w:color w:val="000000" w:themeColor="text1"/>
                <w:sz w:val="18"/>
                <w:szCs w:val="18"/>
                <w14:textFill>
                  <w14:solidFill>
                    <w14:schemeClr w14:val="tx1"/>
                  </w14:solidFill>
                </w14:textFill>
              </w:rPr>
              <w:t>是否定期维护保养计算机和自动设备以确保其功能正常</w:t>
            </w:r>
            <w:r>
              <w:rPr>
                <w:rFonts w:hint="eastAsia" w:asciiTheme="minorEastAsia" w:hAnsiTheme="minorEastAsia" w:eastAsiaTheme="minorEastAsia"/>
                <w:color w:val="000000" w:themeColor="text1"/>
                <w:sz w:val="18"/>
                <w:szCs w:val="18"/>
                <w:lang w:eastAsia="zh-CN"/>
                <w14:textFill>
                  <w14:solidFill>
                    <w14:schemeClr w14:val="tx1"/>
                  </w14:solidFill>
                </w14:textFill>
              </w:rPr>
              <w:t>。</w:t>
            </w:r>
          </w:p>
          <w:p>
            <w:pPr>
              <w:snapToGrid w:val="0"/>
              <w:spacing w:line="400" w:lineRule="exact"/>
              <w:ind w:firstLine="0" w:firstLineChars="0"/>
              <w:jc w:val="left"/>
              <w:rPr>
                <w:rFonts w:asciiTheme="minorEastAsia" w:hAnsiTheme="minorEastAsia" w:eastAsiaTheme="minorEastAsia"/>
                <w:color w:val="000000" w:themeColor="text1"/>
                <w:sz w:val="18"/>
                <w:szCs w:val="18"/>
                <w14:textFill>
                  <w14:solidFill>
                    <w14:schemeClr w14:val="tx1"/>
                  </w14:solidFill>
                </w14:textFill>
              </w:rPr>
            </w:pPr>
            <w:r>
              <w:rPr>
                <w:rFonts w:asciiTheme="minorEastAsia" w:hAnsiTheme="minorEastAsia" w:eastAsiaTheme="minorEastAsia"/>
                <w:color w:val="000000" w:themeColor="text1"/>
                <w:sz w:val="18"/>
                <w:szCs w:val="18"/>
                <w14:textFill>
                  <w14:solidFill>
                    <w14:schemeClr w14:val="tx1"/>
                  </w14:solidFill>
                </w14:textFill>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87" w:type="pct"/>
            <w:gridSpan w:val="2"/>
            <w:vAlign w:val="center"/>
          </w:tcPr>
          <w:p>
            <w:pPr>
              <w:pStyle w:val="15"/>
              <w:spacing w:line="400" w:lineRule="exact"/>
              <w:ind w:firstLine="0" w:firstLineChars="0"/>
              <w:rPr>
                <w:rFonts w:hint="eastAsia"/>
                <w:color w:val="000000" w:themeColor="text1"/>
                <w:sz w:val="28"/>
                <w:szCs w:val="28"/>
                <w14:textFill>
                  <w14:solidFill>
                    <w14:schemeClr w14:val="tx1"/>
                  </w14:solidFill>
                </w14:textFill>
              </w:rPr>
            </w:pPr>
            <w:r>
              <w:rPr>
                <w:rFonts w:hint="eastAsia" w:ascii="CESI仿宋-GB2312" w:hAnsi="CESI仿宋-GB2312" w:eastAsia="CESI仿宋-GB2312" w:cs="CESI仿宋-GB2312"/>
                <w:color w:val="000000" w:themeColor="text1"/>
                <w:sz w:val="28"/>
                <w:szCs w:val="28"/>
                <w14:textFill>
                  <w14:solidFill>
                    <w14:schemeClr w14:val="tx1"/>
                  </w14:solidFill>
                </w14:textFill>
              </w:rPr>
              <w:t>审查（核查）结论</w:t>
            </w:r>
          </w:p>
        </w:tc>
        <w:tc>
          <w:tcPr>
            <w:tcW w:w="4212" w:type="pct"/>
            <w:gridSpan w:val="7"/>
            <w:vAlign w:val="center"/>
          </w:tcPr>
          <w:p>
            <w:pPr>
              <w:snapToGrid w:val="0"/>
              <w:spacing w:line="400" w:lineRule="exact"/>
              <w:ind w:firstLine="0" w:firstLineChars="0"/>
              <w:jc w:val="left"/>
              <w:rPr>
                <w:rFonts w:hint="default" w:asciiTheme="minorEastAsia" w:hAnsiTheme="minorEastAsia" w:eastAsiaTheme="minorEastAsia"/>
                <w:color w:val="000000" w:themeColor="text1"/>
                <w:sz w:val="18"/>
                <w:szCs w:val="18"/>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t>符合</w:t>
            </w:r>
            <w: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基本符合</w:t>
            </w:r>
            <w: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w:t>
            </w:r>
            <w: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不符合</w:t>
            </w:r>
            <w: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000" w:type="pct"/>
            <w:gridSpan w:val="9"/>
            <w:vAlign w:val="center"/>
          </w:tcPr>
          <w:p>
            <w:pPr>
              <w:snapToGrid w:val="0"/>
              <w:spacing w:line="400" w:lineRule="exact"/>
              <w:ind w:firstLine="0" w:firstLineChars="0"/>
              <w:jc w:val="left"/>
              <w:rPr>
                <w:rFonts w:hint="eastAsia" w:asciiTheme="minorEastAsia" w:hAnsiTheme="minorEastAsia" w:eastAsiaTheme="minorEastAsia"/>
                <w:color w:val="000000" w:themeColor="text1"/>
                <w:sz w:val="18"/>
                <w:szCs w:val="18"/>
                <w:lang w:val="en-US" w:eastAsia="zh-CN"/>
                <w14:textFill>
                  <w14:solidFill>
                    <w14:schemeClr w14:val="tx1"/>
                  </w14:solidFill>
                </w14:textFill>
              </w:rPr>
            </w:pPr>
            <w: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评审组专家(签名)：                                                日期：      </w:t>
            </w:r>
            <w:r>
              <w:rPr>
                <w:rFonts w:hint="eastAsia"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w:t>
            </w:r>
            <w:r>
              <w:rPr>
                <w:rFonts w:ascii="Times New Roman" w:hAnsi="Times New Roman" w:eastAsia="仿宋_GB2312" w:cs="Times New Roman"/>
                <w:color w:val="000000" w:themeColor="text1"/>
                <w:kern w:val="2"/>
                <w:sz w:val="28"/>
                <w:szCs w:val="28"/>
                <w:lang w:val="en-US" w:eastAsia="zh-CN" w:bidi="ar-SA"/>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 xml:space="preserve">           </w:t>
            </w:r>
          </w:p>
        </w:tc>
      </w:tr>
    </w:tbl>
    <w:p>
      <w:pPr>
        <w:rPr>
          <w:rFonts w:ascii="仿宋" w:hAnsi="仿宋" w:eastAsia="仿宋" w:cs="仿宋_GB2312"/>
          <w:sz w:val="32"/>
          <w:szCs w:val="32"/>
        </w:rPr>
      </w:pPr>
    </w:p>
    <w:p>
      <w:pPr>
        <w:rPr>
          <w:rFonts w:ascii="仿宋" w:hAnsi="仿宋" w:eastAsia="仿宋" w:cs="仿宋_GB2312"/>
          <w:sz w:val="32"/>
          <w:szCs w:val="32"/>
        </w:rPr>
        <w:sectPr>
          <w:pgSz w:w="16838" w:h="11906" w:orient="landscape"/>
          <w:pgMar w:top="1236" w:right="1157" w:bottom="1009" w:left="1157" w:header="851" w:footer="992" w:gutter="0"/>
          <w:cols w:space="0" w:num="1"/>
          <w:docGrid w:type="lines" w:linePitch="319" w:charSpace="0"/>
        </w:sectPr>
      </w:pPr>
    </w:p>
    <w:p>
      <w:pPr>
        <w:widowControl/>
        <w:shd w:val="clear" w:color="auto" w:fill="FFFFFF"/>
        <w:wordWrap w:val="0"/>
        <w:spacing w:line="543" w:lineRule="atLeast"/>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附件2</w:t>
      </w:r>
    </w:p>
    <w:p>
      <w:pPr>
        <w:widowControl/>
        <w:shd w:val="clear" w:color="auto" w:fill="FFFFFF"/>
        <w:wordWrap w:val="0"/>
        <w:spacing w:line="543" w:lineRule="atLeast"/>
        <w:jc w:val="center"/>
        <w:rPr>
          <w:rFonts w:ascii="Times New Roman" w:hAnsi="Times New Roman" w:cs="宋体"/>
          <w:kern w:val="0"/>
          <w:sz w:val="20"/>
          <w:szCs w:val="20"/>
        </w:rPr>
      </w:pPr>
    </w:p>
    <w:p>
      <w:pPr>
        <w:widowControl/>
        <w:shd w:val="clear" w:color="auto" w:fill="FFFFFF"/>
        <w:wordWrap w:val="0"/>
        <w:spacing w:line="543" w:lineRule="atLeast"/>
        <w:jc w:val="center"/>
        <w:rPr>
          <w:rFonts w:ascii="Times New Roman" w:hAnsi="Times New Roman" w:eastAsia="方正小标宋简体" w:cs="方正小标宋简体"/>
          <w:bCs/>
          <w:kern w:val="0"/>
          <w:sz w:val="44"/>
          <w:szCs w:val="44"/>
        </w:rPr>
      </w:pPr>
      <w:r>
        <w:rPr>
          <w:rFonts w:hint="eastAsia" w:ascii="Times New Roman" w:hAnsi="Times New Roman" w:eastAsia="方正小标宋简体" w:cs="方正小标宋简体"/>
          <w:bCs/>
          <w:kern w:val="0"/>
          <w:sz w:val="44"/>
          <w:szCs w:val="44"/>
        </w:rPr>
        <w:t>建设工程质量检测机构资质许可</w:t>
      </w:r>
    </w:p>
    <w:p>
      <w:pPr>
        <w:widowControl/>
        <w:shd w:val="clear" w:color="auto" w:fill="FFFFFF"/>
        <w:wordWrap w:val="0"/>
        <w:snapToGrid w:val="0"/>
        <w:spacing w:line="300" w:lineRule="auto"/>
        <w:jc w:val="center"/>
        <w:rPr>
          <w:rFonts w:ascii="Times New Roman" w:hAnsi="Times New Roman" w:eastAsia="方正小标宋简体" w:cs="方正小标宋简体"/>
          <w:bCs/>
          <w:kern w:val="0"/>
          <w:sz w:val="44"/>
          <w:szCs w:val="44"/>
        </w:rPr>
      </w:pPr>
      <w:r>
        <w:rPr>
          <w:rFonts w:hint="eastAsia" w:ascii="Times New Roman" w:hAnsi="Times New Roman" w:eastAsia="方正小标宋简体" w:cs="方正小标宋简体"/>
          <w:bCs/>
          <w:kern w:val="0"/>
          <w:sz w:val="44"/>
          <w:szCs w:val="44"/>
        </w:rPr>
        <w:t>专家评审报告</w:t>
      </w:r>
    </w:p>
    <w:p>
      <w:pPr>
        <w:widowControl/>
        <w:shd w:val="clear" w:color="auto" w:fill="FFFFFF"/>
        <w:tabs>
          <w:tab w:val="left" w:pos="8222"/>
        </w:tabs>
        <w:wordWrap w:val="0"/>
        <w:snapToGrid w:val="0"/>
        <w:spacing w:line="300" w:lineRule="auto"/>
        <w:ind w:left="-141" w:leftChars="-67" w:right="-191" w:rightChars="-91"/>
        <w:jc w:val="center"/>
        <w:rPr>
          <w:rFonts w:ascii="Times New Roman" w:hAnsi="Times New Roman" w:cs="宋体"/>
          <w:kern w:val="0"/>
          <w:sz w:val="20"/>
          <w:szCs w:val="20"/>
        </w:rPr>
      </w:pPr>
      <w:r>
        <w:rPr>
          <w:rFonts w:hint="eastAsia" w:ascii="Times New Roman" w:hAnsi="Times New Roman" w:eastAsia="方正小标宋简体" w:cs="宋体"/>
          <w:spacing w:val="120"/>
          <w:kern w:val="0"/>
          <w:sz w:val="32"/>
          <w:szCs w:val="32"/>
        </w:rPr>
        <w:t> </w:t>
      </w:r>
    </w:p>
    <w:p>
      <w:pPr>
        <w:widowControl/>
        <w:shd w:val="clear" w:color="auto" w:fill="FFFFFF"/>
        <w:wordWrap w:val="0"/>
        <w:snapToGrid w:val="0"/>
        <w:spacing w:line="300" w:lineRule="auto"/>
        <w:jc w:val="center"/>
        <w:rPr>
          <w:rFonts w:ascii="Times New Roman" w:hAnsi="Times New Roman" w:cs="宋体"/>
          <w:kern w:val="0"/>
          <w:sz w:val="20"/>
          <w:szCs w:val="20"/>
        </w:rPr>
      </w:pPr>
      <w:r>
        <w:rPr>
          <w:rFonts w:hint="eastAsia" w:ascii="Times New Roman" w:hAnsi="Times New Roman" w:eastAsia="方正小标宋简体" w:cs="宋体"/>
          <w:spacing w:val="120"/>
          <w:kern w:val="0"/>
          <w:sz w:val="32"/>
          <w:szCs w:val="32"/>
        </w:rPr>
        <w:t> </w:t>
      </w:r>
    </w:p>
    <w:tbl>
      <w:tblPr>
        <w:tblStyle w:val="7"/>
        <w:tblW w:w="0" w:type="auto"/>
        <w:jc w:val="center"/>
        <w:tblLayout w:type="fixed"/>
        <w:tblCellMar>
          <w:top w:w="0" w:type="dxa"/>
          <w:left w:w="0" w:type="dxa"/>
          <w:bottom w:w="0" w:type="dxa"/>
          <w:right w:w="0" w:type="dxa"/>
        </w:tblCellMar>
      </w:tblPr>
      <w:tblGrid>
        <w:gridCol w:w="8334"/>
      </w:tblGrid>
      <w:tr>
        <w:tblPrEx>
          <w:tblCellMar>
            <w:top w:w="0" w:type="dxa"/>
            <w:left w:w="0" w:type="dxa"/>
            <w:bottom w:w="0" w:type="dxa"/>
            <w:right w:w="0" w:type="dxa"/>
          </w:tblCellMar>
        </w:tblPrEx>
        <w:trPr>
          <w:trHeight w:val="1233" w:hRule="atLeast"/>
          <w:jc w:val="center"/>
        </w:trPr>
        <w:tc>
          <w:tcPr>
            <w:tcW w:w="8334" w:type="dxa"/>
            <w:tcBorders>
              <w:top w:val="nil"/>
              <w:left w:val="nil"/>
              <w:bottom w:val="nil"/>
              <w:right w:val="nil"/>
            </w:tcBorders>
            <w:tcMar>
              <w:top w:w="0" w:type="dxa"/>
              <w:left w:w="108" w:type="dxa"/>
              <w:bottom w:w="0" w:type="dxa"/>
              <w:right w:w="108" w:type="dxa"/>
            </w:tcMar>
            <w:vAlign w:val="center"/>
          </w:tcPr>
          <w:p>
            <w:pPr>
              <w:widowControl/>
              <w:tabs>
                <w:tab w:val="left" w:pos="7165"/>
              </w:tabs>
              <w:ind w:firstLine="560" w:firstLineChars="200"/>
              <w:jc w:val="left"/>
              <w:rPr>
                <w:rFonts w:ascii="Times New Roman" w:hAnsi="Times New Roman" w:cs="宋体"/>
                <w:b/>
                <w:kern w:val="0"/>
                <w:sz w:val="28"/>
                <w:szCs w:val="28"/>
                <w:u w:val="thick"/>
              </w:rPr>
            </w:pPr>
            <w:r>
              <w:rPr>
                <w:rFonts w:hint="eastAsia" w:ascii="Times New Roman" w:hAnsi="Times New Roman" w:cs="宋体"/>
                <w:b/>
                <w:kern w:val="0"/>
                <w:sz w:val="28"/>
                <w:szCs w:val="28"/>
              </w:rPr>
              <w:t xml:space="preserve">检测机构名称： </w:t>
            </w:r>
          </w:p>
          <w:p>
            <w:pPr>
              <w:widowControl/>
              <w:tabs>
                <w:tab w:val="left" w:pos="7165"/>
              </w:tabs>
              <w:ind w:firstLine="980" w:firstLineChars="350"/>
              <w:jc w:val="left"/>
              <w:rPr>
                <w:rFonts w:ascii="Times New Roman" w:hAnsi="Times New Roman" w:cs="宋体"/>
                <w:b/>
                <w:kern w:val="0"/>
                <w:sz w:val="28"/>
                <w:szCs w:val="28"/>
              </w:rPr>
            </w:pPr>
          </w:p>
          <w:p>
            <w:pPr>
              <w:widowControl/>
              <w:tabs>
                <w:tab w:val="left" w:pos="7165"/>
              </w:tabs>
              <w:ind w:firstLine="980" w:firstLineChars="350"/>
              <w:jc w:val="left"/>
              <w:rPr>
                <w:rFonts w:ascii="Times New Roman" w:hAnsi="Times New Roman" w:cs="宋体"/>
                <w:b/>
                <w:kern w:val="0"/>
                <w:sz w:val="28"/>
                <w:szCs w:val="28"/>
              </w:rPr>
            </w:pPr>
            <w:r>
              <w:rPr>
                <w:rFonts w:hint="eastAsia" w:ascii="Times New Roman" w:hAnsi="Times New Roman" w:cs="宋体"/>
                <w:b/>
                <w:kern w:val="0"/>
                <w:sz w:val="28"/>
                <w:szCs w:val="28"/>
              </w:rPr>
              <w:t xml:space="preserve">申请资质类别： </w:t>
            </w:r>
          </w:p>
          <w:p>
            <w:pPr>
              <w:widowControl/>
              <w:tabs>
                <w:tab w:val="left" w:pos="7165"/>
              </w:tabs>
              <w:ind w:firstLine="980" w:firstLineChars="350"/>
              <w:jc w:val="left"/>
              <w:rPr>
                <w:rFonts w:ascii="Times New Roman" w:hAnsi="Times New Roman" w:cs="宋体"/>
                <w:b/>
                <w:kern w:val="0"/>
                <w:sz w:val="28"/>
                <w:szCs w:val="28"/>
              </w:rPr>
            </w:pPr>
            <w:r>
              <w:rPr>
                <w:rFonts w:hint="eastAsia" w:ascii="Times New Roman" w:hAnsi="Times New Roman" w:cs="宋体"/>
                <w:b/>
                <w:kern w:val="0"/>
                <w:sz w:val="28"/>
                <w:szCs w:val="28"/>
              </w:rPr>
              <w:t>综合类</w:t>
            </w:r>
            <w:r>
              <w:rPr>
                <w:rFonts w:hint="eastAsia" w:ascii="Times New Roman" w:hAnsi="Times New Roman" w:cs="宋体"/>
                <w:b/>
                <w:spacing w:val="4"/>
                <w:kern w:val="0"/>
                <w:sz w:val="32"/>
                <w:szCs w:val="32"/>
              </w:rPr>
              <w:t>□</w:t>
            </w:r>
            <w:r>
              <w:rPr>
                <w:rFonts w:hint="eastAsia" w:ascii="Times New Roman" w:hAnsi="Times New Roman" w:cs="宋体"/>
                <w:b/>
                <w:kern w:val="0"/>
                <w:sz w:val="28"/>
                <w:szCs w:val="28"/>
              </w:rPr>
              <w:t xml:space="preserve"> </w:t>
            </w:r>
          </w:p>
          <w:p>
            <w:pPr>
              <w:widowControl/>
              <w:tabs>
                <w:tab w:val="left" w:pos="7165"/>
              </w:tabs>
              <w:ind w:firstLine="980" w:firstLineChars="350"/>
              <w:jc w:val="left"/>
              <w:rPr>
                <w:rFonts w:ascii="Times New Roman" w:hAnsi="Times New Roman" w:cs="宋体"/>
                <w:b/>
                <w:spacing w:val="4"/>
                <w:kern w:val="0"/>
                <w:sz w:val="32"/>
                <w:szCs w:val="32"/>
              </w:rPr>
            </w:pPr>
            <w:r>
              <w:rPr>
                <w:rFonts w:hint="eastAsia" w:ascii="Times New Roman" w:hAnsi="Times New Roman" w:cs="宋体"/>
                <w:b/>
                <w:kern w:val="0"/>
                <w:sz w:val="28"/>
                <w:szCs w:val="28"/>
              </w:rPr>
              <w:t>专项类：建筑材料及构配件</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主体结构及装饰装修</w:t>
            </w:r>
            <w:r>
              <w:rPr>
                <w:rFonts w:hint="eastAsia" w:ascii="Times New Roman" w:hAnsi="Times New Roman" w:cs="宋体"/>
                <w:b/>
                <w:spacing w:val="4"/>
                <w:kern w:val="0"/>
                <w:sz w:val="32"/>
                <w:szCs w:val="32"/>
              </w:rPr>
              <w:t xml:space="preserve">□ </w:t>
            </w:r>
          </w:p>
          <w:p>
            <w:pPr>
              <w:widowControl/>
              <w:tabs>
                <w:tab w:val="left" w:pos="7165"/>
              </w:tabs>
              <w:ind w:firstLine="980" w:firstLineChars="350"/>
              <w:jc w:val="left"/>
              <w:rPr>
                <w:rFonts w:ascii="Times New Roman" w:hAnsi="Times New Roman" w:cs="宋体"/>
                <w:b/>
                <w:spacing w:val="4"/>
                <w:kern w:val="0"/>
                <w:sz w:val="32"/>
                <w:szCs w:val="32"/>
              </w:rPr>
            </w:pPr>
            <w:r>
              <w:rPr>
                <w:rFonts w:hint="eastAsia" w:ascii="Times New Roman" w:hAnsi="Times New Roman" w:cs="宋体"/>
                <w:b/>
                <w:kern w:val="0"/>
                <w:sz w:val="28"/>
                <w:szCs w:val="28"/>
              </w:rPr>
              <w:t>钢结构</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地基基础</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建筑节能</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建筑幕墙</w:t>
            </w:r>
            <w:r>
              <w:rPr>
                <w:rFonts w:hint="eastAsia" w:ascii="Times New Roman" w:hAnsi="Times New Roman" w:cs="宋体"/>
                <w:b/>
                <w:spacing w:val="4"/>
                <w:kern w:val="0"/>
                <w:sz w:val="32"/>
                <w:szCs w:val="32"/>
              </w:rPr>
              <w:t>□</w:t>
            </w:r>
          </w:p>
          <w:p>
            <w:pPr>
              <w:widowControl/>
              <w:tabs>
                <w:tab w:val="left" w:pos="7165"/>
              </w:tabs>
              <w:ind w:firstLine="980" w:firstLineChars="350"/>
              <w:jc w:val="left"/>
              <w:rPr>
                <w:rFonts w:ascii="Times New Roman" w:hAnsi="Times New Roman" w:cs="宋体"/>
                <w:b/>
                <w:kern w:val="0"/>
                <w:sz w:val="28"/>
                <w:szCs w:val="28"/>
              </w:rPr>
            </w:pPr>
            <w:r>
              <w:rPr>
                <w:rFonts w:hint="eastAsia" w:ascii="Times New Roman" w:hAnsi="Times New Roman" w:cs="宋体"/>
                <w:b/>
                <w:kern w:val="0"/>
                <w:sz w:val="28"/>
                <w:szCs w:val="28"/>
              </w:rPr>
              <w:t>市政工程材料</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道路工程</w:t>
            </w:r>
            <w:r>
              <w:rPr>
                <w:rFonts w:hint="eastAsia" w:ascii="Times New Roman" w:hAnsi="Times New Roman" w:cs="宋体"/>
                <w:b/>
                <w:spacing w:val="4"/>
                <w:kern w:val="0"/>
                <w:sz w:val="32"/>
                <w:szCs w:val="32"/>
              </w:rPr>
              <w:t xml:space="preserve">□   </w:t>
            </w:r>
            <w:r>
              <w:rPr>
                <w:rFonts w:hint="eastAsia" w:ascii="Times New Roman" w:hAnsi="Times New Roman" w:cs="宋体"/>
                <w:b/>
                <w:kern w:val="0"/>
                <w:sz w:val="28"/>
                <w:szCs w:val="28"/>
              </w:rPr>
              <w:t>桥梁及地下工程</w:t>
            </w:r>
            <w:r>
              <w:rPr>
                <w:rFonts w:hint="eastAsia" w:ascii="Times New Roman" w:hAnsi="Times New Roman" w:cs="宋体"/>
                <w:b/>
                <w:spacing w:val="4"/>
                <w:kern w:val="0"/>
                <w:sz w:val="32"/>
                <w:szCs w:val="32"/>
              </w:rPr>
              <w:t>□</w:t>
            </w:r>
          </w:p>
        </w:tc>
      </w:tr>
      <w:tr>
        <w:tblPrEx>
          <w:tblCellMar>
            <w:top w:w="0" w:type="dxa"/>
            <w:left w:w="0" w:type="dxa"/>
            <w:bottom w:w="0" w:type="dxa"/>
            <w:right w:w="0" w:type="dxa"/>
          </w:tblCellMar>
        </w:tblPrEx>
        <w:trPr>
          <w:trHeight w:val="2614" w:hRule="atLeast"/>
          <w:jc w:val="center"/>
        </w:trPr>
        <w:tc>
          <w:tcPr>
            <w:tcW w:w="8334" w:type="dxa"/>
            <w:tcBorders>
              <w:top w:val="nil"/>
              <w:left w:val="nil"/>
              <w:bottom w:val="nil"/>
              <w:right w:val="nil"/>
            </w:tcBorders>
            <w:tcMar>
              <w:top w:w="0" w:type="dxa"/>
              <w:left w:w="108" w:type="dxa"/>
              <w:bottom w:w="0" w:type="dxa"/>
              <w:right w:w="108" w:type="dxa"/>
            </w:tcMar>
            <w:vAlign w:val="center"/>
          </w:tcPr>
          <w:p>
            <w:pPr>
              <w:widowControl/>
              <w:tabs>
                <w:tab w:val="left" w:pos="7165"/>
              </w:tabs>
              <w:ind w:firstLine="980" w:firstLineChars="350"/>
              <w:jc w:val="left"/>
              <w:rPr>
                <w:rFonts w:ascii="Times New Roman" w:hAnsi="Times New Roman" w:cs="宋体"/>
                <w:b/>
                <w:kern w:val="0"/>
                <w:sz w:val="28"/>
                <w:szCs w:val="28"/>
              </w:rPr>
            </w:pPr>
            <w:r>
              <w:rPr>
                <w:rFonts w:hint="eastAsia" w:ascii="Times New Roman" w:hAnsi="Times New Roman" w:cs="宋体"/>
                <w:b/>
                <w:kern w:val="0"/>
                <w:sz w:val="28"/>
                <w:szCs w:val="28"/>
              </w:rPr>
              <w:t> </w:t>
            </w:r>
          </w:p>
          <w:p>
            <w:pPr>
              <w:widowControl/>
              <w:tabs>
                <w:tab w:val="left" w:pos="7165"/>
              </w:tabs>
              <w:ind w:firstLine="980" w:firstLineChars="350"/>
              <w:jc w:val="left"/>
              <w:rPr>
                <w:rFonts w:ascii="Times New Roman" w:hAnsi="Times New Roman" w:cs="宋体"/>
                <w:kern w:val="0"/>
                <w:sz w:val="16"/>
                <w:szCs w:val="16"/>
              </w:rPr>
            </w:pPr>
            <w:r>
              <w:rPr>
                <w:rFonts w:hint="eastAsia" w:ascii="Times New Roman" w:hAnsi="Times New Roman" w:cs="宋体"/>
                <w:b/>
                <w:kern w:val="0"/>
                <w:sz w:val="28"/>
                <w:szCs w:val="28"/>
              </w:rPr>
              <w:t xml:space="preserve">评审日期： </w:t>
            </w:r>
            <w:r>
              <w:rPr>
                <w:rFonts w:ascii="Times New Roman" w:hAnsi="Times New Roman" w:cs="宋体"/>
                <w:b/>
                <w:kern w:val="0"/>
                <w:sz w:val="28"/>
                <w:szCs w:val="28"/>
              </w:rPr>
              <w:t xml:space="preserve">   </w:t>
            </w:r>
            <w:r>
              <w:rPr>
                <w:rFonts w:hint="eastAsia" w:ascii="Times New Roman" w:hAnsi="Times New Roman" w:cs="宋体"/>
                <w:b/>
                <w:kern w:val="0"/>
                <w:sz w:val="28"/>
                <w:szCs w:val="28"/>
              </w:rPr>
              <w:t>年</w:t>
            </w:r>
            <w:r>
              <w:rPr>
                <w:rFonts w:ascii="Times New Roman" w:hAnsi="Times New Roman" w:cs="宋体"/>
                <w:b/>
                <w:kern w:val="0"/>
                <w:sz w:val="28"/>
                <w:szCs w:val="28"/>
              </w:rPr>
              <w:t xml:space="preserve">   </w:t>
            </w:r>
            <w:r>
              <w:rPr>
                <w:rFonts w:hint="eastAsia" w:ascii="Times New Roman" w:hAnsi="Times New Roman" w:cs="宋体"/>
                <w:b/>
                <w:kern w:val="0"/>
                <w:sz w:val="28"/>
                <w:szCs w:val="28"/>
              </w:rPr>
              <w:t>月</w:t>
            </w:r>
            <w:r>
              <w:rPr>
                <w:rFonts w:ascii="Times New Roman" w:hAnsi="Times New Roman" w:cs="宋体"/>
                <w:b/>
                <w:kern w:val="0"/>
                <w:sz w:val="28"/>
                <w:szCs w:val="28"/>
              </w:rPr>
              <w:t xml:space="preserve">   </w:t>
            </w:r>
            <w:r>
              <w:rPr>
                <w:rFonts w:hint="eastAsia" w:ascii="Times New Roman" w:hAnsi="Times New Roman" w:cs="宋体"/>
                <w:b/>
                <w:kern w:val="0"/>
                <w:sz w:val="28"/>
                <w:szCs w:val="28"/>
              </w:rPr>
              <w:t xml:space="preserve">日～ </w:t>
            </w:r>
            <w:r>
              <w:rPr>
                <w:rFonts w:ascii="Times New Roman" w:hAnsi="Times New Roman" w:cs="宋体"/>
                <w:b/>
                <w:kern w:val="0"/>
                <w:sz w:val="28"/>
                <w:szCs w:val="28"/>
              </w:rPr>
              <w:t xml:space="preserve">   </w:t>
            </w:r>
            <w:r>
              <w:rPr>
                <w:rFonts w:hint="eastAsia" w:ascii="Times New Roman" w:hAnsi="Times New Roman" w:cs="宋体"/>
                <w:b/>
                <w:kern w:val="0"/>
                <w:sz w:val="28"/>
                <w:szCs w:val="28"/>
              </w:rPr>
              <w:t>年</w:t>
            </w:r>
            <w:r>
              <w:rPr>
                <w:rFonts w:ascii="Times New Roman" w:hAnsi="Times New Roman" w:cs="宋体"/>
                <w:b/>
                <w:kern w:val="0"/>
                <w:sz w:val="28"/>
                <w:szCs w:val="28"/>
              </w:rPr>
              <w:t xml:space="preserve">   </w:t>
            </w:r>
            <w:r>
              <w:rPr>
                <w:rFonts w:hint="eastAsia" w:ascii="Times New Roman" w:hAnsi="Times New Roman" w:cs="宋体"/>
                <w:b/>
                <w:kern w:val="0"/>
                <w:sz w:val="28"/>
                <w:szCs w:val="28"/>
              </w:rPr>
              <w:t>月</w:t>
            </w:r>
            <w:r>
              <w:rPr>
                <w:rFonts w:ascii="Times New Roman" w:hAnsi="Times New Roman" w:cs="宋体"/>
                <w:b/>
                <w:kern w:val="0"/>
                <w:sz w:val="28"/>
                <w:szCs w:val="28"/>
              </w:rPr>
              <w:t xml:space="preserve">   </w:t>
            </w:r>
            <w:r>
              <w:rPr>
                <w:rFonts w:hint="eastAsia" w:ascii="Times New Roman" w:hAnsi="Times New Roman" w:cs="宋体"/>
                <w:b/>
                <w:kern w:val="0"/>
                <w:sz w:val="28"/>
                <w:szCs w:val="28"/>
              </w:rPr>
              <w:t>日</w:t>
            </w:r>
          </w:p>
        </w:tc>
      </w:tr>
    </w:tbl>
    <w:p>
      <w:pPr>
        <w:widowControl/>
        <w:shd w:val="clear" w:color="auto" w:fill="FFFFFF"/>
        <w:wordWrap w:val="0"/>
        <w:spacing w:line="543" w:lineRule="atLeast"/>
        <w:ind w:firstLine="480"/>
        <w:jc w:val="center"/>
        <w:rPr>
          <w:rFonts w:ascii="Times New Roman" w:hAnsi="Times New Roman" w:cs="宋体"/>
          <w:kern w:val="0"/>
          <w:sz w:val="20"/>
          <w:szCs w:val="20"/>
        </w:rPr>
      </w:pPr>
      <w:r>
        <w:rPr>
          <w:rFonts w:hint="eastAsia" w:ascii="Times New Roman" w:hAnsi="Times New Roman" w:eastAsia="方正仿宋简体" w:cs="宋体"/>
          <w:spacing w:val="16"/>
          <w:kern w:val="0"/>
          <w:sz w:val="32"/>
          <w:szCs w:val="32"/>
        </w:rPr>
        <w:t> </w:t>
      </w:r>
    </w:p>
    <w:p>
      <w:pPr>
        <w:widowControl/>
        <w:shd w:val="clear" w:color="auto" w:fill="FFFFFF"/>
        <w:wordWrap w:val="0"/>
        <w:spacing w:line="543" w:lineRule="atLeast"/>
        <w:ind w:firstLine="1121" w:firstLineChars="400"/>
        <w:jc w:val="center"/>
        <w:rPr>
          <w:rFonts w:ascii="Times New Roman" w:hAnsi="Times New Roman" w:eastAsia="方正仿宋简体" w:cs="宋体"/>
          <w:spacing w:val="16"/>
          <w:kern w:val="0"/>
          <w:sz w:val="32"/>
          <w:szCs w:val="32"/>
        </w:rPr>
      </w:pPr>
      <w:r>
        <w:rPr>
          <w:rFonts w:hint="eastAsia" w:ascii="Times New Roman" w:hAnsi="Times New Roman" w:cs="宋体"/>
          <w:b/>
          <w:kern w:val="0"/>
          <w:sz w:val="28"/>
          <w:szCs w:val="28"/>
        </w:rPr>
        <w:t>陕西省住房和城乡建设厅</w:t>
      </w:r>
      <w:r>
        <w:rPr>
          <w:rFonts w:hint="eastAsia" w:ascii="Times New Roman" w:hAnsi="Times New Roman" w:cs="宋体"/>
          <w:b/>
          <w:bCs/>
          <w:spacing w:val="16"/>
          <w:kern w:val="0"/>
          <w:sz w:val="32"/>
          <w:szCs w:val="32"/>
        </w:rPr>
        <w:t>编制</w:t>
      </w:r>
      <w:r>
        <w:rPr>
          <w:rFonts w:hint="eastAsia" w:ascii="Times New Roman" w:hAnsi="Times New Roman" w:eastAsia="方正仿宋简体" w:cs="宋体"/>
          <w:spacing w:val="16"/>
          <w:kern w:val="0"/>
          <w:sz w:val="32"/>
          <w:szCs w:val="32"/>
        </w:rPr>
        <w:br w:type="page"/>
      </w:r>
    </w:p>
    <w:p>
      <w:pPr>
        <w:widowControl/>
        <w:shd w:val="clear" w:color="auto" w:fill="FFFFFF"/>
        <w:wordWrap w:val="0"/>
        <w:spacing w:line="543" w:lineRule="atLeast"/>
        <w:ind w:firstLine="1408" w:firstLineChars="400"/>
        <w:rPr>
          <w:rFonts w:ascii="Times New Roman" w:hAnsi="Times New Roman" w:eastAsia="方正仿宋简体" w:cs="宋体"/>
          <w:spacing w:val="16"/>
          <w:kern w:val="0"/>
          <w:sz w:val="32"/>
          <w:szCs w:val="32"/>
        </w:rPr>
      </w:pPr>
    </w:p>
    <w:p>
      <w:pPr>
        <w:widowControl/>
        <w:shd w:val="clear" w:color="auto" w:fill="FFFFFF"/>
        <w:wordWrap w:val="0"/>
        <w:spacing w:line="543" w:lineRule="atLeast"/>
        <w:jc w:val="center"/>
        <w:rPr>
          <w:rFonts w:ascii="Times New Roman" w:hAnsi="Times New Roman" w:cs="宋体"/>
          <w:kern w:val="0"/>
          <w:sz w:val="20"/>
          <w:szCs w:val="20"/>
        </w:rPr>
      </w:pPr>
      <w:r>
        <w:rPr>
          <w:rFonts w:hint="eastAsia" w:ascii="Times New Roman" w:hAnsi="Times New Roman" w:cs="宋体"/>
          <w:kern w:val="0"/>
          <w:sz w:val="44"/>
          <w:szCs w:val="44"/>
        </w:rPr>
        <w:t>填</w:t>
      </w:r>
      <w:r>
        <w:rPr>
          <w:rFonts w:hint="eastAsia" w:ascii="Times New Roman" w:hAnsi="Times New Roman" w:eastAsia="方正小标宋简体" w:cs="宋体"/>
          <w:kern w:val="0"/>
          <w:sz w:val="44"/>
          <w:szCs w:val="44"/>
        </w:rPr>
        <w:t xml:space="preserve"> </w:t>
      </w:r>
      <w:r>
        <w:rPr>
          <w:rFonts w:hint="eastAsia" w:ascii="Times New Roman" w:hAnsi="Times New Roman" w:cs="宋体"/>
          <w:kern w:val="0"/>
          <w:sz w:val="44"/>
          <w:szCs w:val="44"/>
        </w:rPr>
        <w:t>表</w:t>
      </w:r>
      <w:r>
        <w:rPr>
          <w:rFonts w:hint="eastAsia" w:ascii="Times New Roman" w:hAnsi="Times New Roman" w:eastAsia="方正小标宋简体" w:cs="宋体"/>
          <w:kern w:val="0"/>
          <w:sz w:val="44"/>
          <w:szCs w:val="44"/>
        </w:rPr>
        <w:t xml:space="preserve"> </w:t>
      </w:r>
      <w:r>
        <w:rPr>
          <w:rFonts w:hint="eastAsia" w:ascii="Times New Roman" w:hAnsi="Times New Roman" w:cs="宋体"/>
          <w:kern w:val="0"/>
          <w:sz w:val="44"/>
          <w:szCs w:val="44"/>
        </w:rPr>
        <w:t>须</w:t>
      </w:r>
      <w:r>
        <w:rPr>
          <w:rFonts w:hint="eastAsia" w:ascii="Times New Roman" w:hAnsi="Times New Roman" w:eastAsia="方正小标宋简体" w:cs="宋体"/>
          <w:kern w:val="0"/>
          <w:sz w:val="44"/>
          <w:szCs w:val="44"/>
        </w:rPr>
        <w:t xml:space="preserve"> </w:t>
      </w:r>
      <w:r>
        <w:rPr>
          <w:rFonts w:hint="eastAsia" w:ascii="Times New Roman" w:hAnsi="Times New Roman" w:cs="宋体"/>
          <w:kern w:val="0"/>
          <w:sz w:val="44"/>
          <w:szCs w:val="44"/>
        </w:rPr>
        <w:t>知</w:t>
      </w:r>
    </w:p>
    <w:p>
      <w:pPr>
        <w:widowControl/>
        <w:shd w:val="clear" w:color="auto" w:fill="FFFFFF"/>
        <w:wordWrap w:val="0"/>
        <w:spacing w:line="580" w:lineRule="atLeast"/>
        <w:jc w:val="center"/>
        <w:rPr>
          <w:rFonts w:ascii="Times New Roman" w:hAnsi="Times New Roman" w:cs="宋体"/>
          <w:kern w:val="0"/>
          <w:sz w:val="20"/>
          <w:szCs w:val="20"/>
        </w:rPr>
      </w:pPr>
      <w:r>
        <w:rPr>
          <w:rFonts w:hint="eastAsia" w:ascii="Times New Roman" w:hAnsi="Times New Roman" w:eastAsia="方正仿宋_GBK" w:cs="宋体"/>
          <w:b/>
          <w:bCs/>
          <w:kern w:val="0"/>
          <w:sz w:val="30"/>
          <w:szCs w:val="30"/>
        </w:rPr>
        <w:t> </w:t>
      </w:r>
    </w:p>
    <w:p>
      <w:pPr>
        <w:widowControl/>
        <w:shd w:val="clear" w:color="auto" w:fill="FFFFFF"/>
        <w:wordWrap w:val="0"/>
        <w:snapToGrid w:val="0"/>
        <w:spacing w:line="520" w:lineRule="atLeast"/>
        <w:ind w:firstLine="656"/>
        <w:jc w:val="left"/>
        <w:rPr>
          <w:rFonts w:ascii="Times New Roman" w:hAnsi="Times New Roman" w:cs="宋体"/>
          <w:spacing w:val="4"/>
          <w:kern w:val="0"/>
          <w:sz w:val="32"/>
          <w:szCs w:val="32"/>
        </w:rPr>
      </w:pPr>
      <w:r>
        <w:rPr>
          <w:rFonts w:hint="eastAsia" w:ascii="Times New Roman" w:hAnsi="Times New Roman" w:cs="宋体"/>
          <w:spacing w:val="4"/>
          <w:kern w:val="0"/>
          <w:sz w:val="32"/>
          <w:szCs w:val="32"/>
        </w:rPr>
        <w:t>1.本《评审报告》有印章和签字页的须为原件。</w:t>
      </w:r>
    </w:p>
    <w:p>
      <w:pPr>
        <w:widowControl/>
        <w:shd w:val="clear" w:color="auto" w:fill="FFFFFF"/>
        <w:wordWrap w:val="0"/>
        <w:snapToGrid w:val="0"/>
        <w:spacing w:line="520" w:lineRule="atLeast"/>
        <w:ind w:firstLine="656"/>
        <w:jc w:val="left"/>
        <w:rPr>
          <w:rFonts w:ascii="Times New Roman" w:hAnsi="Times New Roman" w:cs="宋体"/>
          <w:spacing w:val="4"/>
          <w:kern w:val="0"/>
          <w:sz w:val="32"/>
          <w:szCs w:val="32"/>
        </w:rPr>
      </w:pPr>
      <w:r>
        <w:rPr>
          <w:rFonts w:hint="eastAsia" w:ascii="Times New Roman" w:hAnsi="Times New Roman" w:cs="宋体"/>
          <w:spacing w:val="4"/>
          <w:kern w:val="0"/>
          <w:sz w:val="32"/>
          <w:szCs w:val="32"/>
        </w:rPr>
        <w:t>2.本《评审报告》可用墨笔或计算机填写，字迹应清楚。</w:t>
      </w:r>
    </w:p>
    <w:p>
      <w:pPr>
        <w:widowControl/>
        <w:shd w:val="clear" w:color="auto" w:fill="FFFFFF"/>
        <w:wordWrap w:val="0"/>
        <w:snapToGrid w:val="0"/>
        <w:spacing w:line="520" w:lineRule="atLeast"/>
        <w:ind w:firstLine="656"/>
        <w:jc w:val="left"/>
        <w:rPr>
          <w:rFonts w:ascii="Times New Roman" w:hAnsi="Times New Roman" w:cs="宋体"/>
          <w:spacing w:val="4"/>
          <w:kern w:val="0"/>
          <w:sz w:val="32"/>
          <w:szCs w:val="32"/>
        </w:rPr>
      </w:pPr>
      <w:r>
        <w:rPr>
          <w:rFonts w:hint="eastAsia" w:ascii="Times New Roman" w:hAnsi="Times New Roman" w:cs="宋体"/>
          <w:spacing w:val="4"/>
          <w:kern w:val="0"/>
          <w:sz w:val="32"/>
          <w:szCs w:val="32"/>
        </w:rPr>
        <w:t>3.本《评审报告》的表格填报页数不够时可附页，但须连同正页编为第　页，共　页。</w:t>
      </w:r>
    </w:p>
    <w:p>
      <w:pPr>
        <w:widowControl/>
        <w:shd w:val="clear" w:color="auto" w:fill="FFFFFF"/>
        <w:wordWrap w:val="0"/>
        <w:snapToGrid w:val="0"/>
        <w:spacing w:line="520" w:lineRule="atLeast"/>
        <w:ind w:firstLine="656"/>
        <w:jc w:val="left"/>
        <w:rPr>
          <w:rFonts w:ascii="Times New Roman" w:hAnsi="Times New Roman" w:cs="宋体"/>
          <w:spacing w:val="4"/>
          <w:kern w:val="0"/>
          <w:sz w:val="32"/>
          <w:szCs w:val="32"/>
        </w:rPr>
      </w:pPr>
      <w:r>
        <w:rPr>
          <w:rFonts w:hint="eastAsia" w:ascii="Times New Roman" w:hAnsi="Times New Roman" w:cs="宋体"/>
          <w:spacing w:val="4"/>
          <w:kern w:val="0"/>
          <w:sz w:val="32"/>
          <w:szCs w:val="32"/>
        </w:rPr>
        <w:t>4.本《评审报告》所选项“□”内划“√”。本《评审报告》的每一项须由评审组如实填写，若出具虚假或者不实的评审结论，将追究评审组人员责任。</w:t>
      </w:r>
    </w:p>
    <w:p>
      <w:pPr>
        <w:widowControl/>
        <w:shd w:val="clear" w:color="auto" w:fill="FFFFFF"/>
        <w:wordWrap w:val="0"/>
        <w:snapToGrid w:val="0"/>
        <w:spacing w:line="520" w:lineRule="atLeast"/>
        <w:ind w:firstLine="656"/>
        <w:jc w:val="left"/>
        <w:rPr>
          <w:rFonts w:ascii="Times New Roman" w:hAnsi="Times New Roman" w:cs="宋体"/>
          <w:spacing w:val="4"/>
          <w:kern w:val="0"/>
          <w:sz w:val="32"/>
          <w:szCs w:val="32"/>
        </w:rPr>
      </w:pPr>
      <w:r>
        <w:rPr>
          <w:rFonts w:hint="eastAsia" w:ascii="Times New Roman" w:hAnsi="Times New Roman" w:cs="宋体"/>
          <w:spacing w:val="4"/>
          <w:kern w:val="0"/>
          <w:sz w:val="32"/>
          <w:szCs w:val="32"/>
        </w:rPr>
        <w:t>5.本《评审报告》须经评审组签字有效。</w:t>
      </w:r>
    </w:p>
    <w:p>
      <w:pPr>
        <w:widowControl/>
        <w:shd w:val="clear" w:color="auto" w:fill="FFFFFF"/>
        <w:wordWrap w:val="0"/>
        <w:snapToGrid w:val="0"/>
        <w:spacing w:line="520" w:lineRule="atLeast"/>
        <w:ind w:firstLine="656" w:firstLineChars="200"/>
        <w:jc w:val="left"/>
        <w:rPr>
          <w:rFonts w:ascii="Times New Roman" w:hAnsi="Times New Roman" w:cs="宋体"/>
          <w:kern w:val="0"/>
          <w:sz w:val="20"/>
          <w:szCs w:val="20"/>
        </w:rPr>
      </w:pPr>
      <w:r>
        <w:rPr>
          <w:rFonts w:hint="eastAsia" w:ascii="Times New Roman" w:hAnsi="Times New Roman" w:cs="宋体"/>
          <w:spacing w:val="4"/>
          <w:kern w:val="0"/>
          <w:sz w:val="32"/>
          <w:szCs w:val="32"/>
        </w:rPr>
        <w:t>6.本《评审报告》适用建设工程质量检测机构申请资质的首次、扩项（参数）、增项、地址</w:t>
      </w:r>
      <w:r>
        <w:rPr>
          <w:rFonts w:hint="eastAsia" w:ascii="Times New Roman" w:hAnsi="Times New Roman" w:cs="宋体"/>
          <w:spacing w:val="14"/>
          <w:kern w:val="0"/>
          <w:sz w:val="32"/>
          <w:szCs w:val="32"/>
        </w:rPr>
        <w:t>变更、资质核定、延期复查和其它评审。</w:t>
      </w:r>
    </w:p>
    <w:p>
      <w:pPr>
        <w:widowControl/>
        <w:shd w:val="clear" w:color="auto" w:fill="FFFFFF"/>
        <w:wordWrap w:val="0"/>
        <w:spacing w:line="264" w:lineRule="auto"/>
        <w:jc w:val="left"/>
        <w:rPr>
          <w:rFonts w:ascii="Times New Roman" w:hAnsi="Times New Roman" w:cs="宋体"/>
          <w:b/>
          <w:bCs/>
          <w:kern w:val="0"/>
          <w:sz w:val="28"/>
          <w:szCs w:val="28"/>
        </w:rPr>
      </w:pPr>
      <w:r>
        <w:rPr>
          <w:rFonts w:hint="eastAsia" w:ascii="Times New Roman" w:hAnsi="Times New Roman" w:eastAsia="方正仿宋简体" w:cs="宋体"/>
          <w:spacing w:val="14"/>
          <w:kern w:val="0"/>
          <w:sz w:val="32"/>
          <w:szCs w:val="32"/>
        </w:rPr>
        <w:br w:type="page"/>
      </w:r>
      <w:r>
        <w:rPr>
          <w:rFonts w:hint="eastAsia" w:ascii="Times New Roman" w:hAnsi="Times New Roman" w:cs="宋体"/>
          <w:b/>
          <w:bCs/>
          <w:kern w:val="0"/>
          <w:sz w:val="28"/>
          <w:szCs w:val="28"/>
        </w:rPr>
        <w:t>1.概况</w:t>
      </w:r>
    </w:p>
    <w:p>
      <w:pPr>
        <w:adjustRightInd w:val="0"/>
        <w:snapToGrid w:val="0"/>
        <w:spacing w:line="420" w:lineRule="exact"/>
        <w:rPr>
          <w:rFonts w:ascii="Times New Roman" w:hAnsi="Times New Roman"/>
          <w:spacing w:val="20"/>
          <w:sz w:val="24"/>
          <w:u w:val="single"/>
        </w:rPr>
      </w:pPr>
      <w:r>
        <w:rPr>
          <w:rFonts w:hint="eastAsia" w:ascii="Times New Roman" w:hAnsi="Times New Roman"/>
          <w:spacing w:val="20"/>
          <w:sz w:val="24"/>
        </w:rPr>
        <w:t>1</w:t>
      </w:r>
      <w:r>
        <w:rPr>
          <w:rFonts w:hint="eastAsia" w:ascii="Times New Roman" w:hAnsi="Times New Roman"/>
          <w:b/>
          <w:bCs/>
          <w:spacing w:val="20"/>
          <w:sz w:val="24"/>
        </w:rPr>
        <w:t>.</w:t>
      </w:r>
      <w:r>
        <w:rPr>
          <w:rFonts w:hint="eastAsia" w:ascii="Times New Roman" w:hAnsi="Times New Roman"/>
          <w:spacing w:val="20"/>
          <w:sz w:val="24"/>
        </w:rPr>
        <w:t>1 检测机构名称：</w:t>
      </w:r>
      <w:r>
        <w:rPr>
          <w:rFonts w:hint="eastAsia" w:ascii="Times New Roman" w:hAnsi="Times New Roman"/>
          <w:spacing w:val="20"/>
          <w:sz w:val="24"/>
          <w:u w:val="single"/>
        </w:rPr>
        <w:t>XXXXXXXXXXXX</w:t>
      </w:r>
      <w:r>
        <w:rPr>
          <w:rFonts w:ascii="Times New Roman" w:hAnsi="Times New Roman" w:cs="宋体"/>
          <w:spacing w:val="20"/>
          <w:kern w:val="0"/>
          <w:sz w:val="24"/>
          <w:szCs w:val="24"/>
          <w:u w:val="single"/>
        </w:rPr>
        <w:t xml:space="preserve">   </w:t>
      </w:r>
      <w:r>
        <w:rPr>
          <w:rFonts w:ascii="Times New Roman" w:hAnsi="Times New Roman"/>
          <w:spacing w:val="20"/>
          <w:sz w:val="24"/>
          <w:u w:val="single"/>
        </w:rPr>
        <w:t xml:space="preserve">                 </w:t>
      </w:r>
      <w:r>
        <w:rPr>
          <w:rFonts w:hint="eastAsia" w:ascii="Times New Roman" w:hAnsi="Times New Roman"/>
          <w:spacing w:val="20"/>
          <w:sz w:val="24"/>
          <w:u w:val="single"/>
        </w:rPr>
        <w:t xml:space="preserve">                          </w:t>
      </w:r>
    </w:p>
    <w:p>
      <w:pPr>
        <w:adjustRightInd w:val="0"/>
        <w:snapToGrid w:val="0"/>
        <w:spacing w:line="420" w:lineRule="exact"/>
        <w:ind w:right="-50" w:rightChars="-24"/>
        <w:rPr>
          <w:rFonts w:ascii="Times New Roman" w:hAnsi="Times New Roman"/>
          <w:spacing w:val="20"/>
          <w:sz w:val="24"/>
          <w:u w:val="single"/>
        </w:rPr>
      </w:pPr>
      <w:r>
        <w:rPr>
          <w:rFonts w:hint="eastAsia" w:ascii="Times New Roman" w:hAnsi="Times New Roman"/>
          <w:spacing w:val="20"/>
          <w:sz w:val="24"/>
        </w:rPr>
        <w:t>机构注册地址：</w:t>
      </w:r>
      <w:r>
        <w:rPr>
          <w:rFonts w:hint="eastAsia" w:ascii="Times New Roman" w:hAnsi="Times New Roman"/>
          <w:spacing w:val="20"/>
          <w:sz w:val="24"/>
          <w:u w:val="single"/>
        </w:rPr>
        <w:t>XXXXXXXXXXXXXXXX</w:t>
      </w:r>
      <w:r>
        <w:rPr>
          <w:rFonts w:ascii="Times New Roman" w:hAnsi="Times New Roman"/>
          <w:spacing w:val="20"/>
          <w:sz w:val="24"/>
          <w:u w:val="single"/>
        </w:rPr>
        <w:t xml:space="preserve">          </w:t>
      </w:r>
      <w:r>
        <w:rPr>
          <w:rFonts w:hint="eastAsia" w:ascii="Times New Roman" w:hAnsi="Times New Roman"/>
          <w:spacing w:val="20"/>
          <w:sz w:val="24"/>
          <w:u w:val="single"/>
        </w:rPr>
        <w:t xml:space="preserve">                       </w:t>
      </w:r>
    </w:p>
    <w:p>
      <w:pPr>
        <w:adjustRightInd w:val="0"/>
        <w:snapToGrid w:val="0"/>
        <w:spacing w:line="420" w:lineRule="exact"/>
        <w:ind w:right="-50" w:rightChars="-24"/>
        <w:rPr>
          <w:rFonts w:ascii="Times New Roman" w:hAnsi="Times New Roman"/>
          <w:spacing w:val="20"/>
          <w:sz w:val="24"/>
          <w:u w:val="single"/>
        </w:rPr>
      </w:pPr>
      <w:r>
        <w:rPr>
          <w:rFonts w:hint="eastAsia" w:ascii="Times New Roman" w:hAnsi="Times New Roman"/>
          <w:spacing w:val="20"/>
          <w:sz w:val="24"/>
        </w:rPr>
        <w:t>机构实际地址：</w:t>
      </w:r>
      <w:r>
        <w:rPr>
          <w:rFonts w:hint="eastAsia" w:ascii="Times New Roman" w:hAnsi="Times New Roman"/>
          <w:spacing w:val="20"/>
          <w:sz w:val="24"/>
          <w:u w:val="single"/>
        </w:rPr>
        <w:t xml:space="preserve"> XXXXXXXXXXXXXXXX</w:t>
      </w:r>
      <w:r>
        <w:rPr>
          <w:rFonts w:ascii="Times New Roman" w:hAnsi="Times New Roman"/>
          <w:spacing w:val="20"/>
          <w:sz w:val="24"/>
          <w:u w:val="single"/>
        </w:rPr>
        <w:t xml:space="preserve">          </w:t>
      </w:r>
      <w:r>
        <w:rPr>
          <w:rFonts w:hint="eastAsia" w:ascii="Times New Roman" w:hAnsi="Times New Roman"/>
          <w:spacing w:val="20"/>
          <w:sz w:val="24"/>
          <w:u w:val="single"/>
        </w:rPr>
        <w:t xml:space="preserve">           </w:t>
      </w:r>
    </w:p>
    <w:p>
      <w:pPr>
        <w:adjustRightInd w:val="0"/>
        <w:snapToGrid w:val="0"/>
        <w:spacing w:line="420" w:lineRule="exact"/>
        <w:ind w:right="-50" w:rightChars="-24"/>
        <w:rPr>
          <w:rFonts w:ascii="Times New Roman" w:hAnsi="Times New Roman"/>
          <w:spacing w:val="20"/>
          <w:sz w:val="24"/>
          <w:u w:val="single"/>
        </w:rPr>
      </w:pPr>
      <w:r>
        <w:rPr>
          <w:rFonts w:hint="eastAsia" w:ascii="Times New Roman" w:hAnsi="Times New Roman"/>
          <w:spacing w:val="20"/>
          <w:sz w:val="24"/>
        </w:rPr>
        <w:t>多场所地址：</w:t>
      </w:r>
      <w:r>
        <w:rPr>
          <w:rFonts w:hint="eastAsia" w:ascii="Times New Roman" w:hAnsi="Times New Roman"/>
          <w:spacing w:val="20"/>
          <w:sz w:val="24"/>
          <w:u w:val="single"/>
        </w:rPr>
        <w:t xml:space="preserve">XXXXXX         </w:t>
      </w:r>
    </w:p>
    <w:p>
      <w:pPr>
        <w:adjustRightInd w:val="0"/>
        <w:snapToGrid w:val="0"/>
        <w:spacing w:line="460" w:lineRule="atLeast"/>
        <w:rPr>
          <w:rFonts w:ascii="Times New Roman" w:hAnsi="Times New Roman"/>
          <w:spacing w:val="20"/>
          <w:sz w:val="24"/>
        </w:rPr>
      </w:pPr>
      <w:r>
        <w:rPr>
          <w:rFonts w:hint="eastAsia" w:ascii="Times New Roman" w:hAnsi="Times New Roman" w:cs="宋体"/>
          <w:spacing w:val="20"/>
          <w:sz w:val="24"/>
        </w:rPr>
        <w:t xml:space="preserve">邮编：XXXXXXX　　传真：XXXXXXX   </w:t>
      </w:r>
      <w:r>
        <w:rPr>
          <w:rFonts w:ascii="Times New Roman" w:hAnsi="Times New Roman" w:cs="宋体"/>
          <w:spacing w:val="20"/>
          <w:sz w:val="24"/>
        </w:rPr>
        <w:t xml:space="preserve"> E-mail</w:t>
      </w:r>
      <w:r>
        <w:rPr>
          <w:rFonts w:hint="eastAsia" w:ascii="Times New Roman" w:hAnsi="Times New Roman" w:cs="宋体"/>
          <w:spacing w:val="20"/>
          <w:sz w:val="24"/>
        </w:rPr>
        <w:t>:</w:t>
      </w:r>
      <w:r>
        <w:rPr>
          <w:rFonts w:hint="eastAsia" w:ascii="Times New Roman" w:hAnsi="Times New Roman"/>
          <w:sz w:val="24"/>
        </w:rPr>
        <w:t>XXXXXXXXXX</w:t>
      </w:r>
    </w:p>
    <w:p>
      <w:pPr>
        <w:adjustRightInd w:val="0"/>
        <w:snapToGrid w:val="0"/>
        <w:spacing w:line="520" w:lineRule="exact"/>
        <w:jc w:val="left"/>
        <w:rPr>
          <w:rFonts w:ascii="Times New Roman" w:hAnsi="Times New Roman"/>
          <w:spacing w:val="20"/>
          <w:sz w:val="24"/>
        </w:rPr>
      </w:pPr>
      <w:r>
        <w:rPr>
          <w:rFonts w:hint="eastAsia" w:ascii="Times New Roman" w:hAnsi="Times New Roman" w:eastAsia="宋体" w:cs="Times New Roman"/>
          <w:spacing w:val="20"/>
          <w:kern w:val="0"/>
          <w:sz w:val="24"/>
          <w:szCs w:val="20"/>
        </w:rPr>
        <w:t>法定代表人</w:t>
      </w:r>
      <w:r>
        <w:rPr>
          <w:rFonts w:hint="eastAsia" w:ascii="Times New Roman" w:hAnsi="Times New Roman" w:cs="宋体"/>
          <w:spacing w:val="20"/>
          <w:sz w:val="24"/>
        </w:rPr>
        <w:t>：</w:t>
      </w:r>
      <w:r>
        <w:rPr>
          <w:rFonts w:hint="eastAsia" w:ascii="Times New Roman" w:hAnsi="Times New Roman" w:cs="宋体"/>
          <w:sz w:val="24"/>
        </w:rPr>
        <w:t>XXX</w:t>
      </w:r>
      <w:r>
        <w:rPr>
          <w:rFonts w:ascii="Times New Roman" w:hAnsi="Times New Roman" w:cs="宋体"/>
          <w:spacing w:val="20"/>
          <w:sz w:val="24"/>
        </w:rPr>
        <w:t xml:space="preserve"> </w:t>
      </w:r>
      <w:r>
        <w:rPr>
          <w:rFonts w:hint="eastAsia" w:ascii="Times New Roman" w:hAnsi="Times New Roman" w:cs="宋体"/>
          <w:spacing w:val="20"/>
          <w:sz w:val="24"/>
        </w:rPr>
        <w:t>职务：</w:t>
      </w:r>
      <w:r>
        <w:rPr>
          <w:rFonts w:hint="eastAsia" w:ascii="Times New Roman" w:hAnsi="Times New Roman" w:cs="宋体"/>
          <w:sz w:val="24"/>
        </w:rPr>
        <w:t>XXXX</w:t>
      </w:r>
      <w:r>
        <w:rPr>
          <w:rFonts w:ascii="Times New Roman" w:hAnsi="Times New Roman"/>
          <w:spacing w:val="20"/>
          <w:sz w:val="24"/>
        </w:rPr>
        <w:t xml:space="preserve"> </w:t>
      </w:r>
      <w:r>
        <w:rPr>
          <w:rFonts w:hint="eastAsia" w:ascii="Times New Roman" w:hAnsi="Times New Roman" w:cs="宋体"/>
          <w:spacing w:val="20"/>
          <w:sz w:val="24"/>
        </w:rPr>
        <w:t>固定电话：</w:t>
      </w:r>
      <w:r>
        <w:rPr>
          <w:rFonts w:hint="eastAsia" w:ascii="Times New Roman" w:hAnsi="Times New Roman" w:cs="宋体"/>
          <w:sz w:val="24"/>
        </w:rPr>
        <w:t xml:space="preserve"> XXXX</w:t>
      </w:r>
      <w:r>
        <w:rPr>
          <w:rFonts w:ascii="Times New Roman" w:hAnsi="Times New Roman"/>
          <w:spacing w:val="20"/>
          <w:sz w:val="24"/>
        </w:rPr>
        <w:t xml:space="preserve"> </w:t>
      </w:r>
      <w:r>
        <w:rPr>
          <w:rFonts w:hint="eastAsia" w:ascii="Times New Roman" w:hAnsi="Times New Roman" w:cs="宋体"/>
          <w:spacing w:val="20"/>
          <w:sz w:val="24"/>
        </w:rPr>
        <w:t>手机：</w:t>
      </w:r>
      <w:r>
        <w:rPr>
          <w:rFonts w:hint="eastAsia" w:ascii="Times New Roman" w:hAnsi="Times New Roman" w:cs="宋体"/>
          <w:sz w:val="24"/>
        </w:rPr>
        <w:t>XXXXX</w:t>
      </w:r>
    </w:p>
    <w:p>
      <w:pPr>
        <w:adjustRightInd w:val="0"/>
        <w:snapToGrid w:val="0"/>
        <w:spacing w:line="460" w:lineRule="atLeast"/>
        <w:jc w:val="left"/>
        <w:rPr>
          <w:rFonts w:ascii="Times New Roman" w:hAnsi="Times New Roman"/>
          <w:spacing w:val="20"/>
          <w:sz w:val="24"/>
        </w:rPr>
      </w:pPr>
      <w:r>
        <w:rPr>
          <w:rFonts w:hint="eastAsia" w:ascii="Times New Roman" w:hAnsi="Times New Roman" w:cs="宋体"/>
          <w:spacing w:val="20"/>
          <w:sz w:val="24"/>
        </w:rPr>
        <w:t>身份证号码：</w:t>
      </w:r>
      <w:r>
        <w:rPr>
          <w:rFonts w:hint="eastAsia" w:ascii="Times New Roman" w:hAnsi="Times New Roman" w:cs="宋体"/>
          <w:kern w:val="0"/>
          <w:sz w:val="24"/>
        </w:rPr>
        <w:t>XXXXXXXXXXXX</w:t>
      </w:r>
      <w:r>
        <w:rPr>
          <w:rFonts w:ascii="Times New Roman" w:hAnsi="Times New Roman"/>
          <w:spacing w:val="20"/>
          <w:sz w:val="24"/>
        </w:rPr>
        <w:t xml:space="preserve"> </w:t>
      </w:r>
    </w:p>
    <w:p>
      <w:pPr>
        <w:adjustRightInd w:val="0"/>
        <w:snapToGrid w:val="0"/>
        <w:spacing w:line="460" w:lineRule="atLeast"/>
        <w:rPr>
          <w:rFonts w:ascii="Times New Roman" w:hAnsi="Times New Roman" w:cs="宋体"/>
          <w:sz w:val="24"/>
        </w:rPr>
      </w:pPr>
      <w:r>
        <w:rPr>
          <w:rFonts w:hint="eastAsia" w:ascii="Times New Roman" w:hAnsi="Times New Roman"/>
          <w:spacing w:val="20"/>
          <w:sz w:val="24"/>
        </w:rPr>
        <w:t>联络人:XXX 职务:</w:t>
      </w:r>
      <w:r>
        <w:rPr>
          <w:rFonts w:hint="eastAsia" w:ascii="Times New Roman" w:hAnsi="Times New Roman" w:cs="宋体"/>
          <w:sz w:val="24"/>
        </w:rPr>
        <w:t xml:space="preserve">XXXXX </w:t>
      </w:r>
      <w:r>
        <w:rPr>
          <w:rFonts w:hint="eastAsia" w:ascii="Times New Roman" w:hAnsi="Times New Roman" w:cs="宋体"/>
          <w:spacing w:val="20"/>
          <w:sz w:val="24"/>
        </w:rPr>
        <w:t>固定电话: XXXXXX</w:t>
      </w:r>
      <w:r>
        <w:rPr>
          <w:rFonts w:hint="eastAsia" w:ascii="Times New Roman" w:hAnsi="Times New Roman"/>
          <w:spacing w:val="20"/>
          <w:sz w:val="24"/>
        </w:rPr>
        <w:t>手机：</w:t>
      </w:r>
      <w:r>
        <w:rPr>
          <w:rFonts w:hint="eastAsia" w:ascii="Times New Roman" w:hAnsi="Times New Roman" w:cs="宋体"/>
          <w:sz w:val="24"/>
        </w:rPr>
        <w:t>XXXXXX</w:t>
      </w:r>
    </w:p>
    <w:p>
      <w:pPr>
        <w:adjustRightInd w:val="0"/>
        <w:snapToGrid w:val="0"/>
        <w:spacing w:line="460" w:lineRule="atLeast"/>
        <w:rPr>
          <w:rFonts w:ascii="Times New Roman" w:hAnsi="Times New Roman"/>
          <w:spacing w:val="20"/>
          <w:sz w:val="24"/>
        </w:rPr>
      </w:pPr>
      <w:r>
        <w:rPr>
          <w:rFonts w:hint="eastAsia" w:ascii="Times New Roman" w:hAnsi="Times New Roman"/>
          <w:spacing w:val="20"/>
          <w:sz w:val="24"/>
        </w:rPr>
        <w:t>社会信用代码/组织机构代码：XXXXXXXXXXXXX</w:t>
      </w:r>
    </w:p>
    <w:p>
      <w:pPr>
        <w:adjustRightInd w:val="0"/>
        <w:snapToGrid w:val="0"/>
        <w:spacing w:line="460" w:lineRule="atLeast"/>
        <w:rPr>
          <w:rFonts w:ascii="Times New Roman" w:hAnsi="Times New Roman"/>
          <w:spacing w:val="20"/>
          <w:sz w:val="24"/>
        </w:rPr>
      </w:pPr>
      <w:r>
        <w:rPr>
          <w:rFonts w:hint="eastAsia" w:ascii="Times New Roman" w:hAnsi="Times New Roman"/>
          <w:spacing w:val="20"/>
          <w:sz w:val="24"/>
        </w:rPr>
        <w:t>1.2 机构主要人员</w:t>
      </w:r>
    </w:p>
    <w:tbl>
      <w:tblPr>
        <w:tblStyle w:val="8"/>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660"/>
        <w:gridCol w:w="895"/>
        <w:gridCol w:w="1034"/>
        <w:gridCol w:w="1471"/>
        <w:gridCol w:w="126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姓名</w:t>
            </w:r>
          </w:p>
        </w:tc>
        <w:tc>
          <w:tcPr>
            <w:tcW w:w="1660"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职务</w:t>
            </w:r>
          </w:p>
        </w:tc>
        <w:tc>
          <w:tcPr>
            <w:tcW w:w="895"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性别</w:t>
            </w:r>
          </w:p>
        </w:tc>
        <w:tc>
          <w:tcPr>
            <w:tcW w:w="1034"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职称</w:t>
            </w:r>
          </w:p>
        </w:tc>
        <w:tc>
          <w:tcPr>
            <w:tcW w:w="1471"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身份证号</w:t>
            </w:r>
          </w:p>
        </w:tc>
        <w:tc>
          <w:tcPr>
            <w:tcW w:w="1266"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学历</w:t>
            </w:r>
          </w:p>
        </w:tc>
        <w:tc>
          <w:tcPr>
            <w:tcW w:w="1267"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adjustRightInd w:val="0"/>
              <w:snapToGrid w:val="0"/>
              <w:spacing w:line="460" w:lineRule="atLeast"/>
              <w:rPr>
                <w:rFonts w:ascii="Times New Roman" w:hAnsi="Times New Roman" w:eastAsia="宋体" w:cs="Times New Roman"/>
                <w:spacing w:val="20"/>
                <w:kern w:val="0"/>
                <w:sz w:val="24"/>
                <w:szCs w:val="20"/>
              </w:rPr>
            </w:pPr>
          </w:p>
        </w:tc>
        <w:tc>
          <w:tcPr>
            <w:tcW w:w="1660" w:type="dxa"/>
          </w:tcPr>
          <w:p>
            <w:pPr>
              <w:adjustRightInd w:val="0"/>
              <w:snapToGrid w:val="0"/>
              <w:spacing w:line="460" w:lineRule="atLeast"/>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法定代表人</w:t>
            </w:r>
          </w:p>
        </w:tc>
        <w:tc>
          <w:tcPr>
            <w:tcW w:w="89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34" w:type="dxa"/>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w:t>
            </w:r>
          </w:p>
        </w:tc>
        <w:tc>
          <w:tcPr>
            <w:tcW w:w="1471" w:type="dxa"/>
          </w:tcPr>
          <w:p>
            <w:pPr>
              <w:adjustRightInd w:val="0"/>
              <w:snapToGrid w:val="0"/>
              <w:spacing w:line="460" w:lineRule="atLeast"/>
              <w:rPr>
                <w:rFonts w:ascii="Times New Roman" w:hAnsi="Times New Roman" w:eastAsia="宋体" w:cs="Times New Roman"/>
                <w:spacing w:val="20"/>
                <w:kern w:val="0"/>
                <w:sz w:val="24"/>
                <w:szCs w:val="20"/>
              </w:rPr>
            </w:pPr>
          </w:p>
        </w:tc>
        <w:tc>
          <w:tcPr>
            <w:tcW w:w="1266" w:type="dxa"/>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w:t>
            </w:r>
          </w:p>
        </w:tc>
        <w:tc>
          <w:tcPr>
            <w:tcW w:w="1267" w:type="dxa"/>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79" w:type="dxa"/>
          </w:tcPr>
          <w:p>
            <w:pPr>
              <w:adjustRightInd w:val="0"/>
              <w:snapToGrid w:val="0"/>
              <w:spacing w:line="460" w:lineRule="atLeast"/>
              <w:rPr>
                <w:rFonts w:ascii="Times New Roman" w:hAnsi="Times New Roman" w:eastAsia="宋体" w:cs="Times New Roman"/>
                <w:spacing w:val="20"/>
                <w:kern w:val="0"/>
                <w:sz w:val="24"/>
                <w:szCs w:val="20"/>
              </w:rPr>
            </w:pPr>
          </w:p>
        </w:tc>
        <w:tc>
          <w:tcPr>
            <w:tcW w:w="1660" w:type="dxa"/>
          </w:tcPr>
          <w:p>
            <w:pPr>
              <w:adjustRightInd w:val="0"/>
              <w:snapToGrid w:val="0"/>
              <w:spacing w:line="460" w:lineRule="atLeast"/>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技术负责人</w:t>
            </w:r>
          </w:p>
        </w:tc>
        <w:tc>
          <w:tcPr>
            <w:tcW w:w="89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34" w:type="dxa"/>
          </w:tcPr>
          <w:p>
            <w:pPr>
              <w:adjustRightInd w:val="0"/>
              <w:snapToGrid w:val="0"/>
              <w:spacing w:line="460" w:lineRule="atLeast"/>
              <w:rPr>
                <w:rFonts w:ascii="Times New Roman" w:hAnsi="Times New Roman" w:eastAsia="宋体" w:cs="Times New Roman"/>
                <w:spacing w:val="20"/>
                <w:kern w:val="0"/>
                <w:sz w:val="24"/>
                <w:szCs w:val="20"/>
              </w:rPr>
            </w:pPr>
          </w:p>
        </w:tc>
        <w:tc>
          <w:tcPr>
            <w:tcW w:w="1471" w:type="dxa"/>
          </w:tcPr>
          <w:p>
            <w:pPr>
              <w:adjustRightInd w:val="0"/>
              <w:snapToGrid w:val="0"/>
              <w:spacing w:line="460" w:lineRule="atLeast"/>
              <w:rPr>
                <w:rFonts w:ascii="Times New Roman" w:hAnsi="Times New Roman" w:eastAsia="宋体" w:cs="Times New Roman"/>
                <w:spacing w:val="20"/>
                <w:kern w:val="0"/>
                <w:sz w:val="24"/>
                <w:szCs w:val="20"/>
              </w:rPr>
            </w:pPr>
          </w:p>
        </w:tc>
        <w:tc>
          <w:tcPr>
            <w:tcW w:w="1266" w:type="dxa"/>
          </w:tcPr>
          <w:p>
            <w:pPr>
              <w:adjustRightInd w:val="0"/>
              <w:snapToGrid w:val="0"/>
              <w:spacing w:line="460" w:lineRule="atLeast"/>
              <w:rPr>
                <w:rFonts w:ascii="Times New Roman" w:hAnsi="Times New Roman" w:eastAsia="宋体" w:cs="Times New Roman"/>
                <w:spacing w:val="20"/>
                <w:kern w:val="0"/>
                <w:sz w:val="24"/>
                <w:szCs w:val="20"/>
              </w:rPr>
            </w:pPr>
          </w:p>
        </w:tc>
        <w:tc>
          <w:tcPr>
            <w:tcW w:w="1267" w:type="dxa"/>
          </w:tcPr>
          <w:p>
            <w:pPr>
              <w:adjustRightInd w:val="0"/>
              <w:snapToGrid w:val="0"/>
              <w:spacing w:line="460" w:lineRule="atLeast"/>
              <w:rPr>
                <w:rFonts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79" w:type="dxa"/>
          </w:tcPr>
          <w:p>
            <w:pPr>
              <w:adjustRightInd w:val="0"/>
              <w:snapToGrid w:val="0"/>
              <w:spacing w:line="460" w:lineRule="atLeast"/>
              <w:rPr>
                <w:rFonts w:ascii="Times New Roman" w:hAnsi="Times New Roman" w:eastAsia="宋体" w:cs="Times New Roman"/>
                <w:spacing w:val="20"/>
                <w:kern w:val="0"/>
                <w:sz w:val="24"/>
                <w:szCs w:val="20"/>
              </w:rPr>
            </w:pPr>
          </w:p>
        </w:tc>
        <w:tc>
          <w:tcPr>
            <w:tcW w:w="1660" w:type="dxa"/>
          </w:tcPr>
          <w:p>
            <w:pPr>
              <w:adjustRightInd w:val="0"/>
              <w:snapToGrid w:val="0"/>
              <w:spacing w:line="460" w:lineRule="atLeast"/>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质量负责人</w:t>
            </w:r>
          </w:p>
        </w:tc>
        <w:tc>
          <w:tcPr>
            <w:tcW w:w="89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34" w:type="dxa"/>
          </w:tcPr>
          <w:p>
            <w:pPr>
              <w:adjustRightInd w:val="0"/>
              <w:snapToGrid w:val="0"/>
              <w:spacing w:line="460" w:lineRule="atLeast"/>
              <w:rPr>
                <w:rFonts w:ascii="Times New Roman" w:hAnsi="Times New Roman" w:eastAsia="宋体" w:cs="Times New Roman"/>
                <w:spacing w:val="20"/>
                <w:kern w:val="0"/>
                <w:sz w:val="24"/>
                <w:szCs w:val="20"/>
              </w:rPr>
            </w:pPr>
          </w:p>
        </w:tc>
        <w:tc>
          <w:tcPr>
            <w:tcW w:w="1471" w:type="dxa"/>
          </w:tcPr>
          <w:p>
            <w:pPr>
              <w:adjustRightInd w:val="0"/>
              <w:snapToGrid w:val="0"/>
              <w:spacing w:line="460" w:lineRule="atLeast"/>
              <w:rPr>
                <w:rFonts w:ascii="Times New Roman" w:hAnsi="Times New Roman" w:eastAsia="宋体" w:cs="Times New Roman"/>
                <w:spacing w:val="20"/>
                <w:kern w:val="0"/>
                <w:sz w:val="24"/>
                <w:szCs w:val="20"/>
              </w:rPr>
            </w:pPr>
          </w:p>
        </w:tc>
        <w:tc>
          <w:tcPr>
            <w:tcW w:w="1266" w:type="dxa"/>
          </w:tcPr>
          <w:p>
            <w:pPr>
              <w:adjustRightInd w:val="0"/>
              <w:snapToGrid w:val="0"/>
              <w:spacing w:line="460" w:lineRule="atLeast"/>
              <w:rPr>
                <w:rFonts w:ascii="Times New Roman" w:hAnsi="Times New Roman" w:eastAsia="宋体" w:cs="Times New Roman"/>
                <w:spacing w:val="20"/>
                <w:kern w:val="0"/>
                <w:sz w:val="24"/>
                <w:szCs w:val="20"/>
              </w:rPr>
            </w:pPr>
          </w:p>
        </w:tc>
        <w:tc>
          <w:tcPr>
            <w:tcW w:w="1267" w:type="dxa"/>
          </w:tcPr>
          <w:p>
            <w:pPr>
              <w:adjustRightInd w:val="0"/>
              <w:snapToGrid w:val="0"/>
              <w:spacing w:line="460" w:lineRule="atLeast"/>
              <w:rPr>
                <w:rFonts w:ascii="Times New Roman" w:hAnsi="Times New Roman" w:eastAsia="宋体" w:cs="Times New Roman"/>
                <w:spacing w:val="20"/>
                <w:kern w:val="0"/>
                <w:sz w:val="24"/>
                <w:szCs w:val="20"/>
              </w:rPr>
            </w:pPr>
          </w:p>
        </w:tc>
      </w:tr>
    </w:tbl>
    <w:p>
      <w:pPr>
        <w:adjustRightInd w:val="0"/>
        <w:snapToGrid w:val="0"/>
        <w:spacing w:line="460" w:lineRule="atLeast"/>
        <w:rPr>
          <w:rFonts w:ascii="Times New Roman" w:hAnsi="Times New Roman"/>
          <w:spacing w:val="20"/>
          <w:sz w:val="24"/>
        </w:rPr>
      </w:pPr>
      <w:r>
        <w:rPr>
          <w:rFonts w:hint="eastAsia" w:ascii="Times New Roman" w:hAnsi="Times New Roman"/>
          <w:spacing w:val="20"/>
          <w:sz w:val="24"/>
        </w:rPr>
        <w:t>1.3机构注册人员</w:t>
      </w: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825"/>
        <w:gridCol w:w="2312"/>
        <w:gridCol w:w="1438"/>
        <w:gridCol w:w="1137"/>
        <w:gridCol w:w="1100"/>
        <w:gridCol w:w="925"/>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7"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姓名</w:t>
            </w:r>
          </w:p>
        </w:tc>
        <w:tc>
          <w:tcPr>
            <w:tcW w:w="825"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性别</w:t>
            </w:r>
          </w:p>
        </w:tc>
        <w:tc>
          <w:tcPr>
            <w:tcW w:w="2312"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身份证号</w:t>
            </w:r>
          </w:p>
        </w:tc>
        <w:tc>
          <w:tcPr>
            <w:tcW w:w="1438"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注册</w:t>
            </w:r>
          </w:p>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证书类别</w:t>
            </w:r>
          </w:p>
        </w:tc>
        <w:tc>
          <w:tcPr>
            <w:tcW w:w="1137"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注册</w:t>
            </w:r>
          </w:p>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证书</w:t>
            </w:r>
          </w:p>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编号</w:t>
            </w:r>
          </w:p>
        </w:tc>
        <w:tc>
          <w:tcPr>
            <w:tcW w:w="1100"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职称</w:t>
            </w:r>
          </w:p>
        </w:tc>
        <w:tc>
          <w:tcPr>
            <w:tcW w:w="925"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学历</w:t>
            </w:r>
          </w:p>
        </w:tc>
        <w:tc>
          <w:tcPr>
            <w:tcW w:w="1011" w:type="dxa"/>
            <w:vAlign w:val="center"/>
          </w:tcPr>
          <w:p>
            <w:pPr>
              <w:adjustRightInd w:val="0"/>
              <w:snapToGrid w:val="0"/>
              <w:spacing w:line="460" w:lineRule="atLeast"/>
              <w:jc w:val="center"/>
              <w:rPr>
                <w:rFonts w:ascii="Times New Roman" w:hAnsi="Times New Roman" w:eastAsia="宋体" w:cs="Times New Roman"/>
                <w:spacing w:val="20"/>
                <w:kern w:val="0"/>
                <w:sz w:val="24"/>
                <w:szCs w:val="20"/>
              </w:rPr>
            </w:pPr>
            <w:r>
              <w:rPr>
                <w:rFonts w:hint="eastAsia" w:ascii="Times New Roman" w:hAnsi="Times New Roman" w:eastAsia="宋体" w:cs="Times New Roman"/>
                <w:spacing w:val="20"/>
                <w:kern w:val="0"/>
                <w:sz w:val="24"/>
                <w:szCs w:val="20"/>
              </w:rPr>
              <w:t>检测工作年限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87" w:type="dxa"/>
          </w:tcPr>
          <w:p>
            <w:pPr>
              <w:adjustRightInd w:val="0"/>
              <w:snapToGrid w:val="0"/>
              <w:spacing w:line="460" w:lineRule="atLeast"/>
              <w:rPr>
                <w:rFonts w:ascii="Times New Roman" w:hAnsi="Times New Roman" w:eastAsia="宋体" w:cs="Times New Roman"/>
                <w:spacing w:val="20"/>
                <w:kern w:val="0"/>
                <w:sz w:val="24"/>
                <w:szCs w:val="20"/>
              </w:rPr>
            </w:pPr>
          </w:p>
        </w:tc>
        <w:tc>
          <w:tcPr>
            <w:tcW w:w="825" w:type="dxa"/>
          </w:tcPr>
          <w:p>
            <w:pPr>
              <w:adjustRightInd w:val="0"/>
              <w:snapToGrid w:val="0"/>
              <w:spacing w:line="460" w:lineRule="atLeast"/>
              <w:rPr>
                <w:rFonts w:ascii="Times New Roman" w:hAnsi="Times New Roman" w:eastAsia="宋体" w:cs="Times New Roman"/>
                <w:spacing w:val="20"/>
                <w:kern w:val="0"/>
                <w:sz w:val="24"/>
                <w:szCs w:val="20"/>
              </w:rPr>
            </w:pPr>
          </w:p>
        </w:tc>
        <w:tc>
          <w:tcPr>
            <w:tcW w:w="2312" w:type="dxa"/>
          </w:tcPr>
          <w:p>
            <w:pPr>
              <w:adjustRightInd w:val="0"/>
              <w:snapToGrid w:val="0"/>
              <w:spacing w:line="460" w:lineRule="atLeast"/>
              <w:rPr>
                <w:rFonts w:ascii="Times New Roman" w:hAnsi="Times New Roman" w:eastAsia="宋体" w:cs="Times New Roman"/>
                <w:spacing w:val="20"/>
                <w:kern w:val="0"/>
                <w:sz w:val="24"/>
                <w:szCs w:val="20"/>
              </w:rPr>
            </w:pPr>
          </w:p>
        </w:tc>
        <w:tc>
          <w:tcPr>
            <w:tcW w:w="1438" w:type="dxa"/>
          </w:tcPr>
          <w:p>
            <w:pPr>
              <w:adjustRightInd w:val="0"/>
              <w:snapToGrid w:val="0"/>
              <w:spacing w:line="460" w:lineRule="atLeast"/>
              <w:rPr>
                <w:rFonts w:ascii="Times New Roman" w:hAnsi="Times New Roman" w:eastAsia="宋体" w:cs="Times New Roman"/>
                <w:spacing w:val="20"/>
                <w:kern w:val="0"/>
                <w:sz w:val="24"/>
                <w:szCs w:val="20"/>
              </w:rPr>
            </w:pPr>
          </w:p>
        </w:tc>
        <w:tc>
          <w:tcPr>
            <w:tcW w:w="1137" w:type="dxa"/>
          </w:tcPr>
          <w:p>
            <w:pPr>
              <w:adjustRightInd w:val="0"/>
              <w:snapToGrid w:val="0"/>
              <w:spacing w:line="460" w:lineRule="atLeast"/>
              <w:rPr>
                <w:rFonts w:ascii="Times New Roman" w:hAnsi="Times New Roman" w:eastAsia="宋体" w:cs="Times New Roman"/>
                <w:spacing w:val="20"/>
                <w:kern w:val="0"/>
                <w:sz w:val="24"/>
                <w:szCs w:val="20"/>
              </w:rPr>
            </w:pPr>
          </w:p>
        </w:tc>
        <w:tc>
          <w:tcPr>
            <w:tcW w:w="1100" w:type="dxa"/>
          </w:tcPr>
          <w:p>
            <w:pPr>
              <w:adjustRightInd w:val="0"/>
              <w:snapToGrid w:val="0"/>
              <w:spacing w:line="460" w:lineRule="atLeast"/>
              <w:rPr>
                <w:rFonts w:ascii="Times New Roman" w:hAnsi="Times New Roman" w:eastAsia="宋体" w:cs="Times New Roman"/>
                <w:spacing w:val="20"/>
                <w:kern w:val="0"/>
                <w:sz w:val="24"/>
                <w:szCs w:val="20"/>
              </w:rPr>
            </w:pPr>
          </w:p>
        </w:tc>
        <w:tc>
          <w:tcPr>
            <w:tcW w:w="92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11" w:type="dxa"/>
          </w:tcPr>
          <w:p>
            <w:pPr>
              <w:adjustRightInd w:val="0"/>
              <w:snapToGrid w:val="0"/>
              <w:spacing w:line="460" w:lineRule="atLeast"/>
              <w:rPr>
                <w:rFonts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87" w:type="dxa"/>
          </w:tcPr>
          <w:p>
            <w:pPr>
              <w:adjustRightInd w:val="0"/>
              <w:snapToGrid w:val="0"/>
              <w:spacing w:line="460" w:lineRule="atLeast"/>
              <w:rPr>
                <w:rFonts w:ascii="Times New Roman" w:hAnsi="Times New Roman" w:eastAsia="宋体" w:cs="Times New Roman"/>
                <w:spacing w:val="20"/>
                <w:kern w:val="0"/>
                <w:sz w:val="24"/>
                <w:szCs w:val="20"/>
              </w:rPr>
            </w:pPr>
          </w:p>
        </w:tc>
        <w:tc>
          <w:tcPr>
            <w:tcW w:w="825" w:type="dxa"/>
          </w:tcPr>
          <w:p>
            <w:pPr>
              <w:adjustRightInd w:val="0"/>
              <w:snapToGrid w:val="0"/>
              <w:spacing w:line="460" w:lineRule="atLeast"/>
              <w:rPr>
                <w:rFonts w:ascii="Times New Roman" w:hAnsi="Times New Roman" w:eastAsia="宋体" w:cs="Times New Roman"/>
                <w:spacing w:val="20"/>
                <w:kern w:val="0"/>
                <w:sz w:val="24"/>
                <w:szCs w:val="20"/>
              </w:rPr>
            </w:pPr>
          </w:p>
        </w:tc>
        <w:tc>
          <w:tcPr>
            <w:tcW w:w="2312" w:type="dxa"/>
          </w:tcPr>
          <w:p>
            <w:pPr>
              <w:adjustRightInd w:val="0"/>
              <w:snapToGrid w:val="0"/>
              <w:spacing w:line="460" w:lineRule="atLeast"/>
              <w:rPr>
                <w:rFonts w:ascii="Times New Roman" w:hAnsi="Times New Roman" w:eastAsia="宋体" w:cs="Times New Roman"/>
                <w:spacing w:val="20"/>
                <w:kern w:val="0"/>
                <w:sz w:val="24"/>
                <w:szCs w:val="20"/>
              </w:rPr>
            </w:pPr>
          </w:p>
        </w:tc>
        <w:tc>
          <w:tcPr>
            <w:tcW w:w="1438" w:type="dxa"/>
          </w:tcPr>
          <w:p>
            <w:pPr>
              <w:adjustRightInd w:val="0"/>
              <w:snapToGrid w:val="0"/>
              <w:spacing w:line="460" w:lineRule="atLeast"/>
              <w:rPr>
                <w:rFonts w:ascii="Times New Roman" w:hAnsi="Times New Roman" w:eastAsia="宋体" w:cs="Times New Roman"/>
                <w:spacing w:val="20"/>
                <w:kern w:val="0"/>
                <w:sz w:val="24"/>
                <w:szCs w:val="20"/>
              </w:rPr>
            </w:pPr>
          </w:p>
        </w:tc>
        <w:tc>
          <w:tcPr>
            <w:tcW w:w="1137" w:type="dxa"/>
          </w:tcPr>
          <w:p>
            <w:pPr>
              <w:adjustRightInd w:val="0"/>
              <w:snapToGrid w:val="0"/>
              <w:spacing w:line="460" w:lineRule="atLeast"/>
              <w:rPr>
                <w:rFonts w:ascii="Times New Roman" w:hAnsi="Times New Roman" w:eastAsia="宋体" w:cs="Times New Roman"/>
                <w:spacing w:val="20"/>
                <w:kern w:val="0"/>
                <w:sz w:val="24"/>
                <w:szCs w:val="20"/>
              </w:rPr>
            </w:pPr>
          </w:p>
        </w:tc>
        <w:tc>
          <w:tcPr>
            <w:tcW w:w="1100" w:type="dxa"/>
          </w:tcPr>
          <w:p>
            <w:pPr>
              <w:adjustRightInd w:val="0"/>
              <w:snapToGrid w:val="0"/>
              <w:spacing w:line="460" w:lineRule="atLeast"/>
              <w:rPr>
                <w:rFonts w:ascii="Times New Roman" w:hAnsi="Times New Roman" w:eastAsia="宋体" w:cs="Times New Roman"/>
                <w:spacing w:val="20"/>
                <w:kern w:val="0"/>
                <w:sz w:val="24"/>
                <w:szCs w:val="20"/>
              </w:rPr>
            </w:pPr>
          </w:p>
        </w:tc>
        <w:tc>
          <w:tcPr>
            <w:tcW w:w="92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11" w:type="dxa"/>
          </w:tcPr>
          <w:p>
            <w:pPr>
              <w:adjustRightInd w:val="0"/>
              <w:snapToGrid w:val="0"/>
              <w:spacing w:line="460" w:lineRule="atLeast"/>
              <w:rPr>
                <w:rFonts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87" w:type="dxa"/>
          </w:tcPr>
          <w:p>
            <w:pPr>
              <w:adjustRightInd w:val="0"/>
              <w:snapToGrid w:val="0"/>
              <w:spacing w:line="460" w:lineRule="atLeast"/>
              <w:rPr>
                <w:rFonts w:ascii="Times New Roman" w:hAnsi="Times New Roman" w:eastAsia="宋体" w:cs="Times New Roman"/>
                <w:spacing w:val="20"/>
                <w:kern w:val="0"/>
                <w:sz w:val="24"/>
                <w:szCs w:val="20"/>
              </w:rPr>
            </w:pPr>
          </w:p>
        </w:tc>
        <w:tc>
          <w:tcPr>
            <w:tcW w:w="825" w:type="dxa"/>
          </w:tcPr>
          <w:p>
            <w:pPr>
              <w:adjustRightInd w:val="0"/>
              <w:snapToGrid w:val="0"/>
              <w:spacing w:line="460" w:lineRule="atLeast"/>
              <w:rPr>
                <w:rFonts w:ascii="Times New Roman" w:hAnsi="Times New Roman" w:eastAsia="宋体" w:cs="Times New Roman"/>
                <w:spacing w:val="20"/>
                <w:kern w:val="0"/>
                <w:sz w:val="24"/>
                <w:szCs w:val="20"/>
              </w:rPr>
            </w:pPr>
          </w:p>
        </w:tc>
        <w:tc>
          <w:tcPr>
            <w:tcW w:w="2312" w:type="dxa"/>
          </w:tcPr>
          <w:p>
            <w:pPr>
              <w:adjustRightInd w:val="0"/>
              <w:snapToGrid w:val="0"/>
              <w:spacing w:line="460" w:lineRule="atLeast"/>
              <w:rPr>
                <w:rFonts w:ascii="Times New Roman" w:hAnsi="Times New Roman" w:eastAsia="宋体" w:cs="Times New Roman"/>
                <w:spacing w:val="20"/>
                <w:kern w:val="0"/>
                <w:sz w:val="24"/>
                <w:szCs w:val="20"/>
              </w:rPr>
            </w:pPr>
          </w:p>
        </w:tc>
        <w:tc>
          <w:tcPr>
            <w:tcW w:w="1438" w:type="dxa"/>
          </w:tcPr>
          <w:p>
            <w:pPr>
              <w:adjustRightInd w:val="0"/>
              <w:snapToGrid w:val="0"/>
              <w:spacing w:line="460" w:lineRule="atLeast"/>
              <w:rPr>
                <w:rFonts w:ascii="Times New Roman" w:hAnsi="Times New Roman" w:eastAsia="宋体" w:cs="Times New Roman"/>
                <w:spacing w:val="20"/>
                <w:kern w:val="0"/>
                <w:sz w:val="24"/>
                <w:szCs w:val="20"/>
              </w:rPr>
            </w:pPr>
          </w:p>
        </w:tc>
        <w:tc>
          <w:tcPr>
            <w:tcW w:w="1137" w:type="dxa"/>
          </w:tcPr>
          <w:p>
            <w:pPr>
              <w:adjustRightInd w:val="0"/>
              <w:snapToGrid w:val="0"/>
              <w:spacing w:line="460" w:lineRule="atLeast"/>
              <w:rPr>
                <w:rFonts w:ascii="Times New Roman" w:hAnsi="Times New Roman" w:eastAsia="宋体" w:cs="Times New Roman"/>
                <w:spacing w:val="20"/>
                <w:kern w:val="0"/>
                <w:sz w:val="24"/>
                <w:szCs w:val="20"/>
              </w:rPr>
            </w:pPr>
          </w:p>
        </w:tc>
        <w:tc>
          <w:tcPr>
            <w:tcW w:w="1100" w:type="dxa"/>
          </w:tcPr>
          <w:p>
            <w:pPr>
              <w:adjustRightInd w:val="0"/>
              <w:snapToGrid w:val="0"/>
              <w:spacing w:line="460" w:lineRule="atLeast"/>
              <w:rPr>
                <w:rFonts w:ascii="Times New Roman" w:hAnsi="Times New Roman" w:eastAsia="宋体" w:cs="Times New Roman"/>
                <w:spacing w:val="20"/>
                <w:kern w:val="0"/>
                <w:sz w:val="24"/>
                <w:szCs w:val="20"/>
              </w:rPr>
            </w:pPr>
          </w:p>
        </w:tc>
        <w:tc>
          <w:tcPr>
            <w:tcW w:w="92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11" w:type="dxa"/>
          </w:tcPr>
          <w:p>
            <w:pPr>
              <w:adjustRightInd w:val="0"/>
              <w:snapToGrid w:val="0"/>
              <w:spacing w:line="460" w:lineRule="atLeast"/>
              <w:rPr>
                <w:rFonts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87" w:type="dxa"/>
          </w:tcPr>
          <w:p>
            <w:pPr>
              <w:adjustRightInd w:val="0"/>
              <w:snapToGrid w:val="0"/>
              <w:spacing w:line="460" w:lineRule="atLeast"/>
              <w:rPr>
                <w:rFonts w:ascii="Times New Roman" w:hAnsi="Times New Roman" w:eastAsia="宋体" w:cs="Times New Roman"/>
                <w:spacing w:val="20"/>
                <w:kern w:val="0"/>
                <w:sz w:val="24"/>
                <w:szCs w:val="20"/>
              </w:rPr>
            </w:pPr>
          </w:p>
        </w:tc>
        <w:tc>
          <w:tcPr>
            <w:tcW w:w="825" w:type="dxa"/>
          </w:tcPr>
          <w:p>
            <w:pPr>
              <w:adjustRightInd w:val="0"/>
              <w:snapToGrid w:val="0"/>
              <w:spacing w:line="460" w:lineRule="atLeast"/>
              <w:rPr>
                <w:rFonts w:ascii="Times New Roman" w:hAnsi="Times New Roman" w:eastAsia="宋体" w:cs="Times New Roman"/>
                <w:spacing w:val="20"/>
                <w:kern w:val="0"/>
                <w:sz w:val="24"/>
                <w:szCs w:val="20"/>
              </w:rPr>
            </w:pPr>
          </w:p>
        </w:tc>
        <w:tc>
          <w:tcPr>
            <w:tcW w:w="2312" w:type="dxa"/>
          </w:tcPr>
          <w:p>
            <w:pPr>
              <w:adjustRightInd w:val="0"/>
              <w:snapToGrid w:val="0"/>
              <w:spacing w:line="460" w:lineRule="atLeast"/>
              <w:rPr>
                <w:rFonts w:ascii="Times New Roman" w:hAnsi="Times New Roman" w:eastAsia="宋体" w:cs="Times New Roman"/>
                <w:spacing w:val="20"/>
                <w:kern w:val="0"/>
                <w:sz w:val="24"/>
                <w:szCs w:val="20"/>
              </w:rPr>
            </w:pPr>
          </w:p>
        </w:tc>
        <w:tc>
          <w:tcPr>
            <w:tcW w:w="1438" w:type="dxa"/>
          </w:tcPr>
          <w:p>
            <w:pPr>
              <w:adjustRightInd w:val="0"/>
              <w:snapToGrid w:val="0"/>
              <w:spacing w:line="460" w:lineRule="atLeast"/>
              <w:rPr>
                <w:rFonts w:ascii="Times New Roman" w:hAnsi="Times New Roman" w:eastAsia="宋体" w:cs="Times New Roman"/>
                <w:spacing w:val="20"/>
                <w:kern w:val="0"/>
                <w:sz w:val="24"/>
                <w:szCs w:val="20"/>
              </w:rPr>
            </w:pPr>
          </w:p>
        </w:tc>
        <w:tc>
          <w:tcPr>
            <w:tcW w:w="1137" w:type="dxa"/>
          </w:tcPr>
          <w:p>
            <w:pPr>
              <w:adjustRightInd w:val="0"/>
              <w:snapToGrid w:val="0"/>
              <w:spacing w:line="460" w:lineRule="atLeast"/>
              <w:rPr>
                <w:rFonts w:ascii="Times New Roman" w:hAnsi="Times New Roman" w:eastAsia="宋体" w:cs="Times New Roman"/>
                <w:spacing w:val="20"/>
                <w:kern w:val="0"/>
                <w:sz w:val="24"/>
                <w:szCs w:val="20"/>
              </w:rPr>
            </w:pPr>
          </w:p>
        </w:tc>
        <w:tc>
          <w:tcPr>
            <w:tcW w:w="1100" w:type="dxa"/>
          </w:tcPr>
          <w:p>
            <w:pPr>
              <w:adjustRightInd w:val="0"/>
              <w:snapToGrid w:val="0"/>
              <w:spacing w:line="460" w:lineRule="atLeast"/>
              <w:rPr>
                <w:rFonts w:ascii="Times New Roman" w:hAnsi="Times New Roman" w:eastAsia="宋体" w:cs="Times New Roman"/>
                <w:spacing w:val="20"/>
                <w:kern w:val="0"/>
                <w:sz w:val="24"/>
                <w:szCs w:val="20"/>
              </w:rPr>
            </w:pPr>
          </w:p>
        </w:tc>
        <w:tc>
          <w:tcPr>
            <w:tcW w:w="92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11" w:type="dxa"/>
          </w:tcPr>
          <w:p>
            <w:pPr>
              <w:adjustRightInd w:val="0"/>
              <w:snapToGrid w:val="0"/>
              <w:spacing w:line="460" w:lineRule="atLeast"/>
              <w:rPr>
                <w:rFonts w:ascii="Times New Roman" w:hAnsi="Times New Roman" w:eastAsia="宋体" w:cs="Times New Roman"/>
                <w:spacing w:val="2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87" w:type="dxa"/>
          </w:tcPr>
          <w:p>
            <w:pPr>
              <w:adjustRightInd w:val="0"/>
              <w:snapToGrid w:val="0"/>
              <w:spacing w:line="460" w:lineRule="atLeast"/>
              <w:rPr>
                <w:rFonts w:ascii="Times New Roman" w:hAnsi="Times New Roman" w:eastAsia="宋体" w:cs="Times New Roman"/>
                <w:spacing w:val="20"/>
                <w:kern w:val="0"/>
                <w:sz w:val="24"/>
                <w:szCs w:val="20"/>
              </w:rPr>
            </w:pPr>
          </w:p>
        </w:tc>
        <w:tc>
          <w:tcPr>
            <w:tcW w:w="825" w:type="dxa"/>
          </w:tcPr>
          <w:p>
            <w:pPr>
              <w:adjustRightInd w:val="0"/>
              <w:snapToGrid w:val="0"/>
              <w:spacing w:line="460" w:lineRule="atLeast"/>
              <w:rPr>
                <w:rFonts w:ascii="Times New Roman" w:hAnsi="Times New Roman" w:eastAsia="宋体" w:cs="Times New Roman"/>
                <w:spacing w:val="20"/>
                <w:kern w:val="0"/>
                <w:sz w:val="24"/>
                <w:szCs w:val="20"/>
              </w:rPr>
            </w:pPr>
          </w:p>
        </w:tc>
        <w:tc>
          <w:tcPr>
            <w:tcW w:w="2312" w:type="dxa"/>
          </w:tcPr>
          <w:p>
            <w:pPr>
              <w:adjustRightInd w:val="0"/>
              <w:snapToGrid w:val="0"/>
              <w:spacing w:line="460" w:lineRule="atLeast"/>
              <w:rPr>
                <w:rFonts w:ascii="Times New Roman" w:hAnsi="Times New Roman" w:eastAsia="宋体" w:cs="Times New Roman"/>
                <w:spacing w:val="20"/>
                <w:kern w:val="0"/>
                <w:sz w:val="24"/>
                <w:szCs w:val="20"/>
              </w:rPr>
            </w:pPr>
          </w:p>
        </w:tc>
        <w:tc>
          <w:tcPr>
            <w:tcW w:w="1438" w:type="dxa"/>
          </w:tcPr>
          <w:p>
            <w:pPr>
              <w:adjustRightInd w:val="0"/>
              <w:snapToGrid w:val="0"/>
              <w:spacing w:line="460" w:lineRule="atLeast"/>
              <w:rPr>
                <w:rFonts w:ascii="Times New Roman" w:hAnsi="Times New Roman" w:eastAsia="宋体" w:cs="Times New Roman"/>
                <w:spacing w:val="20"/>
                <w:kern w:val="0"/>
                <w:sz w:val="24"/>
                <w:szCs w:val="20"/>
              </w:rPr>
            </w:pPr>
          </w:p>
        </w:tc>
        <w:tc>
          <w:tcPr>
            <w:tcW w:w="1137" w:type="dxa"/>
          </w:tcPr>
          <w:p>
            <w:pPr>
              <w:adjustRightInd w:val="0"/>
              <w:snapToGrid w:val="0"/>
              <w:spacing w:line="460" w:lineRule="atLeast"/>
              <w:rPr>
                <w:rFonts w:ascii="Times New Roman" w:hAnsi="Times New Roman" w:eastAsia="宋体" w:cs="Times New Roman"/>
                <w:spacing w:val="20"/>
                <w:kern w:val="0"/>
                <w:sz w:val="24"/>
                <w:szCs w:val="20"/>
              </w:rPr>
            </w:pPr>
          </w:p>
        </w:tc>
        <w:tc>
          <w:tcPr>
            <w:tcW w:w="1100" w:type="dxa"/>
          </w:tcPr>
          <w:p>
            <w:pPr>
              <w:adjustRightInd w:val="0"/>
              <w:snapToGrid w:val="0"/>
              <w:spacing w:line="460" w:lineRule="atLeast"/>
              <w:rPr>
                <w:rFonts w:ascii="Times New Roman" w:hAnsi="Times New Roman" w:eastAsia="宋体" w:cs="Times New Roman"/>
                <w:spacing w:val="20"/>
                <w:kern w:val="0"/>
                <w:sz w:val="24"/>
                <w:szCs w:val="20"/>
              </w:rPr>
            </w:pPr>
          </w:p>
        </w:tc>
        <w:tc>
          <w:tcPr>
            <w:tcW w:w="925" w:type="dxa"/>
          </w:tcPr>
          <w:p>
            <w:pPr>
              <w:adjustRightInd w:val="0"/>
              <w:snapToGrid w:val="0"/>
              <w:spacing w:line="460" w:lineRule="atLeast"/>
              <w:rPr>
                <w:rFonts w:ascii="Times New Roman" w:hAnsi="Times New Roman" w:eastAsia="宋体" w:cs="Times New Roman"/>
                <w:spacing w:val="20"/>
                <w:kern w:val="0"/>
                <w:sz w:val="24"/>
                <w:szCs w:val="20"/>
              </w:rPr>
            </w:pPr>
          </w:p>
        </w:tc>
        <w:tc>
          <w:tcPr>
            <w:tcW w:w="1011" w:type="dxa"/>
          </w:tcPr>
          <w:p>
            <w:pPr>
              <w:adjustRightInd w:val="0"/>
              <w:snapToGrid w:val="0"/>
              <w:spacing w:line="460" w:lineRule="atLeast"/>
              <w:rPr>
                <w:rFonts w:ascii="Times New Roman" w:hAnsi="Times New Roman" w:eastAsia="宋体" w:cs="Times New Roman"/>
                <w:spacing w:val="20"/>
                <w:kern w:val="0"/>
                <w:sz w:val="24"/>
                <w:szCs w:val="20"/>
              </w:rPr>
            </w:pPr>
          </w:p>
        </w:tc>
      </w:tr>
    </w:tbl>
    <w:p>
      <w:pPr>
        <w:adjustRightInd w:val="0"/>
        <w:snapToGrid w:val="0"/>
        <w:spacing w:line="420" w:lineRule="exact"/>
        <w:rPr>
          <w:rFonts w:ascii="Times New Roman" w:hAnsi="Times New Roman"/>
          <w:spacing w:val="20"/>
          <w:sz w:val="24"/>
        </w:rPr>
      </w:pPr>
      <w:r>
        <w:rPr>
          <w:rFonts w:hint="eastAsia" w:ascii="Times New Roman" w:hAnsi="Times New Roman"/>
          <w:spacing w:val="20"/>
          <w:sz w:val="24"/>
        </w:rPr>
        <w:t>1</w:t>
      </w:r>
      <w:r>
        <w:rPr>
          <w:rFonts w:hint="eastAsia" w:ascii="Times New Roman" w:hAnsi="Times New Roman"/>
          <w:b/>
          <w:bCs/>
          <w:spacing w:val="20"/>
          <w:sz w:val="24"/>
        </w:rPr>
        <w:t>.</w:t>
      </w:r>
      <w:r>
        <w:rPr>
          <w:rFonts w:hint="eastAsia" w:ascii="Times New Roman" w:hAnsi="Times New Roman"/>
          <w:spacing w:val="20"/>
          <w:sz w:val="24"/>
        </w:rPr>
        <w:t xml:space="preserve">4 </w:t>
      </w:r>
      <w:r>
        <w:rPr>
          <w:rFonts w:hint="eastAsia" w:ascii="Times New Roman" w:hAnsi="Times New Roman"/>
          <w:b/>
          <w:bCs/>
          <w:spacing w:val="20"/>
          <w:sz w:val="24"/>
        </w:rPr>
        <w:t>检测</w:t>
      </w:r>
      <w:r>
        <w:rPr>
          <w:rFonts w:hint="eastAsia" w:ascii="Times New Roman" w:hAnsi="Times New Roman"/>
          <w:spacing w:val="20"/>
          <w:sz w:val="24"/>
        </w:rPr>
        <w:t>机构场所特点：</w:t>
      </w:r>
    </w:p>
    <w:p>
      <w:pPr>
        <w:adjustRightInd w:val="0"/>
        <w:snapToGrid w:val="0"/>
        <w:spacing w:line="420" w:lineRule="exact"/>
        <w:ind w:firstLine="560" w:firstLineChars="200"/>
        <w:jc w:val="left"/>
        <w:rPr>
          <w:rFonts w:ascii="Times New Roman" w:hAnsi="Times New Roman"/>
          <w:spacing w:val="20"/>
          <w:sz w:val="24"/>
        </w:rPr>
      </w:pPr>
      <w:r>
        <w:rPr>
          <w:rFonts w:hint="eastAsia" w:ascii="Times New Roman" w:hAnsi="Times New Roman"/>
          <w:spacing w:val="20"/>
          <w:sz w:val="24"/>
        </w:rPr>
        <w:t>单一□</w:t>
      </w:r>
      <w:r>
        <w:rPr>
          <w:rFonts w:hint="eastAsia" w:ascii="Times New Roman" w:hAnsi="Times New Roman"/>
          <w:spacing w:val="20"/>
          <w:sz w:val="24"/>
        </w:rPr>
        <w:sym w:font="方正小标宋简体" w:char="F0FE"/>
      </w:r>
      <w:r>
        <w:rPr>
          <w:rFonts w:hint="eastAsia" w:ascii="Times New Roman" w:hAnsi="Times New Roman"/>
          <w:spacing w:val="20"/>
          <w:sz w:val="24"/>
        </w:rPr>
        <w:t xml:space="preserve">       多场所□</w:t>
      </w:r>
      <w:r>
        <w:rPr>
          <w:rFonts w:hint="eastAsia" w:ascii="Times New Roman" w:hAnsi="Times New Roman"/>
          <w:spacing w:val="20"/>
          <w:sz w:val="24"/>
        </w:rPr>
        <w:sym w:font="方正小标宋简体" w:char="F0FE"/>
      </w:r>
    </w:p>
    <w:p>
      <w:pPr>
        <w:adjustRightInd w:val="0"/>
        <w:snapToGrid w:val="0"/>
        <w:spacing w:line="420" w:lineRule="exact"/>
        <w:rPr>
          <w:rFonts w:ascii="Times New Roman" w:hAnsi="Times New Roman"/>
          <w:spacing w:val="20"/>
          <w:sz w:val="24"/>
        </w:rPr>
      </w:pPr>
      <w:r>
        <w:rPr>
          <w:rFonts w:hint="eastAsia" w:ascii="Times New Roman" w:hAnsi="Times New Roman"/>
          <w:spacing w:val="20"/>
          <w:sz w:val="24"/>
        </w:rPr>
        <w:t>1</w:t>
      </w:r>
      <w:r>
        <w:rPr>
          <w:rFonts w:hint="eastAsia" w:ascii="Times New Roman" w:hAnsi="Times New Roman"/>
          <w:b/>
          <w:bCs/>
          <w:spacing w:val="20"/>
          <w:sz w:val="24"/>
        </w:rPr>
        <w:t>.</w:t>
      </w:r>
      <w:r>
        <w:rPr>
          <w:rFonts w:hint="eastAsia" w:ascii="Times New Roman" w:hAnsi="Times New Roman"/>
          <w:spacing w:val="20"/>
          <w:sz w:val="24"/>
        </w:rPr>
        <w:t>5 法人类别：</w:t>
      </w:r>
    </w:p>
    <w:p>
      <w:pPr>
        <w:adjustRightInd w:val="0"/>
        <w:snapToGrid w:val="0"/>
        <w:spacing w:line="420" w:lineRule="exact"/>
        <w:rPr>
          <w:rFonts w:ascii="Times New Roman" w:hAnsi="Times New Roman"/>
          <w:spacing w:val="20"/>
          <w:sz w:val="24"/>
        </w:rPr>
      </w:pPr>
      <w:r>
        <w:rPr>
          <w:rFonts w:hint="eastAsia" w:ascii="Times New Roman" w:hAnsi="Times New Roman"/>
          <w:spacing w:val="20"/>
          <w:sz w:val="24"/>
        </w:rPr>
        <w:t>企业法人□      事业法人□     合伙人企业□       其它□</w:t>
      </w:r>
    </w:p>
    <w:p>
      <w:pPr>
        <w:adjustRightInd w:val="0"/>
        <w:snapToGrid w:val="0"/>
        <w:spacing w:line="420" w:lineRule="exact"/>
        <w:rPr>
          <w:rFonts w:ascii="Times New Roman" w:hAnsi="Times New Roman"/>
          <w:spacing w:val="20"/>
          <w:sz w:val="24"/>
        </w:rPr>
      </w:pPr>
      <w:r>
        <w:rPr>
          <w:rFonts w:hint="eastAsia" w:ascii="Times New Roman" w:hAnsi="Times New Roman"/>
          <w:spacing w:val="20"/>
          <w:sz w:val="24"/>
        </w:rPr>
        <w:t>1.6 评审类型</w:t>
      </w:r>
    </w:p>
    <w:p>
      <w:pPr>
        <w:adjustRightInd w:val="0"/>
        <w:snapToGrid w:val="0"/>
        <w:spacing w:line="420" w:lineRule="exact"/>
        <w:rPr>
          <w:rFonts w:ascii="Times New Roman" w:hAnsi="Times New Roman" w:cs="宋体"/>
          <w:spacing w:val="20"/>
          <w:kern w:val="0"/>
          <w:sz w:val="24"/>
          <w:szCs w:val="24"/>
        </w:rPr>
      </w:pPr>
      <w:r>
        <w:rPr>
          <w:rFonts w:hint="eastAsia" w:ascii="Times New Roman" w:hAnsi="Times New Roman"/>
          <w:spacing w:val="20"/>
          <w:sz w:val="24"/>
        </w:rPr>
        <w:t>首次□  扩项(参数)□  增项□  地</w:t>
      </w:r>
      <w:r>
        <w:rPr>
          <w:rFonts w:hint="eastAsia" w:ascii="Times New Roman" w:hAnsi="Times New Roman" w:cs="宋体"/>
          <w:spacing w:val="20"/>
          <w:kern w:val="0"/>
          <w:sz w:val="24"/>
          <w:szCs w:val="24"/>
        </w:rPr>
        <w:t>址变更□</w:t>
      </w:r>
      <w:r>
        <w:rPr>
          <w:rFonts w:ascii="Times New Roman" w:hAnsi="Times New Roman" w:cs="宋体"/>
          <w:spacing w:val="20"/>
          <w:kern w:val="0"/>
          <w:sz w:val="24"/>
          <w:szCs w:val="24"/>
        </w:rPr>
        <w:t> </w:t>
      </w:r>
      <w:r>
        <w:rPr>
          <w:rFonts w:hint="eastAsia" w:ascii="Times New Roman" w:hAnsi="Times New Roman" w:cs="宋体"/>
          <w:spacing w:val="20"/>
          <w:kern w:val="0"/>
          <w:sz w:val="24"/>
          <w:szCs w:val="24"/>
        </w:rPr>
        <w:t>延期□  其它□</w:t>
      </w:r>
    </w:p>
    <w:p>
      <w:pPr>
        <w:widowControl/>
        <w:shd w:val="clear" w:color="auto" w:fill="FFFFFF"/>
        <w:wordWrap w:val="0"/>
        <w:snapToGrid w:val="0"/>
        <w:spacing w:line="420" w:lineRule="atLeast"/>
        <w:jc w:val="left"/>
        <w:rPr>
          <w:rFonts w:ascii="Times New Roman" w:hAnsi="Times New Roman" w:cs="宋体"/>
          <w:kern w:val="0"/>
          <w:sz w:val="20"/>
          <w:szCs w:val="20"/>
        </w:rPr>
      </w:pPr>
      <w:r>
        <w:rPr>
          <w:rFonts w:ascii="Times New Roman" w:hAnsi="Times New Roman" w:cs="宋体"/>
          <w:spacing w:val="20"/>
          <w:kern w:val="0"/>
          <w:sz w:val="24"/>
          <w:szCs w:val="24"/>
        </w:rPr>
        <w:t>1.</w:t>
      </w:r>
      <w:r>
        <w:rPr>
          <w:rFonts w:hint="eastAsia" w:ascii="Times New Roman" w:hAnsi="Times New Roman" w:cs="宋体"/>
          <w:spacing w:val="20"/>
          <w:kern w:val="0"/>
          <w:sz w:val="24"/>
          <w:szCs w:val="24"/>
        </w:rPr>
        <w:t>7</w:t>
      </w:r>
      <w:r>
        <w:rPr>
          <w:rFonts w:ascii="Times New Roman" w:hAnsi="Times New Roman" w:cs="宋体"/>
          <w:spacing w:val="20"/>
          <w:kern w:val="0"/>
          <w:sz w:val="24"/>
          <w:szCs w:val="24"/>
        </w:rPr>
        <w:t xml:space="preserve"> </w:t>
      </w:r>
      <w:r>
        <w:rPr>
          <w:rFonts w:hint="eastAsia" w:ascii="Times New Roman" w:hAnsi="Times New Roman" w:cs="宋体"/>
          <w:spacing w:val="20"/>
          <w:kern w:val="0"/>
          <w:sz w:val="24"/>
          <w:szCs w:val="24"/>
        </w:rPr>
        <w:t>已获资质情况</w:t>
      </w:r>
    </w:p>
    <w:p>
      <w:pPr>
        <w:spacing w:line="440" w:lineRule="exact"/>
        <w:rPr>
          <w:rFonts w:ascii="Times New Roman" w:hAnsi="Times New Roman"/>
          <w:sz w:val="24"/>
        </w:rPr>
      </w:pPr>
      <w:r>
        <w:rPr>
          <w:rFonts w:hint="eastAsia" w:ascii="Times New Roman" w:hAnsi="Times New Roman"/>
          <w:spacing w:val="20"/>
          <w:sz w:val="24"/>
        </w:rPr>
        <w:t>建设工程质量检测机构资质</w:t>
      </w:r>
      <w:r>
        <w:rPr>
          <w:rFonts w:hint="eastAsia" w:ascii="Times New Roman" w:hAnsi="Times New Roman"/>
          <w:sz w:val="24"/>
        </w:rPr>
        <w:t>证书编号：</w:t>
      </w:r>
      <w:r>
        <w:rPr>
          <w:rFonts w:hint="eastAsia" w:ascii="Times New Roman" w:hAnsi="Times New Roman" w:cs="宋体"/>
          <w:color w:val="000000"/>
          <w:sz w:val="24"/>
        </w:rPr>
        <w:t>XXXXXXXXXX</w:t>
      </w:r>
      <w:r>
        <w:rPr>
          <w:rFonts w:hint="eastAsia" w:ascii="Times New Roman" w:hAnsi="Times New Roman"/>
          <w:sz w:val="24"/>
        </w:rPr>
        <w:t xml:space="preserve">        </w:t>
      </w:r>
    </w:p>
    <w:p>
      <w:pPr>
        <w:spacing w:line="440" w:lineRule="exact"/>
        <w:rPr>
          <w:rFonts w:ascii="Times New Roman" w:hAnsi="Times New Roman"/>
          <w:sz w:val="24"/>
        </w:rPr>
      </w:pPr>
      <w:r>
        <w:rPr>
          <w:rFonts w:hint="eastAsia" w:ascii="Times New Roman" w:hAnsi="Times New Roman" w:cs="宋体"/>
          <w:color w:val="000000"/>
          <w:sz w:val="24"/>
        </w:rPr>
        <w:t>首次获得</w:t>
      </w:r>
      <w:r>
        <w:rPr>
          <w:rFonts w:hint="eastAsia" w:ascii="Times New Roman" w:hAnsi="Times New Roman"/>
          <w:color w:val="000000" w:themeColor="text1"/>
          <w:spacing w:val="20"/>
          <w:sz w:val="24"/>
          <w14:textFill>
            <w14:solidFill>
              <w14:schemeClr w14:val="tx1"/>
            </w14:solidFill>
          </w14:textFill>
        </w:rPr>
        <w:t>建设工程质量检测机构</w:t>
      </w:r>
      <w:r>
        <w:rPr>
          <w:rFonts w:hint="eastAsia" w:ascii="Times New Roman" w:hAnsi="Times New Roman" w:cs="宋体"/>
          <w:color w:val="000000" w:themeColor="text1"/>
          <w:sz w:val="24"/>
          <w14:textFill>
            <w14:solidFill>
              <w14:schemeClr w14:val="tx1"/>
            </w14:solidFill>
          </w14:textFill>
        </w:rPr>
        <w:t>资质</w:t>
      </w:r>
      <w:r>
        <w:rPr>
          <w:rFonts w:hint="eastAsia" w:ascii="Times New Roman" w:hAnsi="Times New Roman" w:cs="宋体"/>
          <w:color w:val="000000"/>
          <w:sz w:val="24"/>
        </w:rPr>
        <w:t>时间： XXXX年XX月XX日</w:t>
      </w:r>
    </w:p>
    <w:p>
      <w:pPr>
        <w:spacing w:line="440" w:lineRule="exact"/>
        <w:rPr>
          <w:rFonts w:ascii="Times New Roman" w:hAnsi="Times New Roman" w:cs="宋体"/>
          <w:color w:val="000000"/>
          <w:sz w:val="24"/>
        </w:rPr>
      </w:pPr>
      <w:r>
        <w:rPr>
          <w:rFonts w:hint="eastAsia" w:ascii="Times New Roman" w:hAnsi="Times New Roman"/>
          <w:sz w:val="24"/>
        </w:rPr>
        <w:t>证书有效期至：</w:t>
      </w:r>
      <w:r>
        <w:rPr>
          <w:rFonts w:hint="eastAsia" w:ascii="Times New Roman" w:hAnsi="Times New Roman" w:cs="宋体"/>
          <w:color w:val="000000"/>
          <w:sz w:val="24"/>
        </w:rPr>
        <w:t>XXXX年XX月XX日</w:t>
      </w:r>
    </w:p>
    <w:p>
      <w:pPr>
        <w:rPr>
          <w:rFonts w:ascii="Times New Roman" w:hAnsi="Times New Roman"/>
          <w:b/>
          <w:bCs/>
          <w:kern w:val="0"/>
          <w:sz w:val="28"/>
        </w:rPr>
      </w:pPr>
      <w:r>
        <w:rPr>
          <w:rFonts w:hint="eastAsia" w:ascii="Times New Roman" w:hAnsi="Times New Roman"/>
          <w:b/>
          <w:bCs/>
          <w:kern w:val="0"/>
          <w:sz w:val="28"/>
        </w:rPr>
        <w:t>2、评审地点（多场所的另附页）：</w:t>
      </w:r>
    </w:p>
    <w:p>
      <w:pPr>
        <w:rPr>
          <w:rFonts w:ascii="Times New Roman" w:hAnsi="Times New Roman"/>
          <w:sz w:val="24"/>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b/>
          <w:bCs/>
          <w:kern w:val="0"/>
          <w:sz w:val="28"/>
          <w:szCs w:val="28"/>
        </w:rPr>
      </w:pPr>
    </w:p>
    <w:p>
      <w:pPr>
        <w:widowControl/>
        <w:shd w:val="clear" w:color="auto" w:fill="FFFFFF"/>
        <w:wordWrap w:val="0"/>
        <w:spacing w:line="264" w:lineRule="auto"/>
        <w:jc w:val="left"/>
        <w:rPr>
          <w:rFonts w:ascii="Times New Roman" w:hAnsi="Times New Roman" w:cs="宋体"/>
          <w:kern w:val="0"/>
          <w:sz w:val="20"/>
          <w:szCs w:val="20"/>
        </w:rPr>
      </w:pPr>
      <w:r>
        <w:rPr>
          <w:rFonts w:hint="eastAsia" w:ascii="Times New Roman" w:hAnsi="Times New Roman" w:cs="宋体"/>
          <w:b/>
          <w:bCs/>
          <w:kern w:val="0"/>
          <w:sz w:val="28"/>
          <w:szCs w:val="28"/>
        </w:rPr>
        <w:t>3.评审组意见：</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X</w:t>
      </w:r>
      <w:r>
        <w:rPr>
          <w:rFonts w:ascii="仿宋" w:hAnsi="仿宋" w:eastAsia="仿宋" w:cs="仿宋_GB2312"/>
          <w:sz w:val="32"/>
          <w:szCs w:val="32"/>
        </w:rPr>
        <w:t>XXXX</w:t>
      </w:r>
      <w:r>
        <w:rPr>
          <w:rFonts w:hint="eastAsia" w:ascii="仿宋" w:hAnsi="仿宋" w:eastAsia="仿宋" w:cs="仿宋_GB2312"/>
          <w:sz w:val="32"/>
          <w:szCs w:val="32"/>
        </w:rPr>
        <w:t>（检测机构名称）：</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X</w:t>
      </w:r>
      <w:r>
        <w:rPr>
          <w:rFonts w:ascii="仿宋" w:hAnsi="仿宋" w:eastAsia="仿宋" w:cs="仿宋_GB2312"/>
          <w:sz w:val="32"/>
          <w:szCs w:val="32"/>
        </w:rPr>
        <w:t>XXX</w:t>
      </w:r>
      <w:r>
        <w:rPr>
          <w:rFonts w:hint="eastAsia" w:ascii="仿宋" w:hAnsi="仿宋" w:eastAsia="仿宋" w:cs="仿宋_GB2312"/>
          <w:sz w:val="32"/>
          <w:szCs w:val="32"/>
        </w:rPr>
        <w:t>年X</w:t>
      </w:r>
      <w:r>
        <w:rPr>
          <w:rFonts w:ascii="仿宋" w:hAnsi="仿宋" w:eastAsia="仿宋" w:cs="仿宋_GB2312"/>
          <w:sz w:val="32"/>
          <w:szCs w:val="32"/>
        </w:rPr>
        <w:t>X</w:t>
      </w:r>
      <w:r>
        <w:rPr>
          <w:rFonts w:hint="eastAsia" w:ascii="仿宋" w:hAnsi="仿宋" w:eastAsia="仿宋" w:cs="仿宋_GB2312"/>
          <w:sz w:val="32"/>
          <w:szCs w:val="32"/>
        </w:rPr>
        <w:t>月X</w:t>
      </w:r>
      <w:r>
        <w:rPr>
          <w:rFonts w:ascii="仿宋" w:hAnsi="仿宋" w:eastAsia="仿宋" w:cs="仿宋_GB2312"/>
          <w:sz w:val="32"/>
          <w:szCs w:val="32"/>
        </w:rPr>
        <w:t>X</w:t>
      </w:r>
      <w:r>
        <w:rPr>
          <w:rFonts w:hint="eastAsia" w:ascii="仿宋" w:hAnsi="仿宋" w:eastAsia="仿宋" w:cs="仿宋_GB2312"/>
          <w:sz w:val="32"/>
          <w:szCs w:val="32"/>
        </w:rPr>
        <w:t>日，经陕西省住房和城乡建设厅建设工程质量检测机构资质许可专家评审组现场评审，你机构符合□/基本符合□/不符合□《建设工程质量检测机构资质标准》等相关法规、规章、标准要求。</w:t>
      </w:r>
    </w:p>
    <w:p>
      <w:pPr>
        <w:spacing w:line="360" w:lineRule="auto"/>
        <w:ind w:firstLine="640" w:firstLineChars="200"/>
        <w:rPr>
          <w:rFonts w:ascii="Times New Roman" w:hAnsi="Times New Roman"/>
          <w:sz w:val="24"/>
          <w:szCs w:val="24"/>
        </w:rPr>
      </w:pPr>
      <w:r>
        <w:rPr>
          <w:rFonts w:ascii="仿宋" w:hAnsi="仿宋" w:eastAsia="仿宋" w:cs="仿宋_GB2312"/>
          <w:sz w:val="32"/>
          <w:szCs w:val="32"/>
        </w:rPr>
        <w:t xml:space="preserve"> </w:t>
      </w:r>
      <w:r>
        <w:rPr>
          <w:rFonts w:hint="eastAsia" w:ascii="仿宋" w:hAnsi="仿宋" w:eastAsia="仿宋" w:cs="仿宋_GB2312"/>
          <w:sz w:val="32"/>
          <w:szCs w:val="32"/>
        </w:rPr>
        <w:t>不符合项（整改项）：</w:t>
      </w: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exact"/>
        <w:ind w:firstLine="482"/>
        <w:rPr>
          <w:rFonts w:ascii="Times New Roman" w:hAnsi="Times New Roman"/>
          <w:sz w:val="24"/>
          <w:szCs w:val="24"/>
        </w:rPr>
      </w:pP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当评审结果为基本符合时，你机构应于X</w:t>
      </w:r>
      <w:r>
        <w:rPr>
          <w:rFonts w:ascii="仿宋" w:hAnsi="仿宋" w:eastAsia="仿宋" w:cs="仿宋_GB2312"/>
          <w:sz w:val="32"/>
          <w:szCs w:val="32"/>
        </w:rPr>
        <w:t>XXX</w:t>
      </w:r>
      <w:r>
        <w:rPr>
          <w:rFonts w:hint="eastAsia" w:ascii="仿宋" w:hAnsi="仿宋" w:eastAsia="仿宋" w:cs="仿宋_GB2312"/>
          <w:sz w:val="32"/>
          <w:szCs w:val="32"/>
        </w:rPr>
        <w:t>年X</w:t>
      </w:r>
      <w:r>
        <w:rPr>
          <w:rFonts w:ascii="仿宋" w:hAnsi="仿宋" w:eastAsia="仿宋" w:cs="仿宋_GB2312"/>
          <w:sz w:val="32"/>
          <w:szCs w:val="32"/>
        </w:rPr>
        <w:t>X</w:t>
      </w:r>
      <w:r>
        <w:rPr>
          <w:rFonts w:hint="eastAsia" w:ascii="仿宋" w:hAnsi="仿宋" w:eastAsia="仿宋" w:cs="仿宋_GB2312"/>
          <w:sz w:val="32"/>
          <w:szCs w:val="32"/>
        </w:rPr>
        <w:t>月X</w:t>
      </w:r>
      <w:r>
        <w:rPr>
          <w:rFonts w:ascii="仿宋" w:hAnsi="仿宋" w:eastAsia="仿宋" w:cs="仿宋_GB2312"/>
          <w:sz w:val="32"/>
          <w:szCs w:val="32"/>
        </w:rPr>
        <w:t>X</w:t>
      </w:r>
      <w:r>
        <w:rPr>
          <w:rFonts w:hint="eastAsia" w:ascii="仿宋" w:hAnsi="仿宋" w:eastAsia="仿宋" w:cs="仿宋_GB2312"/>
          <w:sz w:val="32"/>
          <w:szCs w:val="32"/>
        </w:rPr>
        <w:t>日前完有效整改，并形成书面材料报评审组确认。</w:t>
      </w:r>
    </w:p>
    <w:p>
      <w:pPr>
        <w:spacing w:line="360" w:lineRule="exact"/>
        <w:rPr>
          <w:rFonts w:ascii="Times New Roman" w:hAnsi="Times New Roman"/>
          <w:sz w:val="24"/>
          <w:szCs w:val="24"/>
        </w:rPr>
      </w:pPr>
    </w:p>
    <w:p>
      <w:pPr>
        <w:spacing w:line="360" w:lineRule="exact"/>
        <w:ind w:firstLine="482"/>
        <w:rPr>
          <w:rFonts w:ascii="Times New Roman" w:hAnsi="Times New Roman"/>
          <w:sz w:val="24"/>
          <w:szCs w:val="24"/>
        </w:rPr>
      </w:pPr>
    </w:p>
    <w:p>
      <w:pPr>
        <w:widowControl/>
        <w:shd w:val="clear" w:color="auto" w:fill="FFFFFF"/>
        <w:wordWrap w:val="0"/>
        <w:spacing w:line="300" w:lineRule="auto"/>
        <w:jc w:val="left"/>
        <w:rPr>
          <w:rFonts w:ascii="Times New Roman" w:hAnsi="Times New Roman" w:cs="宋体"/>
          <w:kern w:val="0"/>
          <w:sz w:val="24"/>
          <w:szCs w:val="24"/>
        </w:rPr>
      </w:pPr>
    </w:p>
    <w:p>
      <w:pPr>
        <w:widowControl/>
        <w:shd w:val="clear" w:color="auto" w:fill="FFFFFF"/>
        <w:wordWrap w:val="0"/>
        <w:spacing w:line="300" w:lineRule="auto"/>
        <w:jc w:val="left"/>
        <w:rPr>
          <w:rFonts w:ascii="Times New Roman" w:hAnsi="Times New Roman" w:cs="宋体"/>
          <w:kern w:val="0"/>
          <w:sz w:val="24"/>
          <w:szCs w:val="24"/>
        </w:rPr>
      </w:pPr>
      <w:r>
        <w:rPr>
          <w:rFonts w:hint="eastAsia" w:ascii="Times New Roman" w:hAnsi="Times New Roman" w:cs="宋体"/>
          <w:kern w:val="0"/>
          <w:sz w:val="24"/>
          <w:szCs w:val="24"/>
        </w:rPr>
        <w:t>评审组长签名：</w:t>
      </w:r>
    </w:p>
    <w:p>
      <w:pPr>
        <w:widowControl/>
        <w:shd w:val="clear" w:color="auto" w:fill="FFFFFF"/>
        <w:wordWrap w:val="0"/>
        <w:spacing w:line="300" w:lineRule="auto"/>
        <w:jc w:val="left"/>
        <w:rPr>
          <w:rFonts w:ascii="Times New Roman" w:hAnsi="Times New Roman" w:cs="宋体"/>
          <w:kern w:val="0"/>
          <w:sz w:val="20"/>
          <w:szCs w:val="20"/>
        </w:rPr>
      </w:pPr>
      <w:r>
        <w:rPr>
          <w:rFonts w:hint="eastAsia" w:ascii="Times New Roman" w:hAnsi="Times New Roman" w:cs="宋体"/>
          <w:kern w:val="0"/>
          <w:sz w:val="24"/>
          <w:szCs w:val="24"/>
        </w:rPr>
        <w:t>               </w:t>
      </w:r>
    </w:p>
    <w:p>
      <w:pPr>
        <w:widowControl/>
        <w:shd w:val="clear" w:color="auto" w:fill="FFFFFF"/>
        <w:tabs>
          <w:tab w:val="left" w:pos="85"/>
        </w:tabs>
        <w:wordWrap w:val="0"/>
        <w:spacing w:line="120" w:lineRule="auto"/>
        <w:jc w:val="left"/>
        <w:rPr>
          <w:rFonts w:ascii="Times New Roman" w:hAnsi="Times New Roman" w:cs="宋体"/>
          <w:kern w:val="0"/>
          <w:sz w:val="24"/>
          <w:szCs w:val="24"/>
        </w:rPr>
      </w:pPr>
      <w:r>
        <w:rPr>
          <w:rFonts w:ascii="Times New Roman" w:hAnsi="Times New Roman" w:cs="宋体"/>
          <w:kern w:val="0"/>
          <w:sz w:val="24"/>
          <w:szCs w:val="24"/>
        </w:rPr>
        <w:tab/>
      </w:r>
      <w:r>
        <w:rPr>
          <w:rFonts w:hint="eastAsia" w:ascii="Times New Roman" w:hAnsi="Times New Roman" w:cs="宋体"/>
          <w:kern w:val="0"/>
          <w:sz w:val="24"/>
          <w:szCs w:val="24"/>
        </w:rPr>
        <w:t>评审组成员：</w:t>
      </w:r>
    </w:p>
    <w:p>
      <w:pPr>
        <w:pStyle w:val="2"/>
        <w:rPr>
          <w:rFonts w:hint="eastAsia"/>
        </w:rPr>
      </w:pPr>
    </w:p>
    <w:p>
      <w:pPr>
        <w:widowControl/>
        <w:shd w:val="clear" w:color="auto" w:fill="FFFFFF"/>
        <w:tabs>
          <w:tab w:val="left" w:pos="625"/>
        </w:tabs>
        <w:wordWrap w:val="0"/>
        <w:spacing w:line="120" w:lineRule="auto"/>
        <w:jc w:val="left"/>
        <w:rPr>
          <w:rFonts w:ascii="Times New Roman" w:hAnsi="Times New Roman" w:cs="宋体"/>
          <w:spacing w:val="20"/>
          <w:kern w:val="0"/>
          <w:sz w:val="24"/>
          <w:szCs w:val="24"/>
        </w:rPr>
      </w:pPr>
      <w:r>
        <w:rPr>
          <w:rFonts w:hint="eastAsia" w:ascii="Times New Roman" w:hAnsi="Times New Roman" w:cs="宋体"/>
          <w:spacing w:val="20"/>
          <w:kern w:val="0"/>
          <w:sz w:val="24"/>
          <w:szCs w:val="24"/>
        </w:rPr>
        <w:t>检测机构法定代表人确认：</w:t>
      </w:r>
    </w:p>
    <w:p>
      <w:pPr>
        <w:widowControl/>
        <w:shd w:val="clear" w:color="auto" w:fill="FFFFFF"/>
        <w:wordWrap w:val="0"/>
        <w:spacing w:line="300" w:lineRule="auto"/>
        <w:jc w:val="left"/>
        <w:rPr>
          <w:rFonts w:ascii="Times New Roman" w:hAnsi="Times New Roman" w:cs="宋体"/>
          <w:kern w:val="0"/>
          <w:sz w:val="20"/>
          <w:szCs w:val="20"/>
        </w:rPr>
      </w:pPr>
      <w:r>
        <w:rPr>
          <w:rFonts w:hint="eastAsia" w:ascii="Times New Roman" w:hAnsi="Times New Roman"/>
          <w:color w:val="000000"/>
          <w:sz w:val="32"/>
          <w:szCs w:val="32"/>
        </w:rPr>
        <w:t xml:space="preserve">                          </w:t>
      </w:r>
      <w:r>
        <w:rPr>
          <w:rFonts w:hint="eastAsia" w:ascii="Times New Roman" w:hAnsi="Times New Roman" w:cs="宋体"/>
          <w:kern w:val="0"/>
          <w:sz w:val="24"/>
          <w:szCs w:val="24"/>
        </w:rPr>
        <w:t>日期：XXXX年XX月XX日</w:t>
      </w:r>
    </w:p>
    <w:p>
      <w:pPr>
        <w:widowControl/>
        <w:shd w:val="clear" w:color="auto" w:fill="FFFFFF"/>
        <w:wordWrap w:val="0"/>
        <w:spacing w:line="264" w:lineRule="auto"/>
        <w:ind w:left="-567" w:leftChars="-270" w:firstLine="643" w:firstLineChars="201"/>
        <w:jc w:val="left"/>
        <w:rPr>
          <w:rFonts w:ascii="Times New Roman" w:hAnsi="Times New Roman" w:eastAsia="宋体" w:cs="宋体"/>
          <w:kern w:val="0"/>
          <w:sz w:val="20"/>
          <w:szCs w:val="20"/>
        </w:rPr>
      </w:pPr>
      <w:r>
        <w:rPr>
          <w:rFonts w:hint="eastAsia" w:ascii="黑体" w:hAnsi="黑体" w:eastAsia="黑体"/>
          <w:sz w:val="32"/>
          <w:szCs w:val="32"/>
        </w:rPr>
        <w:t>附表</w:t>
      </w:r>
      <w:r>
        <w:rPr>
          <w:rFonts w:hint="eastAsia" w:ascii="Times New Roman" w:hAnsi="Times New Roman" w:eastAsia="黑体" w:cs="Times New Roman"/>
          <w:sz w:val="32"/>
          <w:szCs w:val="32"/>
        </w:rPr>
        <w:t>1</w:t>
      </w:r>
    </w:p>
    <w:p>
      <w:pPr>
        <w:widowControl/>
        <w:numPr>
          <w:ilvl w:val="0"/>
          <w:numId w:val="2"/>
        </w:numPr>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建筑材料及构配件检测项目/参数能力表（必选）</w:t>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388"/>
        <w:gridCol w:w="365"/>
        <w:gridCol w:w="986"/>
        <w:gridCol w:w="969"/>
        <w:gridCol w:w="4047"/>
        <w:gridCol w:w="777"/>
        <w:gridCol w:w="994"/>
        <w:gridCol w:w="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9571" w:type="dxa"/>
            <w:gridSpan w:val="9"/>
            <w:tcBorders>
              <w:top w:val="nil"/>
              <w:left w:val="nil"/>
              <w:bottom w:val="single" w:color="auto" w:sz="4" w:space="0"/>
              <w:right w:val="nil"/>
              <w:tl2br w:val="nil"/>
              <w:tr2bl w:val="nil"/>
            </w:tcBorders>
            <w:shd w:val="clear" w:color="auto" w:fill="auto"/>
            <w:vAlign w:val="center"/>
          </w:tcPr>
          <w:p>
            <w:pPr>
              <w:widowControl/>
              <w:shd w:val="clear" w:color="auto" w:fill="FFFFFF"/>
              <w:wordWrap w:val="0"/>
              <w:snapToGrid w:val="0"/>
              <w:spacing w:before="120" w:line="300" w:lineRule="atLeast"/>
              <w:ind w:right="-336" w:firstLine="240" w:firstLineChars="100"/>
              <w:jc w:val="left"/>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84"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753" w:type="dxa"/>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检测项目</w:t>
            </w:r>
          </w:p>
        </w:tc>
        <w:tc>
          <w:tcPr>
            <w:tcW w:w="1955" w:type="dxa"/>
            <w:gridSpan w:val="2"/>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4047"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771" w:type="dxa"/>
            <w:gridSpan w:val="2"/>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56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jc w:val="center"/>
        </w:trPr>
        <w:tc>
          <w:tcPr>
            <w:tcW w:w="484" w:type="dxa"/>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969"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4047" w:type="dxa"/>
            <w:vMerge w:val="continue"/>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777"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994"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561" w:type="dxa"/>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水泥</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凝结</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时间</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《水泥标准稠度用水量、凝结时间、安定性检验方法》GB/T 1346-2011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安定性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《水泥标准稠度用水量、凝结时间、安定性检验方法》GB/T 1346-2011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胶砂</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《水泥胶砂强度检验方法（ISO法）》</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17671-2021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氯离子含量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《水泥化学分析方法》GB/T 176-2017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钢筋（含焊接与机械连接）</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屈服</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 拉伸试验第1部分：室温试验方法》GB/T 228.1-2021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28900-2022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《金属材料焊缝破坏性试验融化焊接头焊及熔敷金属纵向拉伸试验》GB/T 2652-2022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《预应力混凝土用钢材试验方法》</w:t>
            </w:r>
          </w:p>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21839-2019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抗拉</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 拉伸试验第1部分：室温试验方法》GB/T 228.1-2021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28900-2022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《钢筋焊接接头试验方法标准》</w:t>
            </w:r>
          </w:p>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JGJ/T 27-2014</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《钢筋机械连接技术规程》JGJ 107-2016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《钢筋焊接及验收规程》JGJ 18-2012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《金属材料焊缝破坏性试验融化焊接头焊及熔敷金属纵向拉伸试验》GB/T 2652-2022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《焊接接头拉伸试验方法》GB/T 2651-2008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《钎焊接头强度试验方法》</w:t>
            </w:r>
          </w:p>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11363-2008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《预应力混凝土用钢材试验方法》</w:t>
            </w:r>
          </w:p>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21839-2019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2.3</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断后伸长率</w:t>
            </w: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 拉伸试验 第1部分：室温试验方法》GB/T 228.1-2021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cstheme="minorEastAsia"/>
                <w:color w:val="0000FF"/>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GB/T 28900-2022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FF"/>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《金属材料焊缝破坏性试验融化焊接头焊及熔敷金属纵向拉伸试验》GB/T 2652-2022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《预应力混凝土用钢材试验方法》</w:t>
            </w:r>
          </w:p>
          <w:p>
            <w:pPr>
              <w:widowControl/>
              <w:textAlignment w:val="center"/>
              <w:rPr>
                <w:rFonts w:ascii="Times New Roman" w:hAnsi="Times New Roman" w:cstheme="minorEastAsia"/>
                <w:color w:val="0000FF"/>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GB/T 21839-2019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钢筋（含焊接与机械连接）</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2.4</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最大力下总延伸率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《金属材料 拉伸试验 第1部分：室温试验方法》GB/T 228.1-2021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《钢筋混凝土用钢材试验方法》</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28900-2022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《预应力混凝土用钢材试验方法》</w:t>
            </w:r>
          </w:p>
          <w:p>
            <w:pPr>
              <w:widowControl/>
              <w:textAlignment w:val="center"/>
              <w:rPr>
                <w:rFonts w:ascii="Times New Roman" w:hAnsi="Times New Roman" w:cstheme="minorEastAsia"/>
                <w:color w:val="0000FF"/>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GB/T 21839-2019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2.5</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反向</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弯曲</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《钢筋混凝土用钢材试验方法》</w:t>
            </w:r>
          </w:p>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28900-2022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2.6</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重量</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偏差</w:t>
            </w: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 第1部分：热轧光圆钢筋》GB/T 1499.1-2017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 第2部分：热轧带肋钢筋》GB/T 1499.2-2018</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《冷轧带肋钢筋》GB/T 13788-2017</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《预应力混凝土用钢丝》GB/T 5223-2014</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《预应力混凝土用钢棒》GB/T 5223.3-2017</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28900-2022</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《钢筋混凝土用余热处理钢筋》</w:t>
            </w:r>
          </w:p>
          <w:p>
            <w:pPr>
              <w:widowControl/>
              <w:wordWrap w:val="0"/>
              <w:adjustRightInd w:val="0"/>
              <w:snapToGrid w:val="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13014-2013</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《预应力混凝土用螺纹钢筋》</w:t>
            </w:r>
          </w:p>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20065-2016</w:t>
            </w:r>
          </w:p>
        </w:tc>
        <w:tc>
          <w:tcPr>
            <w:tcW w:w="77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2.7</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残余</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变形</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《钢筋机械连接技术规程》JGJ 107-2016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3</w:t>
            </w: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细</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骨</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料</w:t>
            </w: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3.1.1</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颗粒</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级配</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《建设用砂》GB/T 14684-2022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含泥量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《建设用砂》GB/T 14684-2022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3.1.3</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泥块</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《建设用砂》GB/T 14684-2022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3.1.4</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亚甲蓝值与石粉含量（人工砂）</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《建设用砂》GB/T 14684-2022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《高性能混凝土用骨料》JG/T 568-2019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r>
              <w:rPr>
                <w:rFonts w:hint="eastAsia" w:ascii="Times New Roman" w:hAnsi="Times New Roman" w:cstheme="minorEastAsia"/>
                <w:color w:val="000000"/>
                <w:sz w:val="20"/>
                <w:szCs w:val="20"/>
              </w:rPr>
              <w:t>3</w:t>
            </w:r>
          </w:p>
        </w:tc>
        <w:tc>
          <w:tcPr>
            <w:tcW w:w="753" w:type="dxa"/>
            <w:gridSpan w:val="2"/>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p>
            <w:pPr>
              <w:jc w:val="center"/>
              <w:rPr>
                <w:rFonts w:ascii="Times New Roman" w:hAnsi="Times New Roman" w:cstheme="minorEastAsia"/>
                <w:color w:val="000000"/>
                <w:sz w:val="20"/>
                <w:szCs w:val="20"/>
              </w:rPr>
            </w:pPr>
            <w:r>
              <w:rPr>
                <w:rFonts w:hint="eastAsia" w:ascii="Times New Roman" w:hAnsi="Times New Roman" w:cstheme="minorEastAsia"/>
                <w:color w:val="000000"/>
                <w:sz w:val="20"/>
                <w:szCs w:val="20"/>
              </w:rPr>
              <w:t>细</w:t>
            </w:r>
          </w:p>
          <w:p>
            <w:pPr>
              <w:jc w:val="center"/>
              <w:rPr>
                <w:rFonts w:ascii="Times New Roman" w:hAnsi="Times New Roman" w:cstheme="minorEastAsia"/>
                <w:color w:val="000000"/>
                <w:sz w:val="20"/>
                <w:szCs w:val="20"/>
              </w:rPr>
            </w:pPr>
            <w:r>
              <w:rPr>
                <w:rFonts w:hint="eastAsia" w:ascii="Times New Roman" w:hAnsi="Times New Roman" w:cstheme="minorEastAsia"/>
                <w:color w:val="000000"/>
                <w:sz w:val="20"/>
                <w:szCs w:val="20"/>
              </w:rPr>
              <w:t>骨</w:t>
            </w:r>
          </w:p>
          <w:p>
            <w:pPr>
              <w:jc w:val="center"/>
              <w:rPr>
                <w:rFonts w:ascii="Times New Roman" w:hAnsi="Times New Roman" w:cstheme="minorEastAsia"/>
                <w:color w:val="000000"/>
                <w:sz w:val="20"/>
                <w:szCs w:val="20"/>
              </w:rPr>
            </w:pPr>
            <w:r>
              <w:rPr>
                <w:rFonts w:hint="eastAsia" w:ascii="Times New Roman" w:hAnsi="Times New Roman" w:cstheme="minorEastAsia"/>
                <w:color w:val="000000"/>
                <w:sz w:val="20"/>
                <w:szCs w:val="20"/>
              </w:rPr>
              <w:t>料</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3.1.5</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压碎指标（人工砂）</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《建设用砂》GB/T 14684-2022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3.1.6</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氯离子含量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《建设用砂》GB/T 14684-2011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粗</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骨</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料</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3.2.1</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颗粒</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级配</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《建设用卵石、碎石》GB/T 14685-2022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含泥量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《建设用卵石、碎石》GB/T 14685-2022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3.2.3</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泥块</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《建设用卵石、碎石》GB/T 14685-2022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3.2.4</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压碎值指标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《建设用卵石、碎石》GB/T 14685-2022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3.2.5</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针片状颗粒含量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《建设用卵石、碎石》GB/T 14685-2022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《普通混凝土用砂、石质量及检验方法标准》JGJ 52-2006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砖、砌块、瓦、墙板</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抗压</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《砌墙砖试验方法》GB/T 2542-2012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84"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753" w:type="dxa"/>
            <w:gridSpan w:val="2"/>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986"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969"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《混凝土砌块和砖试验方法》 </w:t>
            </w:r>
          </w:p>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4111-2013</w:t>
            </w:r>
          </w:p>
        </w:tc>
        <w:tc>
          <w:tcPr>
            <w:tcW w:w="77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994"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561"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84"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753" w:type="dxa"/>
            <w:gridSpan w:val="2"/>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986"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969"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《蒸压加气混凝土性能试验方法》</w:t>
            </w:r>
          </w:p>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11969-2020</w:t>
            </w:r>
          </w:p>
        </w:tc>
        <w:tc>
          <w:tcPr>
            <w:tcW w:w="77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994"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c>
          <w:tcPr>
            <w:tcW w:w="561"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抗折</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《砌墙砖试验方法》 GB/T 2542-2012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《混凝土砌块和砖试验方法》 </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4111-2013</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《纤维水泥制品试验方法》GB/T 7019-2014</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混凝土及拌合用水</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抗压</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《混凝土物理力学性能试验方法标准》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50081-2019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抗渗</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等级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《普通混凝土长期性能和耐久性能试验标准方法》GB/T 50082-2009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5.3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坍落度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《普通混凝土拌合物性能试验方法标准》GB/T 50080-2016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5.4</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氯离子含量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《混凝土中氯离子含量检测技术规程》JGJ/T 322-2013</w:t>
            </w:r>
          </w:p>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《混凝土结构现场检测技术标准》GB/T 50784-2013</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5.5</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拌合用水（氯离子含量）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《水质氯化物的测定硝酸银滴定法》</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11896-1989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混凝土外加剂</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减水率</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《混凝土外加剂》GB 8076-2008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pH值</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《混凝土外加剂匀质性试验方法》</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8077-2012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密度（或细度）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《混凝土外加剂匀质性试验方法》</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8077-2012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6.4</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抗压强度比</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《混凝土外加剂》GB 8076-2008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969"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《混凝土物理力学性能试验方法标准》</w:t>
            </w:r>
          </w:p>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50081-2019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6.5</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凝结时间（差）</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《混凝土外加剂》GB 8076-2008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969"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《水泥标准稠度用水量、凝结时间、安定性检验方法》GB/T 1346-2011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6.6</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含气量</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《混凝土外加剂》GB 8076-2008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969"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《普通混凝土拌合物性能试验方法标准》GB/T 50080-2016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6.7</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固体含量（或含水率）</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《混凝土外加剂匀质性试验方法》</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8077-2012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6.8</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限制膨胀率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kern w:val="0"/>
                <w:sz w:val="20"/>
                <w:szCs w:val="20"/>
              </w:rPr>
            </w:pPr>
            <w:r>
              <w:rPr>
                <w:rFonts w:hint="eastAsia" w:ascii="Times New Roman" w:hAnsi="Times New Roman" w:cstheme="minorEastAsia"/>
                <w:color w:val="000000"/>
                <w:kern w:val="0"/>
                <w:sz w:val="20"/>
                <w:szCs w:val="20"/>
              </w:rPr>
              <w:t>《混凝土膨胀剂》GB/T 23439-2017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6.9</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泌水率比</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《混凝土外加剂》GB 8076-2008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 xml:space="preserve">6.10 </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氯离子含量</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《混凝土外加剂匀质性试验方法》</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GB/T 8077-2012</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969"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《水泥化学分析方法》GB/T 176-2017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混凝土掺合料</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细度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《水泥细度检验方法 筛析法》</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1345-2005</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烧失量</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《水泥化学分析方法》GB/T 176-2017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969"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 xml:space="preserve">《粒化电炉磷渣化学分析方法》 </w:t>
            </w:r>
          </w:p>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JC/T 1088-2021</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7.3</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需水</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量比</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《用于水泥和混凝土中的粉煤灰》</w:t>
            </w:r>
          </w:p>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1596-2017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753" w:type="dxa"/>
            <w:gridSpan w:val="2"/>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986"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969"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 xml:space="preserve">《高强高性能混凝土用矿物外加 剂》 </w:t>
            </w:r>
          </w:p>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18736-2017</w:t>
            </w:r>
          </w:p>
        </w:tc>
        <w:tc>
          <w:tcPr>
            <w:tcW w:w="77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《矿物掺合料应用技术规范》</w:t>
            </w:r>
          </w:p>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51003-2014</w:t>
            </w:r>
          </w:p>
        </w:tc>
        <w:tc>
          <w:tcPr>
            <w:tcW w:w="77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753" w:type="dxa"/>
            <w:gridSpan w:val="2"/>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86"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69" w:type="dxa"/>
            <w:vMerge w:val="continue"/>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《混凝土和砂浆用天然沸石粉》</w:t>
            </w:r>
          </w:p>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JG/T 566-2018</w:t>
            </w:r>
          </w:p>
        </w:tc>
        <w:tc>
          <w:tcPr>
            <w:tcW w:w="77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994"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c>
          <w:tcPr>
            <w:tcW w:w="561"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7.4</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比表</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面积</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《水泥比表面积测定方法 勃氏法》</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8074-2008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7.5</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活性</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指数</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《混凝土物理力学性能试验方法标准》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 50081-2019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7.6</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流动</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度比</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cstheme="minorEastAsia"/>
                <w:color w:val="000000"/>
                <w:sz w:val="20"/>
                <w:szCs w:val="20"/>
              </w:rPr>
              <w:t>水泥胶砂流动度测定方法</w:t>
            </w:r>
            <w:r>
              <w:rPr>
                <w:rFonts w:hint="eastAsia" w:ascii="Times New Roman" w:hAnsi="Times New Roman" w:cstheme="minorEastAsia"/>
                <w:kern w:val="0"/>
                <w:sz w:val="20"/>
                <w:szCs w:val="20"/>
              </w:rPr>
              <w:t>》</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GB/T</w:t>
            </w:r>
            <w:r>
              <w:rPr>
                <w:rFonts w:hint="eastAsia" w:ascii="Times New Roman" w:hAnsi="Times New Roman" w:cstheme="minorEastAsia"/>
                <w:color w:val="000000"/>
                <w:sz w:val="20"/>
                <w:szCs w:val="20"/>
              </w:rPr>
              <w:t xml:space="preserve"> 2419-2005</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7.7</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氯离子含量</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《水泥化学分析方法》 GB/T 176-2017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砂浆</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抗压</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《建筑砂浆基本性能试验方法标准》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JGJ/T 70-2009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稠度</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《建筑砂浆基本性能试验方法标准》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JGJ/T 70-2009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保水率</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《建筑砂浆基本性能试验方法标准》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JGJ/T 70-2009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8.4</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拉伸粘结强度（抹灰、砌筑）</w:t>
            </w:r>
          </w:p>
        </w:tc>
        <w:tc>
          <w:tcPr>
            <w:tcW w:w="4047" w:type="dxa"/>
            <w:tcBorders>
              <w:tl2br w:val="nil"/>
              <w:tr2bl w:val="nil"/>
            </w:tcBorders>
            <w:shd w:val="clear" w:color="auto" w:fill="auto"/>
            <w:vAlign w:val="center"/>
          </w:tcPr>
          <w:p>
            <w:pPr>
              <w:widowControl/>
              <w:adjustRightInd w:val="0"/>
              <w:snapToGrid w:val="0"/>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《建筑砂浆基本性能试验方法标准》</w:t>
            </w:r>
          </w:p>
          <w:p>
            <w:pPr>
              <w:widowControl/>
              <w:adjustRightInd w:val="0"/>
              <w:snapToGrid w:val="0"/>
              <w:textAlignment w:val="center"/>
              <w:rPr>
                <w:rFonts w:ascii="Times New Roman" w:hAnsi="Times New Roman" w:cstheme="minorEastAsia"/>
                <w:color w:val="000000"/>
                <w:sz w:val="20"/>
                <w:szCs w:val="20"/>
              </w:rPr>
            </w:pPr>
            <w:r>
              <w:rPr>
                <w:rFonts w:hint="eastAsia" w:ascii="Times New Roman" w:hAnsi="Times New Roman" w:cstheme="minorEastAsia"/>
                <w:kern w:val="0"/>
                <w:sz w:val="20"/>
                <w:szCs w:val="20"/>
              </w:rPr>
              <w:t>JGJ/T 70-2009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土</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最大干密度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《土工试验方法标准》GB/T 50123-2019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最优含水率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《土工试验方法标准》GB/T 50123-2019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压实</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系数</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《土工试验方法标准》GB/T 50123-2019</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w:t>
            </w:r>
          </w:p>
        </w:tc>
        <w:tc>
          <w:tcPr>
            <w:tcW w:w="38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防水</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材料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及防</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水密</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封材</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料</w:t>
            </w:r>
          </w:p>
        </w:tc>
        <w:tc>
          <w:tcPr>
            <w:tcW w:w="365"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防水卷材</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可溶物含量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《建筑防水卷材试验方法 第26部分 沥青防水卷材 可溶物含量(浸涂材料含量)》</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328.26-2007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拉力</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第8部分：沥青防水卷材 拉伸性能》GB/T 328.8-2007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延伸率（或最大力时延伸率）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第8部分：沥青防水卷材 拉伸性能》GB/T 328.8-2007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10.1.4</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低温</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柔度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第14部分：沥青防水卷材 低温柔性》GB/T 328.14-2007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第15部分：高分子防水卷材低温弯折性》GB/T 328.15-2007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10.1.5</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热老化后低温柔度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第14部分：沥青防水卷材 低温柔性》GB/T 328.14-2007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10.1.6</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不透</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《建筑防水卷材试验方法 第10部分：沥青和高分子防水卷材 不透水性》</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328.10-2007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10.1.7</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耐热度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第11部分：沥青防水卷材 耐热性》GB/T 328.11-2007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10.1.8</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断裂拉伸强度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第9部分：高分子防水卷材 拉伸性能》GB/T 328.9-2007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10.1.9</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断裂伸长率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第9部分：高分子防水卷材 拉伸性能》GB/T 328.9-2007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10.1.10</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撕裂</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《建筑防水卷材试验方法 第19部分：高分子防水卷材撕裂性能》GB/T 328.19-2007</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防水涂料</w:t>
            </w: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10.2.1</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固体</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含量</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10.2.2</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拉伸</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10.2.3</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耐热性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10.2.4</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低温</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柔性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10.2.5</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不透</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水性</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8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65"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10.2.6</w:t>
            </w:r>
          </w:p>
        </w:tc>
        <w:tc>
          <w:tcPr>
            <w:tcW w:w="96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断裂伸长率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《建筑防水涂料试验方法》GB/T 16777-2008</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8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75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瓷砖及石材</w:t>
            </w: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吸水率</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《陶瓷砖试验方法  第3部分：吸水率、显气孔率、表观相对密度和容重的测定》GB/T3810.3-2016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《天然石材试验方法 第3部分：吸水率、体积密度、真密度、真气孔率试验》</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9966.3-2020</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w:t>
            </w:r>
          </w:p>
        </w:tc>
        <w:tc>
          <w:tcPr>
            <w:tcW w:w="96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弯曲</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 xml:space="preserve">《天然石材试验方法第2部分干燥、水饱和、冻融循环后弯曲强度试验》 </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9966.2-2020</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8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5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86"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6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047"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《陶瓷砖试验方法  第4部分：断裂模数和破坏强度的测定》GB/T3810.4-2016</w:t>
            </w:r>
          </w:p>
        </w:tc>
        <w:tc>
          <w:tcPr>
            <w:tcW w:w="777"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9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61"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bl>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一、建筑材料及构配件检测项目/参数能力表（可选）</w:t>
      </w:r>
    </w:p>
    <w:tbl>
      <w:tblPr>
        <w:tblStyle w:val="7"/>
        <w:tblW w:w="1006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578"/>
        <w:gridCol w:w="790"/>
        <w:gridCol w:w="698"/>
        <w:gridCol w:w="968"/>
        <w:gridCol w:w="1159"/>
        <w:gridCol w:w="3785"/>
        <w:gridCol w:w="694"/>
        <w:gridCol w:w="883"/>
        <w:gridCol w:w="5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9" w:hRule="atLeast"/>
          <w:tblHeader/>
          <w:jc w:val="center"/>
        </w:trPr>
        <w:tc>
          <w:tcPr>
            <w:tcW w:w="10064" w:type="dxa"/>
            <w:gridSpan w:val="9"/>
            <w:tcBorders>
              <w:top w:val="nil"/>
              <w:left w:val="nil"/>
              <w:bottom w:val="single" w:color="auto" w:sz="4" w:space="0"/>
              <w:right w:val="nil"/>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5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序号</w:t>
            </w:r>
          </w:p>
        </w:tc>
        <w:tc>
          <w:tcPr>
            <w:tcW w:w="148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检测项目</w:t>
            </w:r>
          </w:p>
        </w:tc>
        <w:tc>
          <w:tcPr>
            <w:tcW w:w="212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检测参数</w:t>
            </w:r>
          </w:p>
        </w:tc>
        <w:tc>
          <w:tcPr>
            <w:tcW w:w="37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检测标准</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（方法）</w:t>
            </w:r>
          </w:p>
        </w:tc>
        <w:tc>
          <w:tcPr>
            <w:tcW w:w="15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确认结果</w:t>
            </w:r>
          </w:p>
        </w:tc>
        <w:tc>
          <w:tcPr>
            <w:tcW w:w="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2" w:hRule="atLeast"/>
          <w:tblHeader/>
          <w:jc w:val="center"/>
        </w:trPr>
        <w:tc>
          <w:tcPr>
            <w:tcW w:w="57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序号</w:t>
            </w:r>
          </w:p>
        </w:tc>
        <w:tc>
          <w:tcPr>
            <w:tcW w:w="1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名称</w:t>
            </w:r>
          </w:p>
        </w:tc>
        <w:tc>
          <w:tcPr>
            <w:tcW w:w="37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69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通过</w:t>
            </w:r>
          </w:p>
        </w:tc>
        <w:tc>
          <w:tcPr>
            <w:tcW w:w="88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不通过</w:t>
            </w:r>
          </w:p>
        </w:tc>
        <w:tc>
          <w:tcPr>
            <w:tcW w:w="5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w:t>
            </w:r>
          </w:p>
        </w:tc>
        <w:tc>
          <w:tcPr>
            <w:tcW w:w="148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w:t>
            </w:r>
          </w:p>
        </w:tc>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1.1</w:t>
            </w:r>
          </w:p>
        </w:tc>
        <w:tc>
          <w:tcPr>
            <w:tcW w:w="11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保水率*</w:t>
            </w:r>
          </w:p>
        </w:tc>
        <w:tc>
          <w:tcPr>
            <w:tcW w:w="37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《砌筑水泥》GB/T 3183-2017</w:t>
            </w:r>
          </w:p>
        </w:tc>
        <w:tc>
          <w:tcPr>
            <w:tcW w:w="694"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1159"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氧化镁含量*</w:t>
            </w:r>
          </w:p>
        </w:tc>
        <w:tc>
          <w:tcPr>
            <w:tcW w:w="3785"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《水泥化学分析方法》GB/T 176-2017</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碱含量*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《水泥化学分析方法》GB/T 176-2017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三氧化硫含量*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《水泥化学分析方法》GB/T 176-2017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w:t>
            </w:r>
          </w:p>
        </w:tc>
        <w:tc>
          <w:tcPr>
            <w:tcW w:w="148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钢筋（含焊接与机械连接）*</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弯曲性能*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弯曲试验方法》GB/T 232-2010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《钢筋混凝土用钢材试验方法》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28900-2022</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《钢筋焊接接头试验方法标准》</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JGJ/T 27-2014</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w:t>
            </w:r>
          </w:p>
        </w:tc>
        <w:tc>
          <w:tcPr>
            <w:tcW w:w="790"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骨料、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集料*</w:t>
            </w: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骨</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表观密度*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吸水率*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3.1.3</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坚固性*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碱活性*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3.1.5</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硫化物和硫酸盐含量*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3.1.6</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轻物质含量*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bottom w:val="single" w:color="auto" w:sz="4" w:space="0"/>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bottom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r>
              <w:rPr>
                <w:rFonts w:hint="eastAsia" w:ascii="Times New Roman" w:hAnsi="Times New Roman" w:eastAsia="宋体" w:cs="宋体"/>
                <w:color w:val="000000"/>
                <w:sz w:val="20"/>
                <w:szCs w:val="20"/>
              </w:rPr>
              <w:t>3</w:t>
            </w:r>
          </w:p>
        </w:tc>
        <w:tc>
          <w:tcPr>
            <w:tcW w:w="790"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骨料、</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集料*</w:t>
            </w:r>
          </w:p>
        </w:tc>
        <w:tc>
          <w:tcPr>
            <w:tcW w:w="698" w:type="dxa"/>
            <w:vMerge w:val="restart"/>
            <w:tcBorders>
              <w:top w:val="single" w:color="auto" w:sz="4" w:space="0"/>
              <w:tl2br w:val="nil"/>
              <w:tr2bl w:val="nil"/>
            </w:tcBorders>
            <w:shd w:val="clear" w:color="auto" w:fill="auto"/>
            <w:noWrap/>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骨</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3.1.7</w:t>
            </w:r>
          </w:p>
        </w:tc>
        <w:tc>
          <w:tcPr>
            <w:tcW w:w="1159"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有机物含量*</w:t>
            </w:r>
          </w:p>
        </w:tc>
        <w:tc>
          <w:tcPr>
            <w:tcW w:w="3785"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3.1.8</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贝壳含量*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《建设用砂》GB/T 14684-2022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3.1.9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粗</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骨</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坚固性*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FF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《建设用卵石、碎石》GB/T 14685-2022</w:t>
            </w:r>
          </w:p>
        </w:tc>
        <w:tc>
          <w:tcPr>
            <w:tcW w:w="694"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碱活性*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《建设用卵石、碎石》GB/T 14685-2022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3.2.3</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表观密度*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《建设用卵石、碎石》GB/T 14685-2022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堆积密度*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《建设用卵石、碎石》GB/T 14685-2022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3.2.5</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空隙率*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《建设用卵石、碎石》GB/T 14685-2022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《普通混凝土用砂、石质量及检验方法标准》JGJ 52-2006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3.2.6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集</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筒压强度*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《轻集料及其试验方法第2部分：轻集料试验方法》GB/T 17431.2-2010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堆积密度*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《轻集料及其试验方法》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17431.2-2010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吸水率*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《轻集料及其试验方法》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17431.2-2010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粒型系数*</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《轻集料及其试验方法》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17431.2-2010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筛分析*</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《轻集料及其试验方法》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17431.2-2010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1"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3.3.6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w:t>
            </w:r>
          </w:p>
        </w:tc>
        <w:tc>
          <w:tcPr>
            <w:tcW w:w="1488" w:type="dxa"/>
            <w:gridSpan w:val="2"/>
            <w:vMerge w:val="restart"/>
            <w:tcBorders>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砖、砌块、</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瓦、墙板*</w:t>
            </w:r>
          </w:p>
        </w:tc>
        <w:tc>
          <w:tcPr>
            <w:tcW w:w="968" w:type="dxa"/>
            <w:vMerge w:val="restart"/>
            <w:tcBorders>
              <w:bottom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4.1</w:t>
            </w:r>
          </w:p>
        </w:tc>
        <w:tc>
          <w:tcPr>
            <w:tcW w:w="1159" w:type="dxa"/>
            <w:vMerge w:val="restart"/>
            <w:tcBorders>
              <w:bottom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干密度*</w:t>
            </w:r>
          </w:p>
        </w:tc>
        <w:tc>
          <w:tcPr>
            <w:tcW w:w="3785" w:type="dxa"/>
            <w:tcBorders>
              <w:bottom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《砌墙砖试验方法》GB/T 2542-2012</w:t>
            </w:r>
          </w:p>
        </w:tc>
        <w:tc>
          <w:tcPr>
            <w:tcW w:w="694" w:type="dxa"/>
            <w:tcBorders>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《混凝土砌块和砖试验方法》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4111-2013</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《蒸压加气混凝土性能试验方法》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11969-2020</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吸水率*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《砌墙砖试验方法》GB/T 2542-2012</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《混凝土砌块和砖试验方法》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4111-2013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《蒸压加气混凝土性能试验方法》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11969-2020</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4.3</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抗渗性能*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《混凝土砌块和砖试验方法》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4111-2013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exac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《屋面瓦试验方法》GB/T 36584-2018</w:t>
            </w:r>
          </w:p>
        </w:tc>
        <w:tc>
          <w:tcPr>
            <w:tcW w:w="694"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抗弯曲性能（或承载力）*</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《屋面瓦试验方法》GB/T 36584-2018</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《纤维水泥制品试验方法》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7019-2014</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耐急冷急热性*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《屋面瓦试验方法》GB/T 36584-2018</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4.6</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抗冲击性能*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《玻璃纤维增强水泥性能试验方法》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15231-2008</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《人造板及饰面人造板理化性能试验方法》GB/T 17657-2013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4.7</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抗弯破坏荷载*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《玻璃纤维增强水泥性能试验方法》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GB/T 15231-2008 </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《纤维水泥制品试验方法》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7019-2014</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《无机硬质绝热制品试验方法》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5486-2008</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《建筑墙板试验方法》GB/T 30100-2013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4.8</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吊挂力*</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《建筑墙板试验方法》GB/T 30100-2013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抗冻性能*  </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《建筑墙板试验方法》GB/T 30100-2013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4.10</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w:t>
            </w:r>
          </w:p>
        </w:tc>
        <w:tc>
          <w:tcPr>
            <w:tcW w:w="148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混凝土及</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拌合用水*</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限制膨胀率*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《混凝土膨胀剂》GB/T 23439-2017</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抗冻性能*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《普通混凝土长期性能和耐久性能试验方法标准》GB/T 50082-2009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表观密度*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《普通混凝土拌合物性能试验方法标准》GB/T 50080-2016</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含气量*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《普通混凝土拌合物性能试验方法标准》GB/T 50080-2016</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凝结时间*</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《普通混凝土拌合物性能试验方法标准》GB/T 50080-2016</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抗折强度*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《混凝土物理力学性能试验方法标准》GB/T 50081-2019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5.7</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劈裂抗拉强度*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《混凝土物理力学性能试验方法标准》GB/T 50081-2019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5.8</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静力受压弹性模量*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《混凝土物理力学性能试验方法标准》GB/T 50081-2019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抑制碱-骨料反应有效性*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《普通混凝土长期性能和耐久性能试验方法标准》GB/T 50082-2009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5.10</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碱含量*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《混凝土结构现场检测技术标准》</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50784-2013</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5.11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配合比设计*</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《普通混凝土配合比设计规程》</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JGJ 55-2011</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《喷射混凝土应用技术规程》</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JGJ/T 372-2016</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《轻骨料混凝土应用技术标准》</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JGJ/T 12-2019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5.12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拌合用水（pH值、硫酸根离子含量、不溶物含量、可溶物含量）*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《水质pH值的测定玻璃电极法》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6920-1986</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《水质硫酸盐的测定重量法》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11899-1989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《水质悬浮物的测量重量法》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11901-1989</w:t>
            </w: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5.13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w:t>
            </w:r>
          </w:p>
        </w:tc>
        <w:tc>
          <w:tcPr>
            <w:tcW w:w="148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混凝土外加剂*</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相对耐久性指标*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《混凝土外加剂》GB 8076-2008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含气量1h经时变化量（坍落度、含气量）*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《混凝土外加剂》GB 8076-2008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《普通混凝土拌合物性能试验方法标准》GB/T 50080-2016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硫酸钠含量*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《混凝土外加剂匀质性试验方法》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8077-2012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收缩率比*</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《混凝土外加剂》GB 8076-2008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《普通混凝土长期性能和耐久性能试验方法标准》GB/T 50082-2009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6.5</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碱含量*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《水泥化学分析方法》GB/T 176-2017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《混凝土外加剂匀质性试验方法》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8077-2012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6.6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w:t>
            </w:r>
          </w:p>
        </w:tc>
        <w:tc>
          <w:tcPr>
            <w:tcW w:w="148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混凝土掺合料*</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含水率*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《用于水泥和混凝土中的粉煤灰》</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1596-2017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《用于水泥、砂浆和混凝土中的粒化高炉矿渣》GB/T 18046-2017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三氧化硫含量*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《水泥化学分析方法》GB/T 176-2017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《粒化电炉磷渣化学分析方法》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JC/T 1088-2021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放射性*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《建筑材料放射性核素限量》</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6566-2010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w:t>
            </w:r>
          </w:p>
        </w:tc>
        <w:tc>
          <w:tcPr>
            <w:tcW w:w="148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砂浆*</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分层度*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《建筑砂浆基本性能试验方法标准》JGJ/T 70-2009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配合比设计*</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《砌筑砂浆配合比设计规程》JGJ/T 98-2010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凝结时间*</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《建筑砂浆基本性能试验方法标准》JGJ/T 70-2009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抗渗性能*</w:t>
            </w:r>
          </w:p>
        </w:tc>
        <w:tc>
          <w:tcPr>
            <w:tcW w:w="3785"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《建筑砂浆基本性能试验方法标准》JGJ/T 70-2009</w:t>
            </w:r>
          </w:p>
        </w:tc>
        <w:tc>
          <w:tcPr>
            <w:tcW w:w="694"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8.5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9</w:t>
            </w:r>
          </w:p>
        </w:tc>
        <w:tc>
          <w:tcPr>
            <w:tcW w:w="1488" w:type="dxa"/>
            <w:gridSpan w:val="2"/>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土*</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9.1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w:t>
            </w:r>
          </w:p>
        </w:tc>
        <w:tc>
          <w:tcPr>
            <w:tcW w:w="790"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封材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卷</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10.1.1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接缝剥离强度*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《建筑防水卷材试验方法第20部分:沥青防水卷材接缝剥离性能》</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328.20-2007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《建筑防水卷材试验方法 第21部分 高分子防水卷材 接缝剥离性能》</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328.21-2007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10.1.2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搭接缝不透水性*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FF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《建筑防水卷材试验方法 第10部分：沥青和高分子防水卷材 不透水性》GB/T 328.10-2007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p>
        </w:tc>
        <w:tc>
          <w:tcPr>
            <w:tcW w:w="1159" w:type="dxa"/>
            <w:vMerge w:val="continue"/>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w:t>
            </w:r>
            <w:r>
              <w:rPr>
                <w:rFonts w:ascii="Times New Roman" w:hAnsi="Times New Roman" w:eastAsia="宋体" w:cs="宋体"/>
                <w:color w:val="000000" w:themeColor="text1"/>
                <w:kern w:val="0"/>
                <w:sz w:val="20"/>
                <w:szCs w:val="20"/>
                <w:lang w:bidi="ar"/>
                <w14:textFill>
                  <w14:solidFill>
                    <w14:schemeClr w14:val="tx1"/>
                  </w14:solidFill>
                </w14:textFill>
              </w:rPr>
              <w:t>建筑防水卷材试验方法 第27部分：沥青和高分子防水卷材 吸水性</w:t>
            </w:r>
            <w:r>
              <w:rPr>
                <w:rFonts w:hint="eastAsia" w:ascii="Times New Roman" w:hAnsi="Times New Roman" w:eastAsia="宋体" w:cs="宋体"/>
                <w:color w:val="000000" w:themeColor="text1"/>
                <w:kern w:val="0"/>
                <w:sz w:val="20"/>
                <w:szCs w:val="20"/>
                <w:lang w:bidi="ar"/>
                <w14:textFill>
                  <w14:solidFill>
                    <w14:schemeClr w14:val="tx1"/>
                  </w14:solidFill>
                </w14:textFill>
              </w:rPr>
              <w:t>》</w:t>
            </w:r>
          </w:p>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themeColor="text1"/>
                <w:kern w:val="0"/>
                <w:sz w:val="20"/>
                <w:szCs w:val="20"/>
                <w:lang w:bidi="ar"/>
                <w14:textFill>
                  <w14:solidFill>
                    <w14:schemeClr w14:val="tx1"/>
                  </w14:solidFill>
                </w14:textFill>
              </w:rPr>
              <w:t>GB/T 328.27-2007</w:t>
            </w:r>
          </w:p>
        </w:tc>
        <w:tc>
          <w:tcPr>
            <w:tcW w:w="694"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10.1.3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涂</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涂膜抗渗性*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《聚合物水泥防水涂料》GB/T 23445-2009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浸水168h后拉伸强度*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《建筑防水涂料试验方法》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16777-2008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浸水168h后断裂伸长率*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《建筑防水涂料试验方法》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16777-2008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耐水性*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《建筑防水卷材试验方法 第10部分：沥青和高分子防水卷材 不透水性》</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GB/T 328.10-2007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抗压强度*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《水泥胶砂强度检验方法（ISO法）》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17671-2021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抗折强度*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《水泥胶砂强度检验方法（ISO法）》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17671-2021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10.2.7</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粘结强度*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《建筑防水涂料试验方法》</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16777-2008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《水泥基渗透结晶型防水材料》</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18445-2012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10.2.8</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抗渗性*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《水泥基渗透结晶型防水材料》</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18445-2012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10.2.9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封材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密封</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及其</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它防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耐热性*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《无机防水堵漏材料》GB23440-2009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《膨润土橡胶遇水膨胀止水条》JG/T141-2001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《聚合物水泥防水浆料》JC/T 2090-2011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《聚合物水泥防水砂浆》JC/T 984-2011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《自粘丁基橡胶钢板止水带》</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T/CECS 10015-2019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低温柔性*</w:t>
            </w:r>
          </w:p>
        </w:tc>
        <w:tc>
          <w:tcPr>
            <w:tcW w:w="3785" w:type="dxa"/>
            <w:tcBorders>
              <w:tl2br w:val="nil"/>
              <w:tr2bl w:val="nil"/>
            </w:tcBorders>
            <w:shd w:val="clear" w:color="auto" w:fill="auto"/>
            <w:vAlign w:val="center"/>
          </w:tcPr>
          <w:p>
            <w:pPr>
              <w:widowControl/>
              <w:ind w:firstLine="200" w:firstLineChars="1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《建筑密封材料试验方法 第7部分：低温柔性的测定》 GB 13477.7-2002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拉伸粘结性*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《建筑密封材料试验方法第8部分:拉伸粘结性的测定》GB/T 13477.8-2017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《建筑密封材料试验方法第9部分:浸水后拉伸粘结性的测定》GB/T 13477.9-2017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施工度*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《建筑防水沥青嵌缝油膏》JC/T207-2011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《水泥基渗透结晶型防水涂料》GB/T18445-2012（施工性）</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表干时间*</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《建筑密封材料试验方法第5部分:表干时间的测定》GB/T 13477.5-2002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10.3.6</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挤出性*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《建筑密封材料试验方法第4部分:原包装单组分密封材料挤出性的测定》</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13477.4-2017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《建筑密封材料试验方法第3部分:使用标准器具测定密封材料挤出性的方法》GB/T 13477.3-2017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10.3.7</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弹性恢复率*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《建筑密封材料试验方法第17部分:弹性恢复率的测定》GB/T 13477.17-2017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10.3.8</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浸水后定伸粘结性*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《建筑密封材料试验方法第11部分:浸水后定伸粘结性的测定》GB/T13477.11-2017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流动性*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《建筑密封材料试验方法第6部分:流动性的测定》GB/T 13477.6-2002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10.3.10</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单位面积质量*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《钠基膨润土防水毯》JG/T 193-2006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膨润土膨胀指数*</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《钠基膨润土防水毯》JG/T 193-2006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渗透系数*</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《钠基膨润土防水毯》JG/T 193-2006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封材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密封</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及其</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它防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10.3.13</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滤失量*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《钠基膨润土防水毯》JG/T 193-2006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《膨润土》GB/T20973-2020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《硫化橡胶或热塑性橡胶 拉伸应力应变性能的测定》GB/T 528-2009</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《建筑密封材料试验方法 第9部分: 浸水后拉伸粘结性的测定》</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13477.9-2002</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 第8部分: 拉伸粘结性的测定》GB/T 13477.8-2017</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《高分子防水材料第3部分：遇水膨胀橡胶》GB/T 18173.3-2014</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《高分子防水材料第4部分：盾构法隧道管片用橡胶密封垫》GB/T 18173.4-2010</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撕裂强度*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《硫化橡胶或热塑性橡胶撕裂强度的测定（裤形、直角形和新月形试样）》</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529-2008</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10.3.16</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硬度*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《硫化橡胶或热塑性橡胶 压入硬度试验方法 第1部分：邵氏硬度计法（邵尔硬度）》GB/T 531.1-2008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《塑料和硬橡胶　使用硬度计测定压痕硬度（邵氏硬度）》GB/T 2411-2008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10.3.17</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7d膨胀率</w:t>
            </w:r>
            <w:r>
              <w:rPr>
                <w:rFonts w:hint="eastAsia" w:ascii="Times New Roman" w:hAnsi="Times New Roman" w:eastAsia="宋体" w:cs="宋体"/>
                <w:color w:val="000000" w:themeColor="text1"/>
                <w:kern w:val="0"/>
                <w:sz w:val="20"/>
                <w:szCs w:val="20"/>
                <w:lang w:bidi="ar"/>
                <w14:textFill>
                  <w14:solidFill>
                    <w14:schemeClr w14:val="tx1"/>
                  </w14:solidFill>
                </w14:textFill>
              </w:rPr>
              <w:t>(体积膨胀倍率)</w:t>
            </w:r>
            <w:r>
              <w:rPr>
                <w:rFonts w:hint="eastAsia" w:ascii="Times New Roman" w:hAnsi="Times New Roman" w:eastAsia="宋体" w:cs="宋体"/>
                <w:color w:val="000000"/>
                <w:kern w:val="0"/>
                <w:sz w:val="20"/>
                <w:szCs w:val="20"/>
                <w:lang w:bidi="ar"/>
              </w:rPr>
              <w:t>*</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《遇水膨胀止水胶》JG/T312-2011</w:t>
            </w:r>
          </w:p>
        </w:tc>
        <w:tc>
          <w:tcPr>
            <w:tcW w:w="694"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883"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c>
          <w:tcPr>
            <w:tcW w:w="509"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《膨润土橡胶遇水膨胀止水条》JG/T141-2001</w:t>
            </w:r>
          </w:p>
        </w:tc>
        <w:tc>
          <w:tcPr>
            <w:tcW w:w="694"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10.3.18</w:t>
            </w:r>
          </w:p>
        </w:tc>
        <w:tc>
          <w:tcPr>
            <w:tcW w:w="1159"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最终膨胀率</w:t>
            </w:r>
            <w:r>
              <w:rPr>
                <w:rFonts w:hint="eastAsia" w:ascii="Times New Roman" w:hAnsi="Times New Roman" w:eastAsia="宋体" w:cs="宋体"/>
                <w:color w:val="000000" w:themeColor="text1"/>
                <w:kern w:val="0"/>
                <w:sz w:val="20"/>
                <w:szCs w:val="20"/>
                <w:lang w:bidi="ar"/>
                <w14:textFill>
                  <w14:solidFill>
                    <w14:schemeClr w14:val="tx1"/>
                  </w14:solidFill>
                </w14:textFill>
              </w:rPr>
              <w:t>(长期浸水后体积膨胀倍率)</w:t>
            </w:r>
            <w:r>
              <w:rPr>
                <w:rFonts w:hint="eastAsia" w:ascii="Times New Roman" w:hAnsi="Times New Roman" w:eastAsia="宋体" w:cs="宋体"/>
                <w:color w:val="000000"/>
                <w:kern w:val="0"/>
                <w:sz w:val="20"/>
                <w:szCs w:val="20"/>
                <w:lang w:bidi="ar"/>
              </w:rPr>
              <w:t>*</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《遇水膨胀止水胶》JG/T312-2011</w:t>
            </w:r>
          </w:p>
        </w:tc>
        <w:tc>
          <w:tcPr>
            <w:tcW w:w="694"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509"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10.3.19</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耐水性*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《膨润土橡胶遇水膨胀止水条》</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JG/T 141-2001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10.3.20</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体积膨胀倍率*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 第3部分 遇水膨胀橡胶》GB/T 18173.3-2014</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10.3.21</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压缩永久变形*</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《硫化橡胶或热塑性橡胶 压缩永久变形的测定 第2部分：在低温条件下》</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7759.2-2014</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790" w:type="dxa"/>
            <w:vMerge w:val="continue"/>
            <w:tcBorders>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698" w:type="dxa"/>
            <w:vMerge w:val="continue"/>
            <w:tcBorders>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《硫化橡胶或热塑性橡胶 压缩永久变形的测定 第1部分在常温及高温条件下》GB/T 7759.1-2015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封材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防水</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密封</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及其</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它防</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水材</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10.3.22</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低温弯折*</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《高分子防水材料第3部分：遇水膨胀橡胶》GB/T 18173.3-2014</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剥离强度*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《建筑密封材料试验方法第18部分:剥离粘结性的测定》GB/T 13477.18-2002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10.3.24</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浸水168h后的剥离强度保持率*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《硫化橡胶或热塑性橡胶与织物粘合强度的测定》GB/T 532-2008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《高分子防水材料第1部分：片材》</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18173.1-2012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kern w:val="0"/>
                <w:sz w:val="20"/>
                <w:szCs w:val="20"/>
                <w:lang w:bidi="ar"/>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拉力(拉伸性能)*</w:t>
            </w:r>
          </w:p>
          <w:p>
            <w:pPr>
              <w:widowControl/>
              <w:textAlignment w:val="center"/>
              <w:rPr>
                <w:rFonts w:ascii="Times New Roman" w:hAnsi="Times New Roman" w:eastAsia="宋体" w:cs="宋体"/>
                <w:color w:val="000000" w:themeColor="text1"/>
                <w:kern w:val="0"/>
                <w:sz w:val="20"/>
                <w:szCs w:val="20"/>
                <w:lang w:bidi="ar"/>
                <w14:textFill>
                  <w14:solidFill>
                    <w14:schemeClr w14:val="tx1"/>
                  </w14:solidFill>
                </w14:textFill>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《建筑密封材料试验方法第8部分:拉伸粘结性的测定》GB/T 13477.8-2017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10.3.26</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延伸率(断裂伸长率)*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《建筑密封材料试验方法第8部分:拉伸粘结性的测定》GB/T 13477.8-2017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10.3.27</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固体含量*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 xml:space="preserve">《胶粘剂不挥发物含量的测定》 </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2793-1995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10.3.28</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7d粘结强度*</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《陶瓷砖胶粘剂 》JC/T 547-2017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《聚合物水泥防水砂浆》JC/T984-2011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《无机防水堵漏材料》GB/T23440-2009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10.3.29</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7d抗渗性</w:t>
            </w:r>
            <w:r>
              <w:rPr>
                <w:rFonts w:hint="eastAsia" w:ascii="Times New Roman" w:hAnsi="Times New Roman" w:eastAsia="宋体" w:cs="宋体"/>
                <w:color w:val="000000" w:themeColor="text1"/>
                <w:kern w:val="0"/>
                <w:sz w:val="20"/>
                <w:szCs w:val="20"/>
                <w:lang w:bidi="ar"/>
                <w14:textFill>
                  <w14:solidFill>
                    <w14:schemeClr w14:val="tx1"/>
                  </w14:solidFill>
                </w14:textFill>
              </w:rPr>
              <w:t>(抗渗压力)</w:t>
            </w:r>
            <w:r>
              <w:rPr>
                <w:rFonts w:hint="eastAsia" w:ascii="Times New Roman" w:hAnsi="Times New Roman" w:eastAsia="宋体" w:cs="宋体"/>
                <w:color w:val="000000"/>
                <w:kern w:val="0"/>
                <w:sz w:val="20"/>
                <w:szCs w:val="20"/>
                <w:lang w:bidi="ar"/>
              </w:rPr>
              <w:t>*</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《无机防水堵漏材料》GB/T23440-2009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c>
          <w:tcPr>
            <w:tcW w:w="509" w:type="dxa"/>
            <w:tcBorders>
              <w:tl2br w:val="nil"/>
              <w:tr2bl w:val="nil"/>
            </w:tcBorders>
            <w:shd w:val="clear" w:color="auto" w:fill="auto"/>
          </w:tcPr>
          <w:p>
            <w:pPr>
              <w:widowControl/>
              <w:jc w:val="left"/>
              <w:textAlignment w:val="top"/>
              <w:rPr>
                <w:rFonts w:ascii="Times New Roman" w:hAnsi="Times New Roman" w:eastAsia="宋体" w:cs="宋体"/>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《聚合物水泥防水砂浆》JC/T984-2011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FF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10.3.30</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拉伸模量*</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《建筑密封材料试验方法第8部分:拉伸粘结性能的测定》GB/T 13477.8-2017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10.3.31</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定伸粘结性*</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《建筑密封材料试验方法第10部分:定伸粘结性的测定》GB/T 13477.10-2017</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10.3.32</w:t>
            </w:r>
          </w:p>
        </w:tc>
        <w:tc>
          <w:tcPr>
            <w:tcW w:w="1159"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断裂伸长率*</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《高分子防水材料 第1部分 片材》</w:t>
            </w:r>
          </w:p>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18173.1-2012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 第2部分 止水带》GB/T 18173.2-2014</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《高分子防水材料 第3部分 遇水膨胀橡胶》GB/T 18173.3-2014</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10.3.33</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剪切性能*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《建筑门窗幕墙用中空玻璃弹性密封胶》JG/T 471-2015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10.3.34</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剥离性能*</w:t>
            </w:r>
          </w:p>
        </w:tc>
        <w:tc>
          <w:tcPr>
            <w:tcW w:w="378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《建筑密封材料试验方法第18部分:剥离粘结性的测定》GB/T 13477.18-2002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10.3.35</w:t>
            </w:r>
          </w:p>
        </w:tc>
        <w:tc>
          <w:tcPr>
            <w:tcW w:w="1159"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restart"/>
            <w:tcBorders>
              <w:bottom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11</w:t>
            </w:r>
          </w:p>
        </w:tc>
        <w:tc>
          <w:tcPr>
            <w:tcW w:w="1488" w:type="dxa"/>
            <w:gridSpan w:val="2"/>
            <w:vMerge w:val="restart"/>
            <w:tcBorders>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瓷砖及石材</w:t>
            </w:r>
          </w:p>
        </w:tc>
        <w:tc>
          <w:tcPr>
            <w:tcW w:w="968" w:type="dxa"/>
            <w:tcBorders>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11.1</w:t>
            </w:r>
          </w:p>
        </w:tc>
        <w:tc>
          <w:tcPr>
            <w:tcW w:w="1159" w:type="dxa"/>
            <w:tcBorders>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抗冻性（耐冻融性）*</w:t>
            </w:r>
          </w:p>
        </w:tc>
        <w:tc>
          <w:tcPr>
            <w:tcW w:w="3785" w:type="dxa"/>
            <w:tcBorders>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《陶瓷砖试验方法  第12部分：抗冻性的测定》GB/T3810.12-2016</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放射性*</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《建筑材料放射性核素限量》</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6566-2010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8"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790"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静液压强度*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《流体输送用热塑性塑料管道系统 耐内压性能的测定》GB/T 6111-2018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落锤冲击试验*</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《热塑性塑料管材耐外冲击性能试验方法》GB/T14152-2001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12.1.3</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外观质量*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《冷热水用氯化聚氯乙烯（PVC-C）管道系统 第2部分：管材》GB/T 18993.2-2020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《冷热水用氯化聚氯乙烯（PVC-C）管道系统 第3部分：管件》GB/T 18993.3-2020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《冷热水用交联聚乙烯（PE-X）管道系统第2部分：管材》GB/T18992.2-2003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《冷热水用聚丙烯管道系统第2部分：管材》GB/T18742.2-2017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《冷热水用聚丙烯管道系统 第3部分：管件》GB/T18742.3-2017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《冷热水用聚丁烯（PB）管道系统 第2部分：管材》GB/T19473.2-2020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《冷热水用聚丁烯（PB）管道系统 第3部分：管件》GB/T19473.3-2020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《给水用聚乙烯（PE）管道系统 第2部分：管材》GB/T 13663.2-2018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《给水用聚乙烯（PE）管道系统 第3部分：管件》GB/T13663.3-2018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《建筑排水用硬聚氯乙烯PVC-U管材》GB/T 5836.1-2018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《建筑排水用硬聚氯乙烯PVC-U管件》GB/T 5836.2-2018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《给水用硬聚氯乙烯（PVC-U）管材》GB/T10002.1-2006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《地下通信管道用塑料管第1部分：总则》YD/T 841.1-2016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《埋地双平壁钢塑复合缠绕排水管》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CJ/T 329-2010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《埋地通信用多孔一体塑料管材第1部分：硬聚氯乙烯(PVC-U)多孔一体管材》QB/T 2667.1-2004</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12.1.3</w:t>
            </w:r>
          </w:p>
        </w:tc>
        <w:tc>
          <w:tcPr>
            <w:tcW w:w="115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外观质量*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《埋地式高压电力电缆氯化聚氯乙烯（PVC-C）》QB/T2479-2005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《埋地用聚乙烯（PE）结构壁管道系统第1部分：聚乙烯双壁波纹管材》GB/T19472.1-2019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《埋地用聚乙烯（PE）结构壁管道系统第2部分：聚乙烯缠绕结构壁管材》GB/T19472.2-2017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《埋地排水用硬聚氯乙烯（PVC-U）结构壁管道系统第1部分：双壁波纹管材》GB/T18477.1-2007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《无压埋地排污、排水用硬聚氯乙烯（PVC-U）管材》GB/T20221-2006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《给水用丙烯酸共聚聚氯乙烯管材及管件》CJ/T218-2010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《无规共聚聚丙烯（PP-R）塑铝稳态复合管》CJ/T210-2005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《铝塑复合压力管 第1部分：铝管搭接焊式铝塑管》GB/T18997.1-2020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《铝塑复合压力管 第2部分：铝管对焊接式铝塑管》GB/T18997.2-2020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12.1.4</w:t>
            </w:r>
          </w:p>
        </w:tc>
        <w:tc>
          <w:tcPr>
            <w:tcW w:w="1159"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截面尺寸*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《铝塑复合压力管 第1部分：铝管搭接焊式铝塑管》GB/T18997.1-2020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《铝塑复合压力管 第2部分：铝管对焊接式铝塑管》GB/T18997.2-2020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《塑料管材尺寸测量方法》GB/T8806-2008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《给水用聚乙烯（PE）管道系统第1部分：总则》GB/T 13663.1-2017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《给水用聚乙烯（PE）管道系统 第2部分：管材》GB/T 13663.2-2018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《给水用聚乙烯（PE）管道系统 第3部分：管件》GB/T13663.3-2018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《给水用硬聚氯乙烯（PVC-U）管材》GB/T10002.1-2006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《建筑排水用硬聚氯乙烯(PVC-U)管材》GB/T5836.1-2018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《建筑排水用硬聚氯乙烯(PVC-U)管件》GB/T 5836.2-2018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12.1.4</w:t>
            </w:r>
          </w:p>
        </w:tc>
        <w:tc>
          <w:tcPr>
            <w:tcW w:w="115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截面尺寸*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《埋地用聚乙烯（PE）结构壁管道系统第1部分：聚乙烯双壁波纹管材》GB/T19472.1-2019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《埋地用聚乙烯（PE）结构壁管道系统第2部分：聚乙烯缠绕结构壁管材》GB/T19472.2-2017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《冷热水用聚丁烯（PB）管道系统 第2部分：管材》GB/T19473.2-2020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《冷热水用聚丁烯（PB）管道系统 第3部分：管件》GB/T19473.3-2020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《冷热水用聚丙烯管道系统第1部分：总则》GB/T18742.1-2017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《冷热水用聚丙烯管道系统第2部分：管材》GB/T18742.2-2017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《冷热水用聚丙烯管道系统 第3部分：管件》GB/T18742.3-2017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《埋地排水用硬聚氯乙烯（PVC-U）结构壁管道系统第1部分：双壁波纹管材》GB/T18477.1-2007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《无压埋地排污、排水用硬聚氯乙烯（PVC-U）管材》GB/T20221-2006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《冷热水用交联聚乙烯(PE-X)管道系统 第2部分:管材》GB/T18992.2-2003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《冷热水用氯化聚氯乙烯（PVC-C）管道系统 第2部分：管材》GB/T18993.2-2020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《冷热水用耐热聚乙烯（PE-RT）管道系统》CJ/T175-2002</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《给水用丙烯酸共聚聚氯乙烯管材及管件》CJ/T218-2010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《埋地双平壁钢塑复合缠绕排水管》CJ/T 329-2010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《玻璃纤维增强塑料夹砂管》GB/T 21238-2016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《给水用硬聚氯乙烯（PVC-U）管件》GB/T10002.2-2003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《冷热水用氯化聚氯乙烯（PVC-C）管道系统 第3部分：管件》GB/T 18993.3-2020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13"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《无规共聚聚丙烯（PP-R）塑铝稳态复合管》CJ/T210-2005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12.1.4</w:t>
            </w:r>
          </w:p>
        </w:tc>
        <w:tc>
          <w:tcPr>
            <w:tcW w:w="115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截面尺寸*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《埋地排水用硬聚氯乙烯(PVC-U)结构壁管道系统 第2部分：加筋管材》GB/T 18477.2-2011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《埋地排水用硬聚氯乙烯（PVC-U）结构壁管道系统 第3部分：轴向中空壁管材》GB/T 18477.3-2019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《聚乙烯塑钢缠绕排水管及连接件》CJ/T 270-2017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《埋地排水用钢带增强聚乙烯（PE）螺旋波纹管》CJ/T 225-2011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《聚丙烯静音排水管材及管件》</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CJ/T 273-2012</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《建筑排水用高密度聚乙烯（HDPE）管材及管件》CJ/T 250-2018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《建筑排水用硬聚氯乙烯（PVC-U）结构壁管材》GB/T 33608-2017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《燃气用埋地聚乙烯（PE）管道系统 第1部分：管材》GB 15558.1-2015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《给水用钢丝网增强聚乙烯复合管道》GB/T 32439-2015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《冷热水用耐热聚乙烯（PE-RT）管道系统 第2部分：管材》</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28799.2-2020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12.1.5</w:t>
            </w:r>
          </w:p>
        </w:tc>
        <w:tc>
          <w:tcPr>
            <w:tcW w:w="1159"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纵向回缩率*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《热塑性塑料管材纵向回缩率的测定》GB/T6671-2001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交联度*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《交联聚乙烯（PE-X）管材与管件交联度的试验方法》GB/T18474-2001</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熔融温度*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差示扫描量热法（DSC）第3部分：熔融和结晶温度及热焓的测定》GB/T19466.3-2004</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简支梁冲击*</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简支梁冲击强度的测定 第1部分：通用试验方法》GB/T18743.1-2022</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12.1.9</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炭黑分散度*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《聚烯烃管材、管件和混配料中颜料或炭黑分散度的测定》GB/T18251-2019</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12.1.10</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炭黑含量*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《聚乙烯管材和管件炭黑含量的测定(热失重法)》GB/T13021-1991</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12.1.11</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拉伸屈服应力*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拉伸性能测定  第2部分：硬聚氯乙烯(PVC-U)、氯化聚氯乙烯(PVC-C)和高抗冲聚氯乙烯(PVC-HI)管材》GB/T8804.2-2003</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《热塑性塑料管材拉伸性能测定第3部分：聚烯烃管材GB/T8804.3-2003</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12.1.12</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密度*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非泡沫塑料密度的测定 第1部分：浸渍法、液体比重瓶法和滴定法》GB/T1033.1-2018</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非泡沫塑料密度的测定 第2部分：密度梯度柱法》GB/T1033.2-2010</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爆破压力*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《流体输送用塑料管材液压瞬时爆破和耐压试验方法》GB/T15560-1995</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12.1.14</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管环剥离力（管环最小平均剥离力）*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《铝塑复合压力管 第1部分：铝管搭接焊式铝塑管》GB/T18997.1-2020</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themeColor="text1"/>
                <w:sz w:val="20"/>
                <w:szCs w:val="20"/>
                <w14:textFill>
                  <w14:solidFill>
                    <w14:schemeClr w14:val="tx1"/>
                  </w14:solidFill>
                </w14:textFill>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《铝塑复合压力管（搭接焊）》CJ/T108-2015</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熔体质量流动速率*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热塑性塑料熔体质量流动速率(MFR)和熔体体积流动速率(MVR)的测定 第1部分：标准方法》GB/T3682.1-2018</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氧化诱导时间*</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差示扫描量热法（DSC）第6部分：氧化诱导时间(等温OIT)和氧化诱导温度（动态OIT）的测定》GB/T19466.6-2009</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12.1.17</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维卡软化温度*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《热塑性塑料管材、管件维卡软化温度的测定》GB/T8802-2001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《热塑性塑料维卡软化温度（VST)的测定》GB/T 1633-2000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热变形温度(负荷变形温度)*</w:t>
            </w:r>
          </w:p>
          <w:p>
            <w:pPr>
              <w:widowControl/>
              <w:jc w:val="left"/>
              <w:textAlignment w:val="center"/>
              <w:rPr>
                <w:rFonts w:ascii="Times New Roman" w:hAnsi="Times New Roman" w:eastAsia="宋体" w:cs="宋体"/>
                <w:color w:val="000000"/>
                <w:kern w:val="0"/>
                <w:sz w:val="20"/>
                <w:szCs w:val="20"/>
                <w:lang w:bidi="ar"/>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负荷变形温度的测定 第1部分:通用试验方法》GB/T1634.1-2019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widowControl/>
              <w:jc w:val="left"/>
              <w:textAlignment w:val="top"/>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12.1.19</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拉伸断裂伸长率*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拉伸性能测定  第2部分：硬聚氯乙烯(PVC-U)、氯化聚氯乙烯(PVC-C)和高抗冲聚氯乙烯(PVC-HI)管材》GB/T8804.2-2003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《热塑性塑料管材拉伸性能测定第3部分：聚烯烃管材GB/T8804.3-2003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12.1.20</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拉伸弹性模量*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拉伸性能的测定 第2部分：模塑和挤塑塑料的试验条件》GB/T1040.2-2022</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restart"/>
            <w:tcBorders>
              <w:top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sz w:val="20"/>
                <w:szCs w:val="20"/>
              </w:rPr>
              <w:t>12</w:t>
            </w:r>
          </w:p>
        </w:tc>
        <w:tc>
          <w:tcPr>
            <w:tcW w:w="7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12.1.21</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拉伸性能测定  第2部分：硬聚氯乙烯(PVC-U)、氯化聚氯乙烯(PVC-C)和高抗冲聚氯乙烯(PVC-HI)管材》GB/T8804.2-2003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《热塑性塑料管材拉伸性能测定第3部分：聚烯烃管材GB/T8804.3-2003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灰分*</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《塑料 灰分的测定 第1部分：通用方法》GB/T9345.1-2008</w:t>
            </w:r>
          </w:p>
        </w:tc>
        <w:tc>
          <w:tcPr>
            <w:tcW w:w="694"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烘箱试验*</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《注射成型硬质聚氯乙烯(PVC-U)、氯化聚氯乙烯(PVC-C)、丙烯腈-丁二烯-苯乙烯三元共聚物(ABS)和丙烯腈-苯乙烯-丙烯酸盐三元共聚物(ASA)管件热烘箱试验方法</w:t>
            </w:r>
            <w:r>
              <w:rPr>
                <w:rFonts w:hint="eastAsia" w:ascii="Times New Roman" w:hAnsi="Times New Roman" w:eastAsia="宋体" w:cs="宋体"/>
                <w:color w:val="000000" w:themeColor="text1"/>
                <w:kern w:val="0"/>
                <w:sz w:val="20"/>
                <w:szCs w:val="20"/>
                <w:lang w:bidi="ar"/>
                <w14:textFill>
                  <w14:solidFill>
                    <w14:schemeClr w14:val="tx1"/>
                  </w14:solidFill>
                </w14:textFill>
              </w:rPr>
              <w:t>》GB/T8803-2001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坠落试验*</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《硬聚氯乙烯(PVC-U)管件坠落试验方法》GB/T8801-2007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12.1.25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98"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屈服强度*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拉伸试验 第1部分：室温试验方法》GB/T 228.1-2021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抗拉强度*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拉伸试验 第1部分：室温试验方法》GB/T 228.1-2021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伸长率*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拉伸试验 第1部分：室温试验方法》GB/T 228.1-2021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12.2.4</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厚度偏差*</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《流体输送用不锈钢焊接钢管》GB/T12771-2019《排水用柔性接口铸铁管、管件及附件》GB/T12772-2016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《建筑排水柔性接口承插式铸铁管及管件》CJ/T178-2013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《低压流体输送用焊接钢管》GB/T3091-2015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《输送流体用无缝钢管》GB/T8163-2018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《电缆管理用导管系统 第1部分：通用要求》GB/T 20041.1-2015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《电缆管理用导管系统 第21部分：刚性导管系统的特殊要求》GB/T 20041.21-2017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restart"/>
            <w:tcBorders>
              <w:top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sz w:val="20"/>
                <w:szCs w:val="20"/>
              </w:rPr>
              <w:t>12</w:t>
            </w:r>
          </w:p>
        </w:tc>
        <w:tc>
          <w:tcPr>
            <w:tcW w:w="790"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及</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698" w:type="dxa"/>
            <w:vMerge w:val="restart"/>
            <w:tcBorders>
              <w:top w:val="single" w:color="auto" w:sz="4" w:space="0"/>
              <w:tl2br w:val="nil"/>
              <w:tr2bl w:val="nil"/>
            </w:tcBorders>
            <w:shd w:val="clear" w:color="auto" w:fill="auto"/>
            <w:vAlign w:val="center"/>
          </w:tcPr>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jc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w:t>
            </w:r>
          </w:p>
          <w:p>
            <w:pPr>
              <w:jc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12.2.5</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截面尺寸*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《流体输送用不锈钢焊接钢管》GB/T12771-2019《排水用柔性接口铸铁管、管件及附件》GB/T12772-2016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《建筑排水柔性接口承插式铸铁管及管件》CJ/T178-2013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《低压流体输送用焊接钢管》GB/T3091-2015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《输送流体用无缝钢管》GB/T8163-2018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《电缆管理用导管系统 第1部分：通用要求》GB/T 20041.1-2015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《电缆管理用导管系统 第21部分：刚性导管系统的特殊要求》</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20041.21-2017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《电气导管 电气安装用导管的外径和导管与配件的螺纹》GB/T17194-1997</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12.2.6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w:t>
            </w:r>
          </w:p>
        </w:tc>
        <w:tc>
          <w:tcPr>
            <w:tcW w:w="1488" w:type="dxa"/>
            <w:gridSpan w:val="2"/>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预制混凝土*</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承载力*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挠度*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裂缝宽度*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抗裂检验*</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外观质量*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构件尺寸*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13.7</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保护层厚度*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《混凝土结构工程施工质量验收规范》</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50204-2015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《混凝土中钢筋检测技术标准》</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JGJ/T 152-2019  </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0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13.8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w:t>
            </w:r>
          </w:p>
        </w:tc>
        <w:tc>
          <w:tcPr>
            <w:tcW w:w="1488" w:type="dxa"/>
            <w:gridSpan w:val="2"/>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预应力钢绞线*</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整根钢绞线最大力*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最大力总伸长率*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抗拉强度*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0.2%屈服力*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弹性模量*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松弛率*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《预应力混凝土用钢材试验方法》</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21839-2019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14.7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w:t>
            </w:r>
          </w:p>
        </w:tc>
        <w:tc>
          <w:tcPr>
            <w:tcW w:w="1488" w:type="dxa"/>
            <w:gridSpan w:val="2"/>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土用锚具夹</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具及连接器*</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15.1</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外观质量*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《预应力筋用锚具、夹具和连接器》GB/T14370-2015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《无损检测 磁粉检测 第1部分：总则》GB/T15822.1-2005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《预应力筋用锚具、夹具和连接器》GB/T14370-2015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15.3</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静载锚固性能*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《预应力筋用锚具、夹具和连接器》GB/T14370-2015 </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《预应力筋用锚具、夹具和连接器应用技术规程》JGJ85-2010</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疲劳荷载性能*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《预应力筋用锚具、夹具和连接器》GB/T14370-2015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15.5</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硬度 *</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《金属材料洛氏硬度试验 第1部分：试验方法A、B、C、D、E、F、G、H、K、N、T标尺》GB/T 230.1-2018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布氏硬度试验 第1部分: 试验方法》GB/T 231.1-2018</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15.6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w:t>
            </w:r>
          </w:p>
        </w:tc>
        <w:tc>
          <w:tcPr>
            <w:tcW w:w="790" w:type="dxa"/>
            <w:vMerge w:val="restart"/>
            <w:tcBorders>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力混</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凝用</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波纹</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管*</w:t>
            </w:r>
          </w:p>
        </w:tc>
        <w:tc>
          <w:tcPr>
            <w:tcW w:w="698" w:type="dxa"/>
            <w:vMerge w:val="restart"/>
            <w:tcBorders>
              <w:lef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属</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波</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纹</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16.1.1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外观质量*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《预应力混凝土用金属波纹管》JG/T225-2020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尺寸*</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《预应力混凝土用金属波纹管》JG/T225-2020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局部横向荷载*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《预应力混凝土用金属波纹管》JG/T225-2020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16.1.4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弯曲后抗渗漏性能*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《预应力混凝土用金属波纹管》JG/T225-2020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16.1.5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w:t>
            </w:r>
          </w:p>
        </w:tc>
        <w:tc>
          <w:tcPr>
            <w:tcW w:w="790" w:type="dxa"/>
            <w:vMerge w:val="restart"/>
            <w:tcBorders>
              <w:top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力混</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凝用</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波纹</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管*</w:t>
            </w:r>
          </w:p>
        </w:tc>
        <w:tc>
          <w:tcPr>
            <w:tcW w:w="69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塑</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料</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波</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纹</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管</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16.2.1</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环刚度*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环刚度的测定》GB/T9647-2015</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局部横向载荷*</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纵向载荷*</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柔韧性*</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16.2.5</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抗冲击性能*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《热塑性塑料管材耐外冲击性能试验方法 时针旋转法》GB/T14152-2001</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16.2.6</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拉伸性能*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《热塑性塑料管材 拉伸性能测定 第3部分：聚烯烃管材》GB/T8804.3-2003</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拉拔力*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《聚乙烯压力管材与管件连接的耐拉拔试验》GB/T15820-1995</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密封性*</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《预应力混凝土桥梁用塑料波纹管》</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JT/T 529-2016</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16.2.9</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w:t>
            </w:r>
          </w:p>
        </w:tc>
        <w:tc>
          <w:tcPr>
            <w:tcW w:w="1488" w:type="dxa"/>
            <w:gridSpan w:val="2"/>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材料中有害</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物质*</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放射性*</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《建筑材料放射性核素限量》</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 6566-2010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游离甲醛*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《公共场所卫生检验方法第2部分：化学污染物》GB/T 18204.2-2014</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17.3</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VOC*</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《涂料中苯、甲苯、乙苯和二甲苯含量的测定 气相色谱法》GB/T23990-2009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46"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《色漆和清漆 挥发性有机化合物（VOC）含量的测定 气相色谱法》GB/T23986-2009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9"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《色漆和清漆 挥发性有机化合物（VOC）含量的测定差值法》GB/T23985-2009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苯*</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《涂料中苯、甲苯、乙苯和二甲苯含量的测定 气相色谱法》GB/T23990-2009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4"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甲苯*</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《涂料中苯、甲苯、乙苯和二甲苯含量的测定 气相色谱法》GB/T23990-2009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w:t>
            </w:r>
          </w:p>
        </w:tc>
        <w:tc>
          <w:tcPr>
            <w:tcW w:w="1488" w:type="dxa"/>
            <w:gridSpan w:val="2"/>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材料中有害</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物质*</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二甲苯*</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《涂料中苯、甲苯、乙苯和二甲苯含量的测定 气相色谱法》GB/T23990-2009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乙苯*</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《涂料中苯、甲苯、乙苯和二甲苯含量的测定 气相色谱法》GB/T23990-2009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游离甲苯二异氰酸酯（TDI）*</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《色漆和清漆用漆基 异氰酸酯树脂中二异氰酸酯单体的测定》</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GB/T 18446-2009</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17.9</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氨*</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《公共场所卫生检验方法第2部分：化学污染物》GB/T 18204.2-2014</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 xml:space="preserve">17.10 </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w:t>
            </w:r>
          </w:p>
        </w:tc>
        <w:tc>
          <w:tcPr>
            <w:tcW w:w="790" w:type="dxa"/>
            <w:vMerge w:val="restart"/>
            <w:tcBorders>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消能</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减震</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装置*</w:t>
            </w:r>
          </w:p>
        </w:tc>
        <w:tc>
          <w:tcPr>
            <w:tcW w:w="698" w:type="dxa"/>
            <w:vMerge w:val="restart"/>
            <w:tcBorders>
              <w:lef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位移</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相关</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型阻</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尼器</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18.1.1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屈服承载力*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弹性刚度*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设计承载力*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延性系数*</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滞回曲线面积*</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极限位移*</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极限承载力*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18.1.8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速度</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相关</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型阻</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尼器</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18.2.1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最大阻尼力*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18.2.2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阻尼力与速度相关规律*</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18.2.3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滞回曲线*</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18.2.4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极限位移*</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《建筑消能阻尼器》JG/T209-2012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18.2.5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w:t>
            </w:r>
          </w:p>
        </w:tc>
        <w:tc>
          <w:tcPr>
            <w:tcW w:w="790" w:type="dxa"/>
            <w:vMerge w:val="restart"/>
            <w:tcBorders>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隔震</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装置*</w:t>
            </w:r>
          </w:p>
        </w:tc>
        <w:tc>
          <w:tcPr>
            <w:tcW w:w="69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叠层</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橡胶</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隔震</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支座</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19.1.1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竖向压缩刚度*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竖向变形性能*</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竖向极限压应力*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w:t>
            </w:r>
          </w:p>
        </w:tc>
        <w:tc>
          <w:tcPr>
            <w:tcW w:w="790" w:type="dxa"/>
            <w:vMerge w:val="restart"/>
            <w:tcBorders>
              <w:top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隔震</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装置*</w:t>
            </w:r>
          </w:p>
        </w:tc>
        <w:tc>
          <w:tcPr>
            <w:tcW w:w="69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叠层</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橡胶</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隔震</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支座</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当水平位移为支座内部橡胶直径0.55倍状态时的极限压应力*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竖向极限拉应力*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竖向拉伸刚度*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侧向不均匀变形*</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19.1.8</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水平等效刚度*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19.1.9</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屈服后水平刚度*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19.1.10</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等效阻尼比*</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屈服力*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水平极限变形能力*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《建筑隔震橡胶支座》JG/T118-2018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19.1.13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建筑</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摩擦</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摆隔</w:t>
            </w:r>
          </w:p>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震支</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座*</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竖向压缩变形*</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竖向承载力*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静摩擦系数*</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动摩擦系数*</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屈服后刚度*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19.2.6</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极限剪切变形*</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《建筑摩擦摆隔震支座》GB/T37358-2019</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790" w:type="dxa"/>
            <w:vMerge w:val="continue"/>
            <w:tcBorders>
              <w:top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19.2.7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20</w:t>
            </w:r>
          </w:p>
        </w:tc>
        <w:tc>
          <w:tcPr>
            <w:tcW w:w="1488" w:type="dxa"/>
            <w:gridSpan w:val="2"/>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铝塑复合板*</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20.1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剥离强度*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《胶粘剂180°剥离强度试验方法 挠性材料对刚性材料》GB/T 2790-1995</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sz w:val="20"/>
                <w:szCs w:val="20"/>
              </w:rPr>
              <w:t>20.2</w:t>
            </w:r>
          </w:p>
        </w:tc>
        <w:tc>
          <w:tcPr>
            <w:tcW w:w="1159"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w:t>
            </w:r>
          </w:p>
        </w:tc>
        <w:tc>
          <w:tcPr>
            <w:tcW w:w="1488" w:type="dxa"/>
            <w:gridSpan w:val="2"/>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木材料及构</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配件*</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21.1</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含水率*</w:t>
            </w:r>
          </w:p>
        </w:tc>
        <w:tc>
          <w:tcPr>
            <w:tcW w:w="3785"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《人造板及饰面人造板理化性能试验方法》GB/T17657-2022</w:t>
            </w:r>
          </w:p>
        </w:tc>
        <w:tc>
          <w:tcPr>
            <w:tcW w:w="694"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弹性模量*</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《人造板及饰面人造板理化性能试验方法》GB/T17657-2022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静曲强度*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《人造板及饰面人造板理化性能试验方法》GB/T17657-2022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钉抗弯强度（握螺钉力）*</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《人造板及饰面人造板理化性能试验方法》GB/T17657-2022</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widowControl/>
              <w:jc w:val="left"/>
              <w:textAlignment w:val="top"/>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21.5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w:t>
            </w:r>
          </w:p>
        </w:tc>
        <w:tc>
          <w:tcPr>
            <w:tcW w:w="1488" w:type="dxa"/>
            <w:gridSpan w:val="2"/>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加固材料*</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抗拉强度*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 拉伸试验 第1部分：室温试验方法》GB/T228.1-2021</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22.2</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抗剪强度*</w:t>
            </w:r>
          </w:p>
        </w:tc>
        <w:tc>
          <w:tcPr>
            <w:tcW w:w="3785"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22.3</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正拉粘结强度*</w:t>
            </w:r>
          </w:p>
        </w:tc>
        <w:tc>
          <w:tcPr>
            <w:tcW w:w="3785"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restart"/>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22.4</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抗拉强度标准值（纤维复合材）*</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《定向纤维增强聚合物基复合材料拉伸性能试验方法》GB/T3354-2014</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22.5</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弹性模量（纤维复合材）*</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《定向纤维增强聚合物基复合材料拉伸性能试验方法》GB/T3354-2014</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22.6</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极限伸长率（纤维复合材）*</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《定向纤维增强聚合物基复合材料拉伸性能试验方法》GB/T3354-2014</w:t>
            </w:r>
          </w:p>
        </w:tc>
        <w:tc>
          <w:tcPr>
            <w:tcW w:w="694"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22.7</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不挥发物含量(结构胶粘剂)*</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w:t>
            </w:r>
          </w:p>
        </w:tc>
        <w:tc>
          <w:tcPr>
            <w:tcW w:w="1488" w:type="dxa"/>
            <w:gridSpan w:val="2"/>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themeColor="text1"/>
                <w:kern w:val="0"/>
                <w:sz w:val="20"/>
                <w:szCs w:val="20"/>
                <w:lang w:bidi="ar"/>
                <w14:textFill>
                  <w14:solidFill>
                    <w14:schemeClr w14:val="tx1"/>
                  </w14:solidFill>
                </w14:textFill>
              </w:rPr>
              <w:t>加固材料*</w:t>
            </w:r>
          </w:p>
        </w:tc>
        <w:tc>
          <w:tcPr>
            <w:tcW w:w="968"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22.8</w:t>
            </w:r>
          </w:p>
        </w:tc>
        <w:tc>
          <w:tcPr>
            <w:tcW w:w="1159"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耐湿热老化性能(结构胶粘剂)*</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159"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《混凝土结构加固设计规范》GB50367-2013</w:t>
            </w:r>
          </w:p>
        </w:tc>
        <w:tc>
          <w:tcPr>
            <w:tcW w:w="694"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bottom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22.9</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单位面积质量（纤维织物）*</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《增强制品试验方法 第3部分：单位面积质量的测定》GB/T9914.3-2013</w:t>
            </w:r>
          </w:p>
        </w:tc>
        <w:tc>
          <w:tcPr>
            <w:tcW w:w="694"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22.10</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纤维体积含量（预成型板）*</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《碳纤维塑料孔隙含量和纤维体积含量试验方法》GB/T3365-2008</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22.11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K数（碳纤维织物）*</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《建筑结构加固工程施工质量验收规范》GB50550-2010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22.12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23</w:t>
            </w:r>
          </w:p>
        </w:tc>
        <w:tc>
          <w:tcPr>
            <w:tcW w:w="1488" w:type="dxa"/>
            <w:gridSpan w:val="2"/>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焊接材料*</w:t>
            </w: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23.1</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抗拉强度*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《金属材料焊缝破坏性试验 熔化焊接头焊缝金属纵向拉伸试验》GB/T2652-2022</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23.2</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屈服强度*</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《金属材料焊缝破坏性试验 熔化焊接头焊缝金属纵向拉伸试验》GB/T2652-2022</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23.3</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断后伸长率*</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《金属材料焊缝破坏性试验 熔化焊接头焊缝金属纵向拉伸试验》GB/T2652-2022</w:t>
            </w:r>
          </w:p>
        </w:tc>
        <w:tc>
          <w:tcPr>
            <w:tcW w:w="694" w:type="dxa"/>
            <w:tcBorders>
              <w:tl2br w:val="nil"/>
              <w:tr2bl w:val="nil"/>
            </w:tcBorders>
            <w:shd w:val="clear" w:color="auto" w:fill="auto"/>
          </w:tcPr>
          <w:p>
            <w:pPr>
              <w:rPr>
                <w:rFonts w:ascii="Times New Roman" w:hAnsi="Times New Roman" w:eastAsia="宋体" w:cs="宋体"/>
                <w:color w:val="000000"/>
                <w:sz w:val="20"/>
                <w:szCs w:val="20"/>
              </w:rPr>
            </w:pPr>
          </w:p>
        </w:tc>
        <w:tc>
          <w:tcPr>
            <w:tcW w:w="883" w:type="dxa"/>
            <w:tcBorders>
              <w:tl2br w:val="nil"/>
              <w:tr2bl w:val="nil"/>
            </w:tcBorders>
            <w:shd w:val="clear" w:color="auto" w:fill="auto"/>
          </w:tcPr>
          <w:p>
            <w:pPr>
              <w:rPr>
                <w:rFonts w:ascii="Times New Roman" w:hAnsi="Times New Roman" w:eastAsia="宋体" w:cs="宋体"/>
                <w:color w:val="000000"/>
                <w:sz w:val="20"/>
                <w:szCs w:val="20"/>
              </w:rPr>
            </w:pPr>
          </w:p>
        </w:tc>
        <w:tc>
          <w:tcPr>
            <w:tcW w:w="509" w:type="dxa"/>
            <w:tcBorders>
              <w:tl2br w:val="nil"/>
              <w:tr2bl w:val="nil"/>
            </w:tcBorders>
            <w:shd w:val="clear" w:color="auto" w:fill="auto"/>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23.4</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化学成分*</w:t>
            </w:r>
          </w:p>
        </w:tc>
        <w:tc>
          <w:tcPr>
            <w:tcW w:w="3785"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lang w:bidi="ar"/>
              </w:rPr>
              <w:t>《焊接材料熔敷金属化学分析试样制备方法》GB/T25777-2010</w:t>
            </w:r>
          </w:p>
        </w:tc>
        <w:tc>
          <w:tcPr>
            <w:tcW w:w="694"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578"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488"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968"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23.5</w:t>
            </w:r>
          </w:p>
        </w:tc>
        <w:tc>
          <w:tcPr>
            <w:tcW w:w="1159"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lang w:bidi="ar"/>
                <w14:textFill>
                  <w14:solidFill>
                    <w14:schemeClr w14:val="tx1"/>
                  </w14:solidFill>
                </w14:textFill>
              </w:rPr>
              <w:t>其它*</w:t>
            </w:r>
          </w:p>
        </w:tc>
        <w:tc>
          <w:tcPr>
            <w:tcW w:w="3785" w:type="dxa"/>
            <w:tcBorders>
              <w:tl2br w:val="nil"/>
              <w:tr2bl w:val="nil"/>
            </w:tcBorders>
            <w:shd w:val="clear" w:color="auto" w:fill="auto"/>
            <w:vAlign w:val="center"/>
          </w:tcPr>
          <w:p>
            <w:pPr>
              <w:jc w:val="left"/>
              <w:rPr>
                <w:rFonts w:ascii="Times New Roman" w:hAnsi="Times New Roman" w:eastAsia="宋体" w:cs="宋体"/>
                <w:color w:val="FF0000"/>
                <w:sz w:val="20"/>
                <w:szCs w:val="20"/>
              </w:rPr>
            </w:pPr>
          </w:p>
        </w:tc>
        <w:tc>
          <w:tcPr>
            <w:tcW w:w="694"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883" w:type="dxa"/>
            <w:tcBorders>
              <w:tl2br w:val="nil"/>
              <w:tr2bl w:val="nil"/>
            </w:tcBorders>
            <w:shd w:val="clear" w:color="auto" w:fill="auto"/>
          </w:tcPr>
          <w:p>
            <w:pPr>
              <w:jc w:val="left"/>
              <w:rPr>
                <w:rFonts w:ascii="Times New Roman" w:hAnsi="Times New Roman" w:eastAsia="宋体" w:cs="宋体"/>
                <w:color w:val="FF0000"/>
                <w:sz w:val="20"/>
                <w:szCs w:val="20"/>
              </w:rPr>
            </w:pPr>
          </w:p>
        </w:tc>
        <w:tc>
          <w:tcPr>
            <w:tcW w:w="509" w:type="dxa"/>
            <w:tcBorders>
              <w:tl2br w:val="nil"/>
              <w:tr2bl w:val="nil"/>
            </w:tcBorders>
            <w:shd w:val="clear" w:color="auto" w:fill="auto"/>
          </w:tcPr>
          <w:p>
            <w:pPr>
              <w:jc w:val="left"/>
              <w:rPr>
                <w:rFonts w:ascii="Times New Roman" w:hAnsi="Times New Roman" w:eastAsia="宋体" w:cs="宋体"/>
                <w:color w:val="FF0000"/>
                <w:sz w:val="20"/>
                <w:szCs w:val="20"/>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二、主体结构及装饰装修检测项目/参数能力表（必选）</w:t>
      </w:r>
    </w:p>
    <w:tbl>
      <w:tblPr>
        <w:tblStyle w:val="8"/>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94"/>
        <w:gridCol w:w="627"/>
        <w:gridCol w:w="896"/>
        <w:gridCol w:w="1036"/>
        <w:gridCol w:w="3652"/>
        <w:gridCol w:w="567"/>
        <w:gridCol w:w="768"/>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9823" w:type="dxa"/>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528"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序号</w:t>
            </w:r>
          </w:p>
        </w:tc>
        <w:tc>
          <w:tcPr>
            <w:tcW w:w="1194"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检测项目</w:t>
            </w:r>
          </w:p>
        </w:tc>
        <w:tc>
          <w:tcPr>
            <w:tcW w:w="2559" w:type="dxa"/>
            <w:gridSpan w:val="3"/>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检测参数</w:t>
            </w:r>
          </w:p>
        </w:tc>
        <w:tc>
          <w:tcPr>
            <w:tcW w:w="3652" w:type="dxa"/>
            <w:vMerge w:val="restart"/>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（方法）</w:t>
            </w:r>
          </w:p>
        </w:tc>
        <w:tc>
          <w:tcPr>
            <w:tcW w:w="1335" w:type="dxa"/>
            <w:gridSpan w:val="2"/>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确认结果</w:t>
            </w:r>
          </w:p>
        </w:tc>
        <w:tc>
          <w:tcPr>
            <w:tcW w:w="555"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blHeader/>
          <w:jc w:val="center"/>
        </w:trPr>
        <w:tc>
          <w:tcPr>
            <w:tcW w:w="528"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194" w:type="dxa"/>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ascii="Times New Roman" w:hAnsi="Times New Roman" w:cstheme="minorEastAsia"/>
                <w:kern w:val="0"/>
                <w:sz w:val="20"/>
                <w:szCs w:val="20"/>
              </w:rPr>
            </w:pPr>
          </w:p>
        </w:tc>
        <w:tc>
          <w:tcPr>
            <w:tcW w:w="627" w:type="dxa"/>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序号</w:t>
            </w:r>
          </w:p>
        </w:tc>
        <w:tc>
          <w:tcPr>
            <w:tcW w:w="1932" w:type="dxa"/>
            <w:gridSpan w:val="2"/>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名称</w:t>
            </w:r>
          </w:p>
        </w:tc>
        <w:tc>
          <w:tcPr>
            <w:tcW w:w="3652" w:type="dxa"/>
            <w:vMerge w:val="continue"/>
            <w:tcBorders>
              <w:top w:val="single" w:color="auto" w:sz="4" w:space="0"/>
              <w:bottom w:val="single" w:color="auto" w:sz="4" w:space="0"/>
            </w:tcBorders>
          </w:tcPr>
          <w:p>
            <w:pPr>
              <w:widowControl/>
              <w:ind w:firstLine="800" w:firstLineChars="400"/>
              <w:jc w:val="left"/>
              <w:textAlignment w:val="center"/>
              <w:rPr>
                <w:rFonts w:ascii="Times New Roman" w:hAnsi="Times New Roman" w:cstheme="minorEastAsia"/>
                <w:color w:val="000000"/>
                <w:kern w:val="0"/>
                <w:sz w:val="20"/>
                <w:szCs w:val="20"/>
              </w:rPr>
            </w:pPr>
          </w:p>
        </w:tc>
        <w:tc>
          <w:tcPr>
            <w:tcW w:w="567"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通过</w:t>
            </w:r>
          </w:p>
        </w:tc>
        <w:tc>
          <w:tcPr>
            <w:tcW w:w="768"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不通过</w:t>
            </w:r>
          </w:p>
        </w:tc>
        <w:tc>
          <w:tcPr>
            <w:tcW w:w="555" w:type="dxa"/>
            <w:vMerge w:val="continue"/>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restart"/>
            <w:tcBorders>
              <w:top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1</w:t>
            </w:r>
          </w:p>
        </w:tc>
        <w:tc>
          <w:tcPr>
            <w:tcW w:w="1194" w:type="dxa"/>
            <w:vMerge w:val="restart"/>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构件强度、</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砌体结构构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件强度</w:t>
            </w:r>
          </w:p>
        </w:tc>
        <w:tc>
          <w:tcPr>
            <w:tcW w:w="627" w:type="dxa"/>
            <w:vMerge w:val="restart"/>
            <w:tcBorders>
              <w:top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1.1</w:t>
            </w:r>
          </w:p>
        </w:tc>
        <w:tc>
          <w:tcPr>
            <w:tcW w:w="896" w:type="dxa"/>
            <w:vMerge w:val="restart"/>
            <w:tcBorders>
              <w:top w:val="single" w:color="auto" w:sz="4" w:space="0"/>
            </w:tcBorders>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混凝土强度</w:t>
            </w:r>
          </w:p>
        </w:tc>
        <w:tc>
          <w:tcPr>
            <w:tcW w:w="1036" w:type="dxa"/>
            <w:vMerge w:val="restart"/>
            <w:tcBorders>
              <w:top w:val="single" w:color="auto" w:sz="4" w:space="0"/>
            </w:tcBorders>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回弹法</w:t>
            </w:r>
          </w:p>
        </w:tc>
        <w:tc>
          <w:tcPr>
            <w:tcW w:w="3652" w:type="dxa"/>
            <w:tcBorders>
              <w:top w:val="single" w:color="auto" w:sz="4" w:space="0"/>
            </w:tcBorders>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《回弹法检测混凝土抗压强度技术规程》JGJ/T 23-2011</w:t>
            </w:r>
          </w:p>
        </w:tc>
        <w:tc>
          <w:tcPr>
            <w:tcW w:w="567"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jc w:val="left"/>
              <w:rPr>
                <w:rFonts w:ascii="Times New Roman" w:hAnsi="Times New Roman"/>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rPr>
            </w:pPr>
          </w:p>
        </w:tc>
        <w:tc>
          <w:tcPr>
            <w:tcW w:w="627" w:type="dxa"/>
            <w:vMerge w:val="continue"/>
            <w:vAlign w:val="center"/>
          </w:tcPr>
          <w:p>
            <w:pPr>
              <w:widowControl/>
              <w:wordWrap w:val="0"/>
              <w:snapToGrid w:val="0"/>
              <w:spacing w:before="120" w:line="300" w:lineRule="atLeast"/>
              <w:ind w:right="-336"/>
              <w:jc w:val="left"/>
              <w:rPr>
                <w:rFonts w:ascii="Times New Roman" w:hAnsi="Times New Roman"/>
              </w:rPr>
            </w:pPr>
          </w:p>
        </w:tc>
        <w:tc>
          <w:tcPr>
            <w:tcW w:w="896" w:type="dxa"/>
            <w:vMerge w:val="continue"/>
            <w:vAlign w:val="center"/>
          </w:tcPr>
          <w:p>
            <w:pPr>
              <w:widowControl/>
              <w:wordWrap w:val="0"/>
              <w:snapToGrid w:val="0"/>
              <w:spacing w:before="120" w:line="300" w:lineRule="atLeast"/>
              <w:ind w:right="-336"/>
              <w:jc w:val="center"/>
              <w:rPr>
                <w:rFonts w:ascii="Times New Roman" w:hAnsi="Times New Roman"/>
              </w:rPr>
            </w:pPr>
          </w:p>
        </w:tc>
        <w:tc>
          <w:tcPr>
            <w:tcW w:w="1036" w:type="dxa"/>
            <w:vMerge w:val="continue"/>
            <w:vAlign w:val="center"/>
          </w:tcPr>
          <w:p>
            <w:pPr>
              <w:widowControl/>
              <w:wordWrap w:val="0"/>
              <w:snapToGrid w:val="0"/>
              <w:spacing w:before="120" w:line="300" w:lineRule="atLeast"/>
              <w:ind w:right="-336"/>
              <w:jc w:val="left"/>
              <w:rPr>
                <w:rFonts w:ascii="Times New Roman" w:hAnsi="Times New Roman"/>
              </w:rPr>
            </w:pPr>
          </w:p>
        </w:tc>
        <w:tc>
          <w:tcPr>
            <w:tcW w:w="3652" w:type="dxa"/>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《回弹法检测高强混凝土抗压强度技术规程》DBJ51/T018-2013</w:t>
            </w:r>
          </w:p>
        </w:tc>
        <w:tc>
          <w:tcPr>
            <w:tcW w:w="567"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627"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896" w:type="dxa"/>
            <w:vMerge w:val="continue"/>
            <w:vAlign w:val="center"/>
          </w:tcPr>
          <w:p>
            <w:pPr>
              <w:widowControl/>
              <w:wordWrap w:val="0"/>
              <w:snapToGrid w:val="0"/>
              <w:spacing w:before="120" w:line="300" w:lineRule="atLeast"/>
              <w:ind w:right="-336"/>
              <w:jc w:val="center"/>
              <w:rPr>
                <w:rFonts w:ascii="Times New Roman" w:hAnsi="Times New Roman" w:cstheme="minorEastAsia"/>
                <w:color w:val="000000"/>
                <w:kern w:val="0"/>
                <w:sz w:val="20"/>
                <w:szCs w:val="20"/>
              </w:rPr>
            </w:pPr>
          </w:p>
        </w:tc>
        <w:tc>
          <w:tcPr>
            <w:tcW w:w="103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3652" w:type="dxa"/>
            <w:vAlign w:val="center"/>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《回弹法检测水泥基灌浆材料抗压强度</w:t>
            </w:r>
          </w:p>
          <w:p>
            <w:pPr>
              <w:widowControl/>
              <w:wordWrap w:val="0"/>
              <w:snapToGrid w:val="0"/>
              <w:spacing w:before="120" w:line="300" w:lineRule="atLeast"/>
              <w:ind w:right="-336"/>
              <w:jc w:val="left"/>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技术规程》T/CECS801-2021</w:t>
            </w:r>
          </w:p>
        </w:tc>
        <w:tc>
          <w:tcPr>
            <w:tcW w:w="567"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钻芯法</w:t>
            </w:r>
          </w:p>
        </w:tc>
        <w:tc>
          <w:tcPr>
            <w:tcW w:w="3652" w:type="dxa"/>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回弹-钻芯综合法</w:t>
            </w:r>
          </w:p>
        </w:tc>
        <w:tc>
          <w:tcPr>
            <w:tcW w:w="3652" w:type="dxa"/>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超声回弹综合法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color w:val="000000"/>
                <w:kern w:val="0"/>
                <w:sz w:val="20"/>
                <w:szCs w:val="20"/>
              </w:rPr>
              <w:t>《超声回弹综合法检测混凝土抗压强度技术规程》</w:t>
            </w:r>
            <w:r>
              <w:rPr>
                <w:rFonts w:hint="eastAsia" w:ascii="Times New Roman" w:hAnsi="Times New Roman" w:cstheme="minorEastAsia"/>
                <w:kern w:val="0"/>
                <w:sz w:val="20"/>
                <w:szCs w:val="20"/>
              </w:rPr>
              <w:t>T/CECS 02-2020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1.2</w:t>
            </w:r>
          </w:p>
        </w:tc>
        <w:tc>
          <w:tcPr>
            <w:tcW w:w="896" w:type="dxa"/>
            <w:vMerge w:val="restart"/>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砂浆</w:t>
            </w:r>
          </w:p>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强度</w:t>
            </w: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推出法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jc w:val="left"/>
              <w:textAlignment w:val="center"/>
              <w:rPr>
                <w:rFonts w:ascii="Times New Roman" w:hAnsi="Times New Roman" w:cstheme="minorEastAsia"/>
                <w:sz w:val="20"/>
                <w:szCs w:val="20"/>
              </w:rPr>
            </w:pPr>
          </w:p>
        </w:tc>
        <w:tc>
          <w:tcPr>
            <w:tcW w:w="1194" w:type="dxa"/>
            <w:vMerge w:val="continue"/>
            <w:vAlign w:val="center"/>
          </w:tcPr>
          <w:p>
            <w:pPr>
              <w:widowControl/>
              <w:jc w:val="left"/>
              <w:textAlignment w:val="center"/>
              <w:rPr>
                <w:rFonts w:ascii="Times New Roman" w:hAnsi="Times New Roman" w:cstheme="minorEastAsia"/>
                <w:sz w:val="20"/>
                <w:szCs w:val="20"/>
              </w:rPr>
            </w:pPr>
          </w:p>
        </w:tc>
        <w:tc>
          <w:tcPr>
            <w:tcW w:w="627" w:type="dxa"/>
            <w:vMerge w:val="continue"/>
            <w:vAlign w:val="center"/>
          </w:tcPr>
          <w:p>
            <w:pPr>
              <w:widowControl/>
              <w:jc w:val="left"/>
              <w:textAlignment w:val="center"/>
              <w:rPr>
                <w:rFonts w:ascii="Times New Roman" w:hAnsi="Times New Roman" w:cstheme="minorEastAsia"/>
                <w:sz w:val="20"/>
                <w:szCs w:val="20"/>
              </w:rPr>
            </w:pPr>
          </w:p>
        </w:tc>
        <w:tc>
          <w:tcPr>
            <w:tcW w:w="896" w:type="dxa"/>
            <w:vMerge w:val="continue"/>
            <w:vAlign w:val="center"/>
          </w:tcPr>
          <w:p>
            <w:pPr>
              <w:widowControl/>
              <w:jc w:val="center"/>
              <w:textAlignment w:val="center"/>
              <w:rPr>
                <w:rFonts w:ascii="Times New Roman" w:hAnsi="Times New Roman" w:cstheme="minorEastAsia"/>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筒压法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jc w:val="left"/>
              <w:textAlignment w:val="center"/>
              <w:rPr>
                <w:rFonts w:ascii="Times New Roman" w:hAnsi="Times New Roman" w:cstheme="minorEastAsia"/>
                <w:kern w:val="0"/>
                <w:sz w:val="20"/>
                <w:szCs w:val="20"/>
              </w:rPr>
            </w:pPr>
          </w:p>
        </w:tc>
        <w:tc>
          <w:tcPr>
            <w:tcW w:w="768" w:type="dxa"/>
          </w:tcPr>
          <w:p>
            <w:pPr>
              <w:widowControl/>
              <w:jc w:val="left"/>
              <w:textAlignment w:val="center"/>
              <w:rPr>
                <w:rFonts w:ascii="Times New Roman" w:hAnsi="Times New Roman" w:cstheme="minorEastAsia"/>
                <w:kern w:val="0"/>
                <w:sz w:val="20"/>
                <w:szCs w:val="20"/>
              </w:rPr>
            </w:pPr>
          </w:p>
        </w:tc>
        <w:tc>
          <w:tcPr>
            <w:tcW w:w="555" w:type="dxa"/>
          </w:tcPr>
          <w:p>
            <w:pPr>
              <w:widowControl/>
              <w:jc w:val="left"/>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jc w:val="left"/>
              <w:textAlignment w:val="center"/>
              <w:rPr>
                <w:rFonts w:ascii="Times New Roman" w:hAnsi="Times New Roman" w:cstheme="minorEastAsia"/>
                <w:kern w:val="0"/>
                <w:sz w:val="20"/>
                <w:szCs w:val="20"/>
              </w:rPr>
            </w:pPr>
          </w:p>
        </w:tc>
        <w:tc>
          <w:tcPr>
            <w:tcW w:w="1194" w:type="dxa"/>
            <w:vMerge w:val="continue"/>
            <w:vAlign w:val="center"/>
          </w:tcPr>
          <w:p>
            <w:pPr>
              <w:widowControl/>
              <w:jc w:val="left"/>
              <w:textAlignment w:val="center"/>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砂浆片剪切法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jc w:val="left"/>
              <w:textAlignment w:val="center"/>
              <w:rPr>
                <w:rFonts w:ascii="Times New Roman" w:hAnsi="Times New Roman" w:cstheme="minorEastAsia"/>
                <w:kern w:val="0"/>
                <w:sz w:val="20"/>
                <w:szCs w:val="20"/>
              </w:rPr>
            </w:pPr>
          </w:p>
        </w:tc>
        <w:tc>
          <w:tcPr>
            <w:tcW w:w="768" w:type="dxa"/>
          </w:tcPr>
          <w:p>
            <w:pPr>
              <w:widowControl/>
              <w:jc w:val="left"/>
              <w:textAlignment w:val="center"/>
              <w:rPr>
                <w:rFonts w:ascii="Times New Roman" w:hAnsi="Times New Roman" w:cstheme="minorEastAsia"/>
                <w:kern w:val="0"/>
                <w:sz w:val="20"/>
                <w:szCs w:val="20"/>
              </w:rPr>
            </w:pPr>
          </w:p>
        </w:tc>
        <w:tc>
          <w:tcPr>
            <w:tcW w:w="555" w:type="dxa"/>
          </w:tcPr>
          <w:p>
            <w:pPr>
              <w:widowControl/>
              <w:jc w:val="left"/>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jc w:val="left"/>
              <w:textAlignment w:val="center"/>
              <w:rPr>
                <w:rFonts w:ascii="Times New Roman" w:hAnsi="Times New Roman" w:cstheme="minorEastAsia"/>
                <w:kern w:val="0"/>
                <w:sz w:val="20"/>
                <w:szCs w:val="20"/>
              </w:rPr>
            </w:pPr>
          </w:p>
        </w:tc>
        <w:tc>
          <w:tcPr>
            <w:tcW w:w="1194" w:type="dxa"/>
            <w:vMerge w:val="continue"/>
            <w:vAlign w:val="center"/>
          </w:tcPr>
          <w:p>
            <w:pPr>
              <w:widowControl/>
              <w:jc w:val="left"/>
              <w:textAlignment w:val="center"/>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回弹法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jc w:val="left"/>
              <w:textAlignment w:val="center"/>
              <w:rPr>
                <w:rFonts w:ascii="Times New Roman" w:hAnsi="Times New Roman" w:cstheme="minorEastAsia"/>
                <w:kern w:val="0"/>
                <w:sz w:val="20"/>
                <w:szCs w:val="20"/>
              </w:rPr>
            </w:pPr>
          </w:p>
        </w:tc>
        <w:tc>
          <w:tcPr>
            <w:tcW w:w="768" w:type="dxa"/>
          </w:tcPr>
          <w:p>
            <w:pPr>
              <w:widowControl/>
              <w:jc w:val="left"/>
              <w:textAlignment w:val="center"/>
              <w:rPr>
                <w:rFonts w:ascii="Times New Roman" w:hAnsi="Times New Roman" w:cstheme="minorEastAsia"/>
                <w:kern w:val="0"/>
                <w:sz w:val="20"/>
                <w:szCs w:val="20"/>
              </w:rPr>
            </w:pPr>
          </w:p>
        </w:tc>
        <w:tc>
          <w:tcPr>
            <w:tcW w:w="555" w:type="dxa"/>
          </w:tcPr>
          <w:p>
            <w:pPr>
              <w:widowControl/>
              <w:jc w:val="left"/>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jc w:val="left"/>
              <w:textAlignment w:val="center"/>
              <w:rPr>
                <w:rFonts w:ascii="Times New Roman" w:hAnsi="Times New Roman" w:cstheme="minorEastAsia"/>
                <w:kern w:val="0"/>
                <w:sz w:val="20"/>
                <w:szCs w:val="20"/>
              </w:rPr>
            </w:pPr>
          </w:p>
        </w:tc>
        <w:tc>
          <w:tcPr>
            <w:tcW w:w="1194" w:type="dxa"/>
            <w:vMerge w:val="continue"/>
            <w:vAlign w:val="center"/>
          </w:tcPr>
          <w:p>
            <w:pPr>
              <w:widowControl/>
              <w:jc w:val="left"/>
              <w:textAlignment w:val="center"/>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点荷法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jc w:val="left"/>
              <w:textAlignment w:val="center"/>
              <w:rPr>
                <w:rFonts w:ascii="Times New Roman" w:hAnsi="Times New Roman" w:cstheme="minorEastAsia"/>
                <w:kern w:val="0"/>
                <w:sz w:val="20"/>
                <w:szCs w:val="20"/>
              </w:rPr>
            </w:pPr>
          </w:p>
        </w:tc>
        <w:tc>
          <w:tcPr>
            <w:tcW w:w="768" w:type="dxa"/>
          </w:tcPr>
          <w:p>
            <w:pPr>
              <w:widowControl/>
              <w:jc w:val="left"/>
              <w:textAlignment w:val="center"/>
              <w:rPr>
                <w:rFonts w:ascii="Times New Roman" w:hAnsi="Times New Roman" w:cstheme="minorEastAsia"/>
                <w:kern w:val="0"/>
                <w:sz w:val="20"/>
                <w:szCs w:val="20"/>
              </w:rPr>
            </w:pPr>
          </w:p>
        </w:tc>
        <w:tc>
          <w:tcPr>
            <w:tcW w:w="555" w:type="dxa"/>
          </w:tcPr>
          <w:p>
            <w:pPr>
              <w:widowControl/>
              <w:jc w:val="left"/>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jc w:val="left"/>
              <w:textAlignment w:val="center"/>
              <w:rPr>
                <w:rFonts w:ascii="Times New Roman" w:hAnsi="Times New Roman" w:cstheme="minorEastAsia"/>
                <w:kern w:val="0"/>
                <w:sz w:val="20"/>
                <w:szCs w:val="20"/>
              </w:rPr>
            </w:pPr>
          </w:p>
        </w:tc>
        <w:tc>
          <w:tcPr>
            <w:tcW w:w="1194" w:type="dxa"/>
            <w:vMerge w:val="continue"/>
            <w:vAlign w:val="center"/>
          </w:tcPr>
          <w:p>
            <w:pPr>
              <w:widowControl/>
              <w:jc w:val="left"/>
              <w:textAlignment w:val="center"/>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896" w:type="dxa"/>
            <w:vMerge w:val="continue"/>
            <w:vAlign w:val="center"/>
          </w:tcPr>
          <w:p>
            <w:pPr>
              <w:widowControl/>
              <w:jc w:val="center"/>
              <w:textAlignment w:val="center"/>
              <w:rPr>
                <w:rFonts w:ascii="Times New Roman" w:hAnsi="Times New Roman" w:cstheme="minorEastAsia"/>
                <w:kern w:val="0"/>
                <w:sz w:val="20"/>
                <w:szCs w:val="20"/>
              </w:rPr>
            </w:pP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贯入</w:t>
            </w:r>
          </w:p>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法等</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 </w:t>
            </w:r>
            <w:r>
              <w:rPr>
                <w:rFonts w:hint="eastAsia" w:ascii="Times New Roman" w:hAnsi="Times New Roman" w:cstheme="minorEastAsia"/>
                <w:color w:val="000000"/>
                <w:kern w:val="0"/>
                <w:sz w:val="20"/>
                <w:szCs w:val="20"/>
              </w:rPr>
              <w:t>《</w:t>
            </w:r>
            <w:r>
              <w:rPr>
                <w:rFonts w:hint="eastAsia" w:ascii="Times New Roman" w:hAnsi="Times New Roman" w:cstheme="minorEastAsia"/>
                <w:kern w:val="0"/>
                <w:sz w:val="20"/>
                <w:szCs w:val="20"/>
              </w:rPr>
              <w:t>贯入法检测砌筑砂浆抗压强度技术规程JGJ/T 136-2017</w:t>
            </w:r>
          </w:p>
        </w:tc>
        <w:tc>
          <w:tcPr>
            <w:tcW w:w="567" w:type="dxa"/>
          </w:tcPr>
          <w:p>
            <w:pPr>
              <w:widowControl/>
              <w:jc w:val="left"/>
              <w:textAlignment w:val="center"/>
              <w:rPr>
                <w:rFonts w:ascii="Times New Roman" w:hAnsi="Times New Roman" w:cstheme="minorEastAsia"/>
                <w:kern w:val="0"/>
                <w:sz w:val="20"/>
                <w:szCs w:val="20"/>
              </w:rPr>
            </w:pPr>
          </w:p>
        </w:tc>
        <w:tc>
          <w:tcPr>
            <w:tcW w:w="768" w:type="dxa"/>
          </w:tcPr>
          <w:p>
            <w:pPr>
              <w:widowControl/>
              <w:jc w:val="left"/>
              <w:textAlignment w:val="center"/>
              <w:rPr>
                <w:rFonts w:ascii="Times New Roman" w:hAnsi="Times New Roman" w:cstheme="minorEastAsia"/>
                <w:kern w:val="0"/>
                <w:sz w:val="20"/>
                <w:szCs w:val="20"/>
              </w:rPr>
            </w:pPr>
          </w:p>
        </w:tc>
        <w:tc>
          <w:tcPr>
            <w:tcW w:w="555" w:type="dxa"/>
          </w:tcPr>
          <w:p>
            <w:pPr>
              <w:widowControl/>
              <w:jc w:val="left"/>
              <w:textAlignment w:val="center"/>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1.3</w:t>
            </w:r>
          </w:p>
        </w:tc>
        <w:tc>
          <w:tcPr>
            <w:tcW w:w="89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砖强度</w:t>
            </w:r>
          </w:p>
        </w:tc>
        <w:tc>
          <w:tcPr>
            <w:tcW w:w="1036" w:type="dxa"/>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回弹法</w:t>
            </w:r>
          </w:p>
        </w:tc>
        <w:tc>
          <w:tcPr>
            <w:tcW w:w="3652"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50315-2011</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2</w:t>
            </w:r>
          </w:p>
        </w:tc>
        <w:tc>
          <w:tcPr>
            <w:tcW w:w="1194"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钢筋及保护</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层厚度</w:t>
            </w:r>
          </w:p>
        </w:tc>
        <w:tc>
          <w:tcPr>
            <w:tcW w:w="627" w:type="dxa"/>
            <w:vMerge w:val="restart"/>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2.1</w:t>
            </w:r>
          </w:p>
        </w:tc>
        <w:tc>
          <w:tcPr>
            <w:tcW w:w="1932" w:type="dxa"/>
            <w:gridSpan w:val="2"/>
            <w:vMerge w:val="restart"/>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 xml:space="preserve">钢筋保护层厚度 </w:t>
            </w:r>
          </w:p>
        </w:tc>
        <w:tc>
          <w:tcPr>
            <w:tcW w:w="3652" w:type="dxa"/>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《混凝土中钢筋检测技术标准》</w:t>
            </w:r>
          </w:p>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JGJ/T 152-2019</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932" w:type="dxa"/>
            <w:gridSpan w:val="2"/>
            <w:vMerge w:val="continue"/>
            <w:vAlign w:val="center"/>
          </w:tcPr>
          <w:p>
            <w:pPr>
              <w:widowControl/>
              <w:jc w:val="left"/>
              <w:textAlignment w:val="center"/>
              <w:rPr>
                <w:rFonts w:ascii="Times New Roman" w:hAnsi="Times New Roman" w:cstheme="minorEastAsia"/>
                <w:color w:val="000000"/>
                <w:kern w:val="0"/>
                <w:sz w:val="20"/>
                <w:szCs w:val="20"/>
              </w:rPr>
            </w:pPr>
          </w:p>
        </w:tc>
        <w:tc>
          <w:tcPr>
            <w:tcW w:w="3652" w:type="dxa"/>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《混凝土结构现场检测技术标准》</w:t>
            </w:r>
          </w:p>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3</w:t>
            </w:r>
          </w:p>
        </w:tc>
        <w:tc>
          <w:tcPr>
            <w:tcW w:w="1194" w:type="dxa"/>
            <w:vMerge w:val="restart"/>
            <w:vAlign w:val="center"/>
          </w:tcPr>
          <w:p>
            <w:pPr>
              <w:widowControl/>
              <w:textAlignment w:val="center"/>
              <w:rPr>
                <w:rFonts w:ascii="Times New Roman" w:hAnsi="Times New Roman" w:cstheme="minorEastAsia"/>
                <w:kern w:val="0"/>
                <w:sz w:val="20"/>
                <w:szCs w:val="20"/>
              </w:rPr>
            </w:pPr>
            <w:r>
              <w:rPr>
                <w:rFonts w:hint="eastAsia" w:ascii="Times New Roman" w:hAnsi="Times New Roman" w:cstheme="minorEastAsia"/>
                <w:color w:val="000000"/>
                <w:kern w:val="0"/>
                <w:sz w:val="20"/>
                <w:szCs w:val="20"/>
              </w:rPr>
              <w:t xml:space="preserve">植筋锚固力 </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3.1</w:t>
            </w:r>
          </w:p>
        </w:tc>
        <w:tc>
          <w:tcPr>
            <w:tcW w:w="1932" w:type="dxa"/>
            <w:gridSpan w:val="2"/>
            <w:vMerge w:val="restart"/>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锚固承载力</w:t>
            </w:r>
          </w:p>
        </w:tc>
        <w:tc>
          <w:tcPr>
            <w:tcW w:w="3652" w:type="dxa"/>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《砌体结构后锚固技术规程》T/CECS479-2017</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textAlignment w:val="center"/>
              <w:rPr>
                <w:rFonts w:ascii="Times New Roman" w:hAnsi="Times New Roman" w:cstheme="minorEastAsia"/>
                <w:color w:val="000000"/>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1932" w:type="dxa"/>
            <w:gridSpan w:val="2"/>
            <w:vMerge w:val="continue"/>
            <w:vAlign w:val="center"/>
          </w:tcPr>
          <w:p>
            <w:pPr>
              <w:widowControl/>
              <w:jc w:val="left"/>
              <w:textAlignment w:val="center"/>
              <w:rPr>
                <w:rFonts w:ascii="Times New Roman" w:hAnsi="Times New Roman" w:cstheme="minorEastAsia"/>
                <w:color w:val="000000"/>
                <w:kern w:val="0"/>
                <w:sz w:val="20"/>
                <w:szCs w:val="20"/>
              </w:rPr>
            </w:pPr>
          </w:p>
        </w:tc>
        <w:tc>
          <w:tcPr>
            <w:tcW w:w="3652" w:type="dxa"/>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《混凝土结构后锚固技术规程》</w:t>
            </w:r>
          </w:p>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JGJ 145-2013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8"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194" w:type="dxa"/>
            <w:vMerge w:val="continue"/>
            <w:vAlign w:val="center"/>
          </w:tcPr>
          <w:p>
            <w:pPr>
              <w:widowControl/>
              <w:textAlignment w:val="center"/>
              <w:rPr>
                <w:rFonts w:ascii="Times New Roman" w:hAnsi="Times New Roman" w:cstheme="minorEastAsia"/>
                <w:color w:val="000000"/>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1932" w:type="dxa"/>
            <w:gridSpan w:val="2"/>
            <w:vMerge w:val="continue"/>
            <w:vAlign w:val="center"/>
          </w:tcPr>
          <w:p>
            <w:pPr>
              <w:widowControl/>
              <w:jc w:val="left"/>
              <w:textAlignment w:val="center"/>
              <w:rPr>
                <w:rFonts w:ascii="Times New Roman" w:hAnsi="Times New Roman" w:cstheme="minorEastAsia"/>
                <w:color w:val="000000"/>
                <w:kern w:val="0"/>
                <w:sz w:val="20"/>
                <w:szCs w:val="20"/>
              </w:rPr>
            </w:pPr>
          </w:p>
        </w:tc>
        <w:tc>
          <w:tcPr>
            <w:tcW w:w="3652" w:type="dxa"/>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《建筑结构加固工程施工质量验收规范》GB 50550-2010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6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55"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bl>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hint="eastAsia"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hint="eastAsia"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hint="eastAsia"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hint="eastAsia"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hint="eastAsia"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二、主体结构及装饰装修检测项目/参数能力表（可选）</w:t>
      </w:r>
    </w:p>
    <w:tbl>
      <w:tblPr>
        <w:tblStyle w:val="8"/>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252"/>
        <w:gridCol w:w="627"/>
        <w:gridCol w:w="1105"/>
        <w:gridCol w:w="988"/>
        <w:gridCol w:w="3301"/>
        <w:gridCol w:w="567"/>
        <w:gridCol w:w="721"/>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9809" w:type="dxa"/>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blHeader/>
          <w:jc w:val="center"/>
        </w:trPr>
        <w:tc>
          <w:tcPr>
            <w:tcW w:w="660"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序号</w:t>
            </w:r>
          </w:p>
        </w:tc>
        <w:tc>
          <w:tcPr>
            <w:tcW w:w="1252" w:type="dxa"/>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ascii="Times New Roman" w:hAnsi="Times New Roman" w:cstheme="minorEastAsia"/>
                <w:kern w:val="0"/>
                <w:sz w:val="20"/>
                <w:szCs w:val="20"/>
              </w:rPr>
            </w:pPr>
            <w:r>
              <w:rPr>
                <w:rFonts w:hint="eastAsia" w:ascii="Times New Roman" w:hAnsi="Times New Roman" w:cstheme="minorEastAsia"/>
                <w:kern w:val="0"/>
                <w:sz w:val="20"/>
                <w:szCs w:val="20"/>
              </w:rPr>
              <w:t>检测项目</w:t>
            </w:r>
          </w:p>
        </w:tc>
        <w:tc>
          <w:tcPr>
            <w:tcW w:w="2720" w:type="dxa"/>
            <w:gridSpan w:val="3"/>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检测参数</w:t>
            </w:r>
          </w:p>
        </w:tc>
        <w:tc>
          <w:tcPr>
            <w:tcW w:w="3301" w:type="dxa"/>
            <w:vMerge w:val="restart"/>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（方法）</w:t>
            </w:r>
          </w:p>
        </w:tc>
        <w:tc>
          <w:tcPr>
            <w:tcW w:w="1288" w:type="dxa"/>
            <w:gridSpan w:val="2"/>
            <w:tcBorders>
              <w:top w:val="single" w:color="auto" w:sz="4" w:space="0"/>
              <w:bottom w:val="single" w:color="auto" w:sz="4" w:space="0"/>
            </w:tcBorders>
          </w:tcPr>
          <w:p>
            <w:pPr>
              <w:widowControl/>
              <w:wordWrap w:val="0"/>
              <w:snapToGrid w:val="0"/>
              <w:spacing w:before="120" w:line="300" w:lineRule="atLeast"/>
              <w:ind w:right="-336" w:firstLine="200" w:firstLineChars="100"/>
              <w:jc w:val="left"/>
              <w:rPr>
                <w:rFonts w:ascii="Times New Roman" w:hAnsi="Times New Roman" w:cstheme="minorEastAsia"/>
                <w:kern w:val="0"/>
                <w:sz w:val="20"/>
                <w:szCs w:val="20"/>
              </w:rPr>
            </w:pPr>
            <w:r>
              <w:rPr>
                <w:rFonts w:hint="eastAsia" w:ascii="Times New Roman" w:hAnsi="Times New Roman" w:cstheme="minorEastAsia"/>
                <w:kern w:val="0"/>
                <w:sz w:val="20"/>
                <w:szCs w:val="20"/>
              </w:rPr>
              <w:t>确认结果</w:t>
            </w:r>
          </w:p>
        </w:tc>
        <w:tc>
          <w:tcPr>
            <w:tcW w:w="588"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blHeader/>
          <w:jc w:val="center"/>
        </w:trPr>
        <w:tc>
          <w:tcPr>
            <w:tcW w:w="660"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ascii="Times New Roman" w:hAnsi="Times New Roman" w:cstheme="minorEastAsia"/>
                <w:kern w:val="0"/>
                <w:sz w:val="20"/>
                <w:szCs w:val="20"/>
              </w:rPr>
            </w:pPr>
          </w:p>
        </w:tc>
        <w:tc>
          <w:tcPr>
            <w:tcW w:w="627" w:type="dxa"/>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r>
              <w:rPr>
                <w:rFonts w:hint="eastAsia" w:ascii="Times New Roman" w:hAnsi="Times New Roman" w:cstheme="minorEastAsia"/>
                <w:kern w:val="0"/>
                <w:sz w:val="20"/>
                <w:szCs w:val="20"/>
              </w:rPr>
              <w:t>序号</w:t>
            </w:r>
          </w:p>
        </w:tc>
        <w:tc>
          <w:tcPr>
            <w:tcW w:w="2093" w:type="dxa"/>
            <w:gridSpan w:val="2"/>
            <w:tcBorders>
              <w:top w:val="single" w:color="auto" w:sz="4" w:space="0"/>
              <w:bottom w:val="single" w:color="auto" w:sz="4" w:space="0"/>
            </w:tcBorders>
            <w:vAlign w:val="center"/>
          </w:tcPr>
          <w:p>
            <w:pPr>
              <w:widowControl/>
              <w:ind w:firstLine="800" w:firstLineChars="400"/>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名称</w:t>
            </w:r>
          </w:p>
        </w:tc>
        <w:tc>
          <w:tcPr>
            <w:tcW w:w="3301" w:type="dxa"/>
            <w:vMerge w:val="continue"/>
            <w:tcBorders>
              <w:top w:val="single" w:color="auto" w:sz="4" w:space="0"/>
              <w:bottom w:val="single" w:color="auto" w:sz="4" w:space="0"/>
            </w:tcBorders>
          </w:tcPr>
          <w:p>
            <w:pPr>
              <w:widowControl/>
              <w:ind w:firstLine="800" w:firstLineChars="400"/>
              <w:jc w:val="left"/>
              <w:textAlignment w:val="center"/>
              <w:rPr>
                <w:rFonts w:ascii="Times New Roman" w:hAnsi="Times New Roman" w:cstheme="minorEastAsia"/>
                <w:color w:val="000000"/>
                <w:kern w:val="0"/>
                <w:sz w:val="20"/>
                <w:szCs w:val="20"/>
              </w:rPr>
            </w:pPr>
          </w:p>
        </w:tc>
        <w:tc>
          <w:tcPr>
            <w:tcW w:w="567"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通过</w:t>
            </w:r>
          </w:p>
        </w:tc>
        <w:tc>
          <w:tcPr>
            <w:tcW w:w="721"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不通过</w:t>
            </w:r>
          </w:p>
        </w:tc>
        <w:tc>
          <w:tcPr>
            <w:tcW w:w="588" w:type="dxa"/>
            <w:vMerge w:val="continue"/>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tcBorders>
              <w:top w:val="single" w:color="auto" w:sz="4" w:space="0"/>
              <w:bottom w:val="single" w:color="auto" w:sz="4" w:space="0"/>
            </w:tcBorders>
            <w:vAlign w:val="center"/>
          </w:tcPr>
          <w:p>
            <w:pPr>
              <w:widowControl/>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1</w:t>
            </w:r>
          </w:p>
        </w:tc>
        <w:tc>
          <w:tcPr>
            <w:tcW w:w="1252"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构件强度</w:t>
            </w:r>
            <w:r>
              <w:rPr>
                <w:rFonts w:hint="eastAsia" w:ascii="Times New Roman" w:hAnsi="Times New Roman" w:cstheme="minorEastAsia"/>
                <w:color w:val="000000"/>
                <w:kern w:val="0"/>
                <w:sz w:val="20"/>
                <w:szCs w:val="20"/>
              </w:rPr>
              <w:t>*</w:t>
            </w:r>
            <w:r>
              <w:rPr>
                <w:rFonts w:hint="eastAsia" w:ascii="Times New Roman" w:hAnsi="Times New Roman" w:cstheme="minorEastAsia"/>
                <w:kern w:val="0"/>
                <w:sz w:val="20"/>
                <w:szCs w:val="20"/>
              </w:rPr>
              <w:t>、</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砌体结构构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件强度</w:t>
            </w:r>
            <w:r>
              <w:rPr>
                <w:rFonts w:hint="eastAsia" w:ascii="Times New Roman" w:hAnsi="Times New Roman" w:cstheme="minorEastAsia"/>
                <w:color w:val="000000"/>
                <w:kern w:val="0"/>
                <w:sz w:val="20"/>
                <w:szCs w:val="20"/>
              </w:rPr>
              <w:t>*</w:t>
            </w:r>
          </w:p>
        </w:tc>
        <w:tc>
          <w:tcPr>
            <w:tcW w:w="627" w:type="dxa"/>
            <w:vMerge w:val="restart"/>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1.1</w:t>
            </w:r>
          </w:p>
        </w:tc>
        <w:tc>
          <w:tcPr>
            <w:tcW w:w="1105" w:type="dxa"/>
            <w:vMerge w:val="restart"/>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砌体抗压强度*</w:t>
            </w:r>
          </w:p>
        </w:tc>
        <w:tc>
          <w:tcPr>
            <w:tcW w:w="988" w:type="dxa"/>
            <w:tcBorders>
              <w:top w:val="single" w:color="auto" w:sz="4" w:space="0"/>
              <w:bottom w:val="single" w:color="auto" w:sz="4" w:space="0"/>
            </w:tcBorders>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原位轴压法</w:t>
            </w:r>
          </w:p>
        </w:tc>
        <w:tc>
          <w:tcPr>
            <w:tcW w:w="3301" w:type="dxa"/>
            <w:tcBorders>
              <w:top w:val="single" w:color="auto" w:sz="4" w:space="0"/>
              <w:bottom w:val="single" w:color="auto" w:sz="4" w:space="0"/>
            </w:tcBorders>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《砌体工程现场检测技术标准》GB/T 50315-2011</w:t>
            </w:r>
          </w:p>
        </w:tc>
        <w:tc>
          <w:tcPr>
            <w:tcW w:w="567"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p>
        </w:tc>
        <w:tc>
          <w:tcPr>
            <w:tcW w:w="1105" w:type="dxa"/>
            <w:vMerge w:val="continue"/>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p>
        </w:tc>
        <w:tc>
          <w:tcPr>
            <w:tcW w:w="988" w:type="dxa"/>
            <w:tcBorders>
              <w:top w:val="single" w:color="auto" w:sz="4" w:space="0"/>
              <w:bottom w:val="single" w:color="auto" w:sz="4" w:space="0"/>
            </w:tcBorders>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扁顶法</w:t>
            </w:r>
          </w:p>
        </w:tc>
        <w:tc>
          <w:tcPr>
            <w:tcW w:w="3301" w:type="dxa"/>
            <w:tcBorders>
              <w:top w:val="single" w:color="auto" w:sz="4" w:space="0"/>
              <w:bottom w:val="single" w:color="auto" w:sz="4" w:space="0"/>
            </w:tcBorders>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《砌体工程现场检测技术标准》GB/T 50315-2011</w:t>
            </w:r>
          </w:p>
        </w:tc>
        <w:tc>
          <w:tcPr>
            <w:tcW w:w="567"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1.2</w:t>
            </w:r>
          </w:p>
        </w:tc>
        <w:tc>
          <w:tcPr>
            <w:tcW w:w="1105" w:type="dxa"/>
            <w:vMerge w:val="restart"/>
            <w:tcBorders>
              <w:top w:val="single" w:color="auto" w:sz="4" w:space="0"/>
              <w:bottom w:val="single" w:color="auto" w:sz="4" w:space="0"/>
            </w:tcBorders>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砌体抗剪强度*</w:t>
            </w:r>
          </w:p>
        </w:tc>
        <w:tc>
          <w:tcPr>
            <w:tcW w:w="988" w:type="dxa"/>
            <w:tcBorders>
              <w:top w:val="single" w:color="auto" w:sz="4" w:space="0"/>
              <w:bottom w:val="single" w:color="auto" w:sz="4" w:space="0"/>
            </w:tcBorders>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原位单剪法</w:t>
            </w:r>
          </w:p>
        </w:tc>
        <w:tc>
          <w:tcPr>
            <w:tcW w:w="3301" w:type="dxa"/>
            <w:tcBorders>
              <w:top w:val="single" w:color="auto" w:sz="4" w:space="0"/>
              <w:bottom w:val="single" w:color="auto" w:sz="4" w:space="0"/>
            </w:tcBorders>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《砌体工程现场检测技术标准》GB/T 50315-2011</w:t>
            </w:r>
          </w:p>
        </w:tc>
        <w:tc>
          <w:tcPr>
            <w:tcW w:w="567"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Borders>
              <w:top w:val="single" w:color="auto" w:sz="4" w:space="0"/>
              <w:bottom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tcBorders>
              <w:top w:val="single" w:color="auto" w:sz="4" w:space="0"/>
            </w:tcBorders>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tcBorders>
              <w:top w:val="single" w:color="auto" w:sz="4" w:space="0"/>
            </w:tcBorders>
            <w:vAlign w:val="center"/>
          </w:tcPr>
          <w:p>
            <w:pPr>
              <w:widowControl/>
              <w:jc w:val="left"/>
              <w:textAlignment w:val="center"/>
              <w:rPr>
                <w:rFonts w:ascii="Times New Roman" w:hAnsi="Times New Roman" w:cstheme="minorEastAsia"/>
                <w:kern w:val="0"/>
                <w:sz w:val="20"/>
                <w:szCs w:val="20"/>
              </w:rPr>
            </w:pPr>
          </w:p>
        </w:tc>
        <w:tc>
          <w:tcPr>
            <w:tcW w:w="1105" w:type="dxa"/>
            <w:vMerge w:val="continue"/>
            <w:tcBorders>
              <w:top w:val="single" w:color="auto" w:sz="4" w:space="0"/>
            </w:tcBorders>
            <w:vAlign w:val="center"/>
          </w:tcPr>
          <w:p>
            <w:pPr>
              <w:widowControl/>
              <w:jc w:val="left"/>
              <w:textAlignment w:val="center"/>
              <w:rPr>
                <w:rFonts w:ascii="Times New Roman" w:hAnsi="Times New Roman" w:cstheme="minorEastAsia"/>
                <w:kern w:val="0"/>
                <w:sz w:val="20"/>
                <w:szCs w:val="20"/>
              </w:rPr>
            </w:pPr>
          </w:p>
        </w:tc>
        <w:tc>
          <w:tcPr>
            <w:tcW w:w="988" w:type="dxa"/>
            <w:tcBorders>
              <w:top w:val="single" w:color="auto" w:sz="4" w:space="0"/>
            </w:tcBorders>
            <w:vAlign w:val="center"/>
          </w:tcPr>
          <w:p>
            <w:pPr>
              <w:widowControl/>
              <w:jc w:val="center"/>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原位单砖双剪法</w:t>
            </w:r>
          </w:p>
        </w:tc>
        <w:tc>
          <w:tcPr>
            <w:tcW w:w="3301" w:type="dxa"/>
            <w:tcBorders>
              <w:top w:val="single" w:color="auto" w:sz="4" w:space="0"/>
            </w:tcBorders>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《砌体工程现场检测技术标准》GB/T 50315-2011</w:t>
            </w:r>
          </w:p>
        </w:tc>
        <w:tc>
          <w:tcPr>
            <w:tcW w:w="567"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1.3</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2</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钢筋及保护</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层厚度</w:t>
            </w:r>
            <w:r>
              <w:rPr>
                <w:rFonts w:hint="eastAsia" w:ascii="Times New Roman" w:hAnsi="Times New Roman" w:cstheme="minorEastAsia"/>
                <w:color w:val="000000"/>
                <w:kern w:val="0"/>
                <w:sz w:val="20"/>
                <w:szCs w:val="20"/>
              </w:rPr>
              <w:t>*</w:t>
            </w:r>
          </w:p>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2.1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钢筋数量*</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《混凝土中钢筋检测技术标准》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152-2019</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2.2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间距*</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《混凝土中钢筋检测技术标准》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152-2019</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2.3</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直径*</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《混凝土中钢筋检测技术标准》</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152-2019</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2.4</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锈蚀状况*</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《混凝土结构工程施工质量验收规范》GB 50204-2015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2.5</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3</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构件位置和</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尺寸*（涵盖</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砌体、混凝</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土、木结构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轴线位置*</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《混凝土结构工程施工质量验收规范》GB 50204-2015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3</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构件位置和</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尺寸*（涵盖</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砌体、混凝</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土、木结构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标高*</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3.3</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截面尺寸*</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3.4</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预埋件位置*</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3.5</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预留插筋位置及外露长度*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3.6</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垂直度*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3.7</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平整度*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3</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构件位置和</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尺寸*（涵盖</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砌体、混凝</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土、木结构</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3.8</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构件挠度*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3.9</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平面外变形* </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《混凝土结构现场检测技术标准》GB/T 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fldChar w:fldCharType="begin"/>
            </w:r>
            <w:r>
              <w:instrText xml:space="preserve"> HYPERLINK "http://www.baidu.com/link?url=GN_qUFMCxARZv45zHLz0gRho1SQ7-v-yxRCwDoQu_N249k5MI6elHSN0T6pD5_SZ2xkXCb2zVElxOiyjIgdiwq" \t "https://www.baidu.com/_blank" </w:instrText>
            </w:r>
            <w:r>
              <w:fldChar w:fldCharType="separate"/>
            </w:r>
            <w:r>
              <w:rPr>
                <w:rFonts w:hint="eastAsia" w:ascii="Times New Roman" w:hAnsi="Times New Roman" w:cstheme="minorEastAsia"/>
                <w:kern w:val="0"/>
                <w:sz w:val="20"/>
                <w:szCs w:val="20"/>
              </w:rPr>
              <w:t>木结构现场检测技术标准</w:t>
            </w:r>
            <w:r>
              <w:rPr>
                <w:rFonts w:hint="eastAsia" w:ascii="Times New Roman" w:hAnsi="Times New Roman" w:cstheme="minorEastAsia"/>
                <w:kern w:val="0"/>
                <w:sz w:val="20"/>
                <w:szCs w:val="20"/>
              </w:rPr>
              <w:fldChar w:fldCharType="end"/>
            </w:r>
            <w:r>
              <w:rPr>
                <w:rFonts w:hint="eastAsia" w:ascii="Times New Roman" w:hAnsi="Times New Roman" w:cstheme="minorEastAsia"/>
                <w:kern w:val="0"/>
                <w:sz w:val="20"/>
                <w:szCs w:val="20"/>
              </w:rPr>
              <w:t>》</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JGJ/T 488-2020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3.10</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4</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外观质量及</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内部缺陷*</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4.1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外观质量*</w:t>
            </w:r>
          </w:p>
        </w:tc>
        <w:tc>
          <w:tcPr>
            <w:tcW w:w="3301" w:type="dxa"/>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《混凝土结构现场检测技术标准》GB/T50784-2013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vAlign w:val="center"/>
          </w:tcPr>
          <w:p>
            <w:pPr>
              <w:widowControl/>
              <w:jc w:val="left"/>
              <w:textAlignment w:val="center"/>
              <w:rPr>
                <w:rFonts w:ascii="Times New Roman" w:hAnsi="Times New Roman" w:cstheme="minorEastAsia"/>
                <w:sz w:val="20"/>
                <w:szCs w:val="20"/>
              </w:rPr>
            </w:pPr>
            <w:r>
              <w:rPr>
                <w:rFonts w:hint="eastAsia" w:ascii="Times New Roman" w:hAnsi="Times New Roman" w:cstheme="minorEastAsia"/>
                <w:color w:val="000000"/>
                <w:kern w:val="0"/>
                <w:sz w:val="20"/>
                <w:szCs w:val="20"/>
              </w:rPr>
              <w:t>《超声法检测混凝土缺陷技术规程》CECS21:2000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vAlign w:val="center"/>
          </w:tcPr>
          <w:p>
            <w:pPr>
              <w:widowControl/>
              <w:jc w:val="left"/>
              <w:textAlignment w:val="center"/>
              <w:rPr>
                <w:rFonts w:ascii="Times New Roman" w:hAnsi="Times New Roman" w:cstheme="minorEastAsia"/>
                <w:sz w:val="20"/>
                <w:szCs w:val="20"/>
              </w:rPr>
            </w:pPr>
            <w:r>
              <w:rPr>
                <w:rFonts w:hint="eastAsia" w:ascii="Times New Roman" w:hAnsi="Times New Roman" w:cstheme="minorEastAsia"/>
                <w:sz w:val="20"/>
                <w:szCs w:val="20"/>
              </w:rPr>
              <w:t>《</w:t>
            </w:r>
            <w:r>
              <w:fldChar w:fldCharType="begin"/>
            </w:r>
            <w:r>
              <w:instrText xml:space="preserve"> HYPERLINK "http://www.baidu.com/link?url=ODqTsOtEZkPVhCJzGqvjEiyvef6UT_ie5qTrUt9t3RyfiRLrut-XRAz7u4mTmVOvsSeblM760KccUYuENNyqdIIHQ1lvtftbAq_O_d53r4C" \t "https://www.baidu.com/_blank" </w:instrText>
            </w:r>
            <w:r>
              <w:fldChar w:fldCharType="separate"/>
            </w:r>
            <w:r>
              <w:rPr>
                <w:rFonts w:hint="eastAsia" w:ascii="Times New Roman" w:hAnsi="Times New Roman" w:cstheme="minorEastAsia"/>
                <w:color w:val="000000"/>
                <w:kern w:val="0"/>
                <w:sz w:val="20"/>
                <w:szCs w:val="20"/>
              </w:rPr>
              <w:t>混凝土结构工程施工质量规范验收</w:t>
            </w:r>
            <w:r>
              <w:rPr>
                <w:rFonts w:hint="eastAsia" w:ascii="Times New Roman" w:hAnsi="Times New Roman" w:cstheme="minorEastAsia"/>
                <w:color w:val="000000"/>
                <w:kern w:val="0"/>
                <w:sz w:val="20"/>
                <w:szCs w:val="20"/>
              </w:rPr>
              <w:fldChar w:fldCharType="end"/>
            </w:r>
            <w:r>
              <w:rPr>
                <w:rFonts w:hint="eastAsia" w:ascii="Times New Roman" w:hAnsi="Times New Roman" w:cstheme="minorEastAsia"/>
                <w:sz w:val="20"/>
                <w:szCs w:val="20"/>
              </w:rPr>
              <w:t>》</w:t>
            </w:r>
            <w:r>
              <w:rPr>
                <w:rFonts w:hint="eastAsia" w:ascii="Times New Roman" w:hAnsi="Times New Roman" w:cstheme="minorEastAsia"/>
                <w:color w:val="000000"/>
                <w:kern w:val="0"/>
                <w:sz w:val="20"/>
                <w:szCs w:val="20"/>
              </w:rPr>
              <w:t>GB50204-2015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4.2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内部缺陷*</w:t>
            </w:r>
          </w:p>
        </w:tc>
        <w:tc>
          <w:tcPr>
            <w:tcW w:w="3301" w:type="dxa"/>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《混凝土结构现场检测技术标准》GB/T50784-2013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《超声法检测混凝土缺陷技术规程》CECS21:2000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4.3</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5</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装配式混凝</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土结构节点*</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5.1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钢筋套筒灌浆连接灌浆饱满性*</w:t>
            </w: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《装配式混凝土结构套筒灌浆质量检测技术规程》T/CECS 683-2020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 xml:space="preserve">《装配式住宅建筑检测技术标准》JGJ/T 485-2019 </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5.2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钢筋浆锚搭接连接灌浆饱满性*</w:t>
            </w: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w:t>
            </w:r>
            <w:r>
              <w:rPr>
                <w:rFonts w:hint="eastAsia"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"http://www.baidu.com/link?url=fBB6bJyfdTS4LIWqW_ptzrOZWMKhg918Dqwu8I-m4W0HAJhWN01eVPtf16uPTU_M" \t "https://www.baidu.com/_blank" </w:instrText>
            </w:r>
            <w:r>
              <w:rPr>
                <w:rFonts w:hint="eastAsia" w:ascii="Times New Roman" w:hAnsi="Times New Roman"/>
                <w:color w:val="000000" w:themeColor="text1"/>
                <w14:textFill>
                  <w14:solidFill>
                    <w14:schemeClr w14:val="tx1"/>
                  </w14:solidFill>
                </w14:textFill>
              </w:rPr>
              <w:fldChar w:fldCharType="separate"/>
            </w:r>
            <w:r>
              <w:rPr>
                <w:rFonts w:hint="eastAsia" w:ascii="Times New Roman" w:hAnsi="Times New Roman" w:cstheme="minorEastAsia"/>
                <w:color w:val="000000" w:themeColor="text1"/>
                <w:kern w:val="0"/>
                <w:sz w:val="20"/>
                <w:szCs w:val="20"/>
                <w14:textFill>
                  <w14:solidFill>
                    <w14:schemeClr w14:val="tx1"/>
                  </w14:solidFill>
                </w14:textFill>
              </w:rPr>
              <w:t>建筑结构检测技术标准》 </w:t>
            </w:r>
          </w:p>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GB/T 50344-2019</w:t>
            </w:r>
            <w:r>
              <w:rPr>
                <w:rFonts w:hint="eastAsia" w:ascii="Times New Roman" w:hAnsi="Times New Roman" w:cstheme="minorEastAsia"/>
                <w:color w:val="000000" w:themeColor="text1"/>
                <w:kern w:val="0"/>
                <w:sz w:val="20"/>
                <w:szCs w:val="20"/>
                <w14:textFill>
                  <w14:solidFill>
                    <w14:schemeClr w14:val="tx1"/>
                  </w14:solidFill>
                </w14:textFill>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 xml:space="preserve">《装配式住宅建筑检测技术标准》JGJ/T 485-2019 </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5.3</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外墙板接缝防水性能* </w:t>
            </w: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w:t>
            </w:r>
            <w:r>
              <w:rPr>
                <w:rFonts w:hint="eastAsia"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HYPERLINK "http://www.baidu.com/link?url=fBB6bJyfdTS4LIWqW_ptzrOZWMKhg918Dqwu8I-m4W0HAJhWN01eVPtf16uPTU_M" \t "https://www.baidu.com/_blank" </w:instrText>
            </w:r>
            <w:r>
              <w:rPr>
                <w:rFonts w:hint="eastAsia" w:ascii="Times New Roman" w:hAnsi="Times New Roman"/>
                <w:color w:val="000000" w:themeColor="text1"/>
                <w14:textFill>
                  <w14:solidFill>
                    <w14:schemeClr w14:val="tx1"/>
                  </w14:solidFill>
                </w14:textFill>
              </w:rPr>
              <w:fldChar w:fldCharType="separate"/>
            </w:r>
            <w:r>
              <w:rPr>
                <w:rFonts w:hint="eastAsia" w:ascii="Times New Roman" w:hAnsi="Times New Roman" w:cstheme="minorEastAsia"/>
                <w:color w:val="000000" w:themeColor="text1"/>
                <w:kern w:val="0"/>
                <w:sz w:val="20"/>
                <w:szCs w:val="20"/>
                <w14:textFill>
                  <w14:solidFill>
                    <w14:schemeClr w14:val="tx1"/>
                  </w14:solidFill>
                </w14:textFill>
              </w:rPr>
              <w:t>建筑结构检测技术标准》 </w:t>
            </w:r>
          </w:p>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GB/T 50344-2019</w:t>
            </w:r>
            <w:r>
              <w:rPr>
                <w:rFonts w:hint="eastAsia" w:ascii="Times New Roman" w:hAnsi="Times New Roman" w:cstheme="minorEastAsia"/>
                <w:color w:val="000000" w:themeColor="text1"/>
                <w:kern w:val="0"/>
                <w:sz w:val="20"/>
                <w:szCs w:val="20"/>
                <w14:textFill>
                  <w14:solidFill>
                    <w14:schemeClr w14:val="tx1"/>
                  </w14:solidFill>
                </w14:textFill>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 xml:space="preserve">《装配式混凝土结构技术规程》JGJ1-2014  </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5.4</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6</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结构构件性</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能（涵盖砌</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体、混凝土</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、木结构）*</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6.1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静载试验*</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sz w:val="20"/>
                <w:szCs w:val="20"/>
              </w:rPr>
              <w:t>《</w:t>
            </w:r>
            <w:r>
              <w:fldChar w:fldCharType="begin"/>
            </w:r>
            <w:r>
              <w:instrText xml:space="preserve"> HYPERLINK "http://www.baidu.com/link?url=ODqTsOtEZkPVhCJzGqvjEiyvef6UT_ie5qTrUt9t3RyfiRLrut-XRAz7u4mTmVOvsSeblM760KccUYuENNyqdIIHQ1lvtftbAq_O_d53r4C" \t "https://www.baidu.com/_blank" </w:instrText>
            </w:r>
            <w:r>
              <w:fldChar w:fldCharType="separate"/>
            </w:r>
            <w:r>
              <w:rPr>
                <w:rFonts w:hint="eastAsia" w:ascii="Times New Roman" w:hAnsi="Times New Roman" w:cstheme="minorEastAsia"/>
                <w:color w:val="000000"/>
                <w:kern w:val="0"/>
                <w:sz w:val="20"/>
                <w:szCs w:val="20"/>
              </w:rPr>
              <w:t>混凝土结构工程施工质量规范验收</w:t>
            </w:r>
            <w:r>
              <w:rPr>
                <w:rFonts w:hint="eastAsia" w:ascii="Times New Roman" w:hAnsi="Times New Roman" w:cstheme="minorEastAsia"/>
                <w:color w:val="000000"/>
                <w:kern w:val="0"/>
                <w:sz w:val="20"/>
                <w:szCs w:val="20"/>
              </w:rPr>
              <w:fldChar w:fldCharType="end"/>
            </w:r>
            <w:r>
              <w:rPr>
                <w:rFonts w:hint="eastAsia" w:ascii="Times New Roman" w:hAnsi="Times New Roman" w:cstheme="minorEastAsia"/>
                <w:sz w:val="20"/>
                <w:szCs w:val="20"/>
              </w:rPr>
              <w:t>》</w:t>
            </w:r>
            <w:r>
              <w:rPr>
                <w:rFonts w:hint="eastAsia" w:ascii="Times New Roman" w:hAnsi="Times New Roman" w:cstheme="minorEastAsia"/>
                <w:color w:val="000000"/>
                <w:kern w:val="0"/>
                <w:sz w:val="20"/>
                <w:szCs w:val="20"/>
              </w:rPr>
              <w:t>GB50204-2015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6.2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动力测试*</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sz w:val="20"/>
                <w:szCs w:val="20"/>
              </w:rPr>
              <w:t>《</w:t>
            </w:r>
            <w:r>
              <w:fldChar w:fldCharType="begin"/>
            </w:r>
            <w:r>
              <w:instrText xml:space="preserve"> HYPERLINK "http://www.baidu.com/link?url=ODqTsOtEZkPVhCJzGqvjEiyvef6UT_ie5qTrUt9t3RyfiRLrut-XRAz7u4mTmVOvsSeblM760KccUYuENNyqdIIHQ1lvtftbAq_O_d53r4C" \t "https://www.baidu.com/_blank" </w:instrText>
            </w:r>
            <w:r>
              <w:fldChar w:fldCharType="separate"/>
            </w:r>
            <w:r>
              <w:rPr>
                <w:rFonts w:hint="eastAsia" w:ascii="Times New Roman" w:hAnsi="Times New Roman" w:cstheme="minorEastAsia"/>
                <w:color w:val="000000"/>
                <w:kern w:val="0"/>
                <w:sz w:val="20"/>
                <w:szCs w:val="20"/>
              </w:rPr>
              <w:t>混凝土结构工程施工质量规范验收</w:t>
            </w:r>
            <w:r>
              <w:rPr>
                <w:rFonts w:hint="eastAsia" w:ascii="Times New Roman" w:hAnsi="Times New Roman" w:cstheme="minorEastAsia"/>
                <w:color w:val="000000"/>
                <w:kern w:val="0"/>
                <w:sz w:val="20"/>
                <w:szCs w:val="20"/>
              </w:rPr>
              <w:fldChar w:fldCharType="end"/>
            </w:r>
            <w:r>
              <w:rPr>
                <w:rFonts w:hint="eastAsia" w:ascii="Times New Roman" w:hAnsi="Times New Roman" w:cstheme="minorEastAsia"/>
                <w:sz w:val="20"/>
                <w:szCs w:val="20"/>
              </w:rPr>
              <w:t>》</w:t>
            </w:r>
            <w:r>
              <w:rPr>
                <w:rFonts w:hint="eastAsia" w:ascii="Times New Roman" w:hAnsi="Times New Roman" w:cstheme="minorEastAsia"/>
                <w:color w:val="000000"/>
                <w:kern w:val="0"/>
                <w:sz w:val="20"/>
                <w:szCs w:val="20"/>
              </w:rPr>
              <w:t>GB50204-2015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w:t>
            </w:r>
            <w:r>
              <w:rPr>
                <w:rFonts w:hint="eastAsia" w:ascii="Times New Roman" w:hAnsi="Times New Roman"/>
              </w:rPr>
              <w:fldChar w:fldCharType="begin"/>
            </w:r>
            <w:r>
              <w:rPr>
                <w:rFonts w:ascii="Times New Roman" w:hAnsi="Times New Roman"/>
              </w:rPr>
              <w:instrText xml:space="preserve"> HYPERLINK "http://www.baidu.com/link?url=fBB6bJyfdTS4LIWqW_ptzrOZWMKhg918Dqwu8I-m4W0HAJhWN01eVPtf16uPTU_M" \t "https://www.baidu.com/_blank" </w:instrText>
            </w:r>
            <w:r>
              <w:rPr>
                <w:rFonts w:hint="eastAsia" w:ascii="Times New Roman" w:hAnsi="Times New Roman"/>
              </w:rPr>
              <w:fldChar w:fldCharType="separate"/>
            </w:r>
            <w:r>
              <w:rPr>
                <w:rFonts w:hint="eastAsia" w:ascii="Times New Roman" w:hAnsi="Times New Roman" w:cstheme="minorEastAsia"/>
                <w:kern w:val="0"/>
                <w:sz w:val="20"/>
                <w:szCs w:val="20"/>
              </w:rPr>
              <w:t>建筑结构检测技术标准》 </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GB/T 50344-2019</w:t>
            </w:r>
            <w:r>
              <w:rPr>
                <w:rFonts w:hint="eastAsia" w:ascii="Times New Roman" w:hAnsi="Times New Roman" w:cstheme="minorEastAsia"/>
                <w:kern w:val="0"/>
                <w:sz w:val="20"/>
                <w:szCs w:val="20"/>
              </w:rPr>
              <w:fldChar w:fldCharType="end"/>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6.3</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7</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装饰装修</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工程*</w:t>
            </w: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7.1</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 xml:space="preserve">后置埋件现场拉拔力* </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《混凝土结构后锚固技术规程》JGJ145-2013</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7.2</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饰面砖粘结强度*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sz w:val="20"/>
                <w:szCs w:val="20"/>
              </w:rPr>
              <w:t>《建筑工程饰面砖粘结强度检验标准》JGJ/T110-2017</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7.3</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抹灰砂浆拉伸粘接强度*</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sz w:val="20"/>
                <w:szCs w:val="20"/>
              </w:rPr>
              <w:t>《抹灰砂浆技术规程》JGJ/T220-2010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7.4</w:t>
            </w:r>
          </w:p>
        </w:tc>
        <w:tc>
          <w:tcPr>
            <w:tcW w:w="2093" w:type="dxa"/>
            <w:gridSpan w:val="2"/>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8</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室内环境</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污染物*</w:t>
            </w: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8.1</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甲醛*</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《公共场所卫生检验方法 第2部分：化学污染物》</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18204.2-2014</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autoSpaceDE w:val="0"/>
              <w:autoSpaceDN w:val="0"/>
              <w:adjustRightInd w:val="0"/>
              <w:jc w:val="left"/>
              <w:rPr>
                <w:rFonts w:ascii="Times New Roman" w:hAnsi="Times New Roman" w:cstheme="minorEastAsia"/>
                <w:kern w:val="0"/>
                <w:sz w:val="20"/>
                <w:szCs w:val="20"/>
              </w:rPr>
            </w:pPr>
            <w:r>
              <w:rPr>
                <w:rFonts w:hint="eastAsia" w:ascii="Times New Roman" w:hAnsi="Times New Roman" w:cstheme="minorEastAsia"/>
                <w:kern w:val="0"/>
                <w:sz w:val="20"/>
                <w:szCs w:val="20"/>
              </w:rPr>
              <w:t>《居住区大气中甲醛卫生检验标准方法 分光光度法》</w:t>
            </w:r>
          </w:p>
          <w:p>
            <w:pPr>
              <w:autoSpaceDE w:val="0"/>
              <w:autoSpaceDN w:val="0"/>
              <w:adjustRightInd w:val="0"/>
              <w:jc w:val="left"/>
              <w:rPr>
                <w:rFonts w:ascii="Times New Roman" w:hAnsi="Times New Roman" w:cstheme="minorEastAsia"/>
                <w:kern w:val="0"/>
                <w:sz w:val="20"/>
                <w:szCs w:val="20"/>
              </w:rPr>
            </w:pPr>
            <w:r>
              <w:rPr>
                <w:rFonts w:hint="eastAsia" w:ascii="Times New Roman" w:hAnsi="Times New Roman" w:cstheme="minorEastAsia"/>
                <w:kern w:val="0"/>
                <w:sz w:val="20"/>
                <w:szCs w:val="20"/>
              </w:rPr>
              <w:t>GB/T 16129-1995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8.2</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氨*</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《公共场所卫生检验方法 第2部分：化学污染物》</w:t>
            </w:r>
          </w:p>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GB/T 18204.2-2014</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8.3</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TVOC*</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8.4</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苯*</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8.5</w:t>
            </w:r>
          </w:p>
        </w:tc>
        <w:tc>
          <w:tcPr>
            <w:tcW w:w="2093" w:type="dxa"/>
            <w:gridSpan w:val="2"/>
            <w:vMerge w:val="restart"/>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氡*</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Merge w:val="continue"/>
            <w:vAlign w:val="center"/>
          </w:tcPr>
          <w:p>
            <w:pPr>
              <w:widowControl/>
              <w:jc w:val="left"/>
              <w:textAlignment w:val="center"/>
              <w:rPr>
                <w:rFonts w:ascii="Times New Roman" w:hAnsi="Times New Roman" w:cstheme="minorEastAsia"/>
                <w:kern w:val="0"/>
                <w:sz w:val="20"/>
                <w:szCs w:val="20"/>
              </w:rPr>
            </w:pPr>
          </w:p>
        </w:tc>
        <w:tc>
          <w:tcPr>
            <w:tcW w:w="2093" w:type="dxa"/>
            <w:gridSpan w:val="2"/>
            <w:vMerge w:val="continue"/>
            <w:vAlign w:val="center"/>
          </w:tcPr>
          <w:p>
            <w:pPr>
              <w:widowControl/>
              <w:jc w:val="left"/>
              <w:textAlignment w:val="center"/>
              <w:rPr>
                <w:rFonts w:ascii="Times New Roman" w:hAnsi="Times New Roman" w:cstheme="minorEastAsia"/>
                <w:kern w:val="0"/>
                <w:sz w:val="20"/>
                <w:szCs w:val="20"/>
              </w:rPr>
            </w:pP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《空气中氡浓度的闪烁瓶测定方法》GB/T16147-1995</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8</w:t>
            </w:r>
          </w:p>
        </w:tc>
        <w:tc>
          <w:tcPr>
            <w:tcW w:w="1252" w:type="dxa"/>
            <w:vMerge w:val="restart"/>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室内环境</w:t>
            </w:r>
          </w:p>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污染物*</w:t>
            </w: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8.6</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甲苯*</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8.7</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二甲苯*</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8.8</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土壤中的氡*</w:t>
            </w:r>
          </w:p>
        </w:tc>
        <w:tc>
          <w:tcPr>
            <w:tcW w:w="3301" w:type="dxa"/>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《民用建筑工程室内环境污染控制标准》GB 50325-2020</w:t>
            </w: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1252" w:type="dxa"/>
            <w:vMerge w:val="continue"/>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627" w:type="dxa"/>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8.9</w:t>
            </w:r>
          </w:p>
        </w:tc>
        <w:tc>
          <w:tcPr>
            <w:tcW w:w="2093" w:type="dxa"/>
            <w:gridSpan w:val="2"/>
            <w:vAlign w:val="center"/>
          </w:tcPr>
          <w:p>
            <w:pPr>
              <w:widowControl/>
              <w:jc w:val="left"/>
              <w:textAlignment w:val="center"/>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3301" w:type="dxa"/>
          </w:tcPr>
          <w:p>
            <w:pPr>
              <w:widowControl/>
              <w:jc w:val="left"/>
              <w:textAlignment w:val="center"/>
              <w:rPr>
                <w:rFonts w:ascii="Times New Roman" w:hAnsi="Times New Roman" w:cstheme="minorEastAsia"/>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Align w:val="center"/>
          </w:tcPr>
          <w:p>
            <w:pPr>
              <w:widowControl/>
              <w:wordWrap w:val="0"/>
              <w:snapToGrid w:val="0"/>
              <w:spacing w:before="120" w:line="300" w:lineRule="atLeast"/>
              <w:ind w:right="-336" w:firstLine="200" w:firstLineChars="100"/>
              <w:rPr>
                <w:rFonts w:ascii="Times New Roman" w:hAnsi="Times New Roman" w:cstheme="minorEastAsia"/>
                <w:kern w:val="0"/>
                <w:sz w:val="20"/>
                <w:szCs w:val="20"/>
              </w:rPr>
            </w:pPr>
            <w:r>
              <w:rPr>
                <w:rFonts w:hint="eastAsia" w:ascii="Times New Roman" w:hAnsi="Times New Roman" w:cstheme="minorEastAsia"/>
                <w:kern w:val="0"/>
                <w:sz w:val="20"/>
                <w:szCs w:val="20"/>
              </w:rPr>
              <w:t>9</w:t>
            </w:r>
          </w:p>
        </w:tc>
        <w:tc>
          <w:tcPr>
            <w:tcW w:w="1252" w:type="dxa"/>
            <w:vAlign w:val="center"/>
          </w:tcPr>
          <w:p>
            <w:pPr>
              <w:widowControl/>
              <w:wordWrap w:val="0"/>
              <w:snapToGrid w:val="0"/>
              <w:spacing w:before="120" w:line="300" w:lineRule="atLeast"/>
              <w:ind w:right="-336"/>
              <w:jc w:val="left"/>
              <w:rPr>
                <w:rFonts w:ascii="Times New Roman" w:hAnsi="Times New Roman" w:cstheme="minorEastAsia"/>
                <w:kern w:val="0"/>
                <w:sz w:val="20"/>
                <w:szCs w:val="20"/>
              </w:rPr>
            </w:pPr>
            <w:r>
              <w:rPr>
                <w:rFonts w:hint="eastAsia" w:ascii="Times New Roman" w:hAnsi="Times New Roman" w:cstheme="minorEastAsia"/>
                <w:kern w:val="0"/>
                <w:sz w:val="20"/>
                <w:szCs w:val="20"/>
              </w:rPr>
              <w:t>其它</w:t>
            </w:r>
            <w:r>
              <w:rPr>
                <w:rFonts w:hint="eastAsia" w:ascii="Times New Roman" w:hAnsi="Times New Roman" w:cstheme="minorEastAsia"/>
                <w:color w:val="000000"/>
                <w:kern w:val="0"/>
                <w:sz w:val="20"/>
                <w:szCs w:val="20"/>
              </w:rPr>
              <w:t>*</w:t>
            </w:r>
          </w:p>
        </w:tc>
        <w:tc>
          <w:tcPr>
            <w:tcW w:w="627" w:type="dxa"/>
            <w:vAlign w:val="center"/>
          </w:tcPr>
          <w:p>
            <w:pPr>
              <w:widowControl/>
              <w:wordWrap w:val="0"/>
              <w:snapToGrid w:val="0"/>
              <w:spacing w:before="120" w:line="300" w:lineRule="atLeast"/>
              <w:ind w:right="-336"/>
              <w:rPr>
                <w:rFonts w:ascii="Times New Roman" w:hAnsi="Times New Roman" w:cstheme="minorEastAsia"/>
                <w:kern w:val="0"/>
                <w:sz w:val="20"/>
                <w:szCs w:val="20"/>
              </w:rPr>
            </w:pPr>
          </w:p>
        </w:tc>
        <w:tc>
          <w:tcPr>
            <w:tcW w:w="2093" w:type="dxa"/>
            <w:gridSpan w:val="2"/>
            <w:vAlign w:val="center"/>
          </w:tcPr>
          <w:p>
            <w:pPr>
              <w:widowControl/>
              <w:jc w:val="left"/>
              <w:textAlignment w:val="center"/>
              <w:rPr>
                <w:rFonts w:ascii="Times New Roman" w:hAnsi="Times New Roman" w:cstheme="minorEastAsia"/>
                <w:color w:val="000000"/>
                <w:kern w:val="0"/>
                <w:sz w:val="20"/>
                <w:szCs w:val="20"/>
              </w:rPr>
            </w:pPr>
          </w:p>
        </w:tc>
        <w:tc>
          <w:tcPr>
            <w:tcW w:w="3301" w:type="dxa"/>
          </w:tcPr>
          <w:p>
            <w:pPr>
              <w:widowControl/>
              <w:jc w:val="left"/>
              <w:textAlignment w:val="center"/>
              <w:rPr>
                <w:rFonts w:ascii="Times New Roman" w:hAnsi="Times New Roman" w:cstheme="minorEastAsia"/>
                <w:color w:val="000000"/>
                <w:kern w:val="0"/>
                <w:sz w:val="20"/>
                <w:szCs w:val="20"/>
              </w:rPr>
            </w:pPr>
          </w:p>
        </w:tc>
        <w:tc>
          <w:tcPr>
            <w:tcW w:w="567"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721"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c>
          <w:tcPr>
            <w:tcW w:w="588" w:type="dxa"/>
          </w:tcPr>
          <w:p>
            <w:pPr>
              <w:widowControl/>
              <w:wordWrap w:val="0"/>
              <w:snapToGrid w:val="0"/>
              <w:spacing w:before="120" w:line="300" w:lineRule="atLeast"/>
              <w:ind w:right="-336"/>
              <w:jc w:val="left"/>
              <w:rPr>
                <w:rFonts w:ascii="Times New Roman" w:hAnsi="Times New Roman" w:cstheme="minorEastAsia"/>
                <w:kern w:val="0"/>
                <w:sz w:val="20"/>
                <w:szCs w:val="20"/>
              </w:rPr>
            </w:pPr>
          </w:p>
        </w:tc>
      </w:tr>
    </w:tbl>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三、钢结构检测项目/参数能力表（必选）</w:t>
      </w:r>
    </w:p>
    <w:tbl>
      <w:tblPr>
        <w:tblStyle w:val="7"/>
        <w:tblW w:w="10177" w:type="dxa"/>
        <w:tblInd w:w="-448" w:type="dxa"/>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54"/>
        <w:gridCol w:w="1228"/>
        <w:gridCol w:w="678"/>
        <w:gridCol w:w="723"/>
        <w:gridCol w:w="1026"/>
        <w:gridCol w:w="3749"/>
        <w:gridCol w:w="650"/>
        <w:gridCol w:w="916"/>
        <w:gridCol w:w="553"/>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2" w:hRule="atLeast"/>
          <w:tblHeader/>
        </w:trPr>
        <w:tc>
          <w:tcPr>
            <w:tcW w:w="10177" w:type="dxa"/>
            <w:gridSpan w:val="9"/>
            <w:tcBorders>
              <w:top w:val="nil"/>
              <w:left w:val="nil"/>
              <w:bottom w:val="single" w:color="auto" w:sz="4" w:space="0"/>
              <w:right w:val="nil"/>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6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22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检测项目</w:t>
            </w:r>
          </w:p>
        </w:tc>
        <w:tc>
          <w:tcPr>
            <w:tcW w:w="2427"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374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56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654"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749" w:type="dxa"/>
            <w:gridSpan w:val="2"/>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3749" w:type="dxa"/>
            <w:vMerge w:val="continue"/>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650"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916"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553" w:type="dxa"/>
            <w:vMerge w:val="continue"/>
            <w:tcBorders>
              <w:top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122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钢材及焊接</w:t>
            </w: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1749"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屈服强度</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《金属材料拉伸试验第1部分：室温试验方法》GB/T228.1-2021</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22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749" w:type="dxa"/>
            <w:gridSpan w:val="2"/>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 熔化焊接头焊缝金属纵向拉伸试验》GB/T2652-2022</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1749"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抗拉强度</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《金属材料拉伸试验第1部分：室温试验方法》GB/T228.1-2021</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749" w:type="dxa"/>
            <w:gridSpan w:val="2"/>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 熔化焊接头焊缝金属纵向拉伸试验》GB/T2652-2022</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1749"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伸长率</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《金属材料拉伸试验第1部分：室温试验方法》GB/T228.1-2021</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749" w:type="dxa"/>
            <w:gridSpan w:val="2"/>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《金属材料焊缝破坏性试验 熔化焊接头焊缝金属纵向拉伸试验》GB/T2652-2022</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1749"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厚度偏差</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《热轧钢板和钢带的尺寸、外形、重量及允许偏差》GB/T709-2019</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749" w:type="dxa"/>
            <w:gridSpan w:val="2"/>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《钢结构现场检测技术标准》GB/T50621-2010</w:t>
            </w:r>
          </w:p>
        </w:tc>
        <w:tc>
          <w:tcPr>
            <w:tcW w:w="650"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122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w:t>
            </w: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w:t>
            </w:r>
          </w:p>
        </w:tc>
        <w:tc>
          <w:tcPr>
            <w:tcW w:w="723"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102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磁粉法</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《焊缝无损检测磁粉检测》GB/T26951-2011</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22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723"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《焊缝无损检测焊缝磁粉检测验收等级》GB/T26952-2011</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22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723"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《钢结构现场检测技术标准》GB/T50621-2010</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23"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2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渗透法</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《无损检测渗透检测》GB/T18851-2012</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2.2</w:t>
            </w:r>
          </w:p>
        </w:tc>
        <w:tc>
          <w:tcPr>
            <w:tcW w:w="723"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内部缺陷探伤</w:t>
            </w:r>
          </w:p>
        </w:tc>
        <w:tc>
          <w:tcPr>
            <w:tcW w:w="102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超声法</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《钢结构超声波探伤及质量分级法》JG/T203-2007</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723"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《焊缝无损检测超声检测技术、检测等级和评定》GB/T11345-2013</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723"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《焊缝无损检测超声检测焊缝中的显示特征》GB/T29711-2013</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723" w:type="dxa"/>
            <w:vMerge w:val="continue"/>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《焊缝无损检测超声检测验收等级》GB/T29712-2013</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23"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2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射线法</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《焊缝无损检测 射线检测第1部分：X和伽玛射线的胶片技术》GB/T3323.1-2019</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23"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2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《焊缝无损检测 射线检测第2部分：使用数字化探测器X和伽玛射线技术》GB/T3323.2-2019</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w:t>
            </w:r>
          </w:p>
        </w:tc>
        <w:tc>
          <w:tcPr>
            <w:tcW w:w="122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钢结构防腐</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及防火涂装</w:t>
            </w:r>
          </w:p>
        </w:tc>
        <w:tc>
          <w:tcPr>
            <w:tcW w:w="678"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w:t>
            </w:r>
          </w:p>
        </w:tc>
        <w:tc>
          <w:tcPr>
            <w:tcW w:w="1749"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涂层厚度</w:t>
            </w:r>
          </w:p>
        </w:tc>
        <w:tc>
          <w:tcPr>
            <w:tcW w:w="3749"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《钢结构工程施工质量验收标准》GB50205-2020</w:t>
            </w:r>
          </w:p>
        </w:tc>
        <w:tc>
          <w:tcPr>
            <w:tcW w:w="650" w:type="dxa"/>
            <w:vMerge w:val="restart"/>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916" w:type="dxa"/>
            <w:vMerge w:val="restart"/>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553" w:type="dxa"/>
            <w:vMerge w:val="restart"/>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749"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50" w:type="dxa"/>
            <w:vMerge w:val="continue"/>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916" w:type="dxa"/>
            <w:vMerge w:val="continue"/>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553" w:type="dxa"/>
            <w:vMerge w:val="continue"/>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749"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《热喷涂涂层厚度的无损测量方法》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GB/T11374-2012</w:t>
            </w:r>
          </w:p>
        </w:tc>
        <w:tc>
          <w:tcPr>
            <w:tcW w:w="650"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749"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9" w:type="dxa"/>
            <w:tcBorders>
              <w:tl2br w:val="nil"/>
              <w:tr2bl w:val="nil"/>
            </w:tcBorders>
            <w:shd w:val="clear" w:color="auto" w:fill="auto"/>
            <w:vAlign w:val="center"/>
          </w:tcPr>
          <w:p>
            <w:pPr>
              <w:jc w:val="left"/>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《钢结构现场检测技术标准》GB/T50621-2010</w:t>
            </w:r>
          </w:p>
        </w:tc>
        <w:tc>
          <w:tcPr>
            <w:tcW w:w="650"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122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高强度螺栓</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及普通紧固件</w:t>
            </w:r>
          </w:p>
        </w:tc>
        <w:tc>
          <w:tcPr>
            <w:tcW w:w="678"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w:t>
            </w:r>
          </w:p>
        </w:tc>
        <w:tc>
          <w:tcPr>
            <w:tcW w:w="1749"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抗滑移系数</w:t>
            </w:r>
          </w:p>
        </w:tc>
        <w:tc>
          <w:tcPr>
            <w:tcW w:w="3749" w:type="dxa"/>
            <w:tcBorders>
              <w:tl2br w:val="nil"/>
              <w:tr2bl w:val="nil"/>
            </w:tcBorders>
            <w:shd w:val="clear" w:color="auto" w:fill="auto"/>
            <w:noWrap/>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《钢结构工程施工质量验收标准》GB50205-2020</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2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678"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4.2</w:t>
            </w:r>
          </w:p>
        </w:tc>
        <w:tc>
          <w:tcPr>
            <w:tcW w:w="1749"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硬度</w:t>
            </w:r>
          </w:p>
        </w:tc>
        <w:tc>
          <w:tcPr>
            <w:tcW w:w="3749"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《金属材料洛氏硬度试验第1部分：试验方法》GB/T230.1-2018</w:t>
            </w:r>
          </w:p>
        </w:tc>
        <w:tc>
          <w:tcPr>
            <w:tcW w:w="650"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916" w:type="dxa"/>
            <w:tcBorders>
              <w:tl2br w:val="nil"/>
              <w:tr2bl w:val="nil"/>
            </w:tcBorders>
            <w:shd w:val="clear" w:color="auto" w:fill="auto"/>
            <w:noWrap/>
            <w:vAlign w:val="center"/>
          </w:tcPr>
          <w:p>
            <w:pPr>
              <w:rPr>
                <w:rFonts w:ascii="Times New Roman" w:hAnsi="Times New Roman" w:cstheme="minorEastAsia"/>
                <w:color w:val="000000"/>
                <w:sz w:val="20"/>
                <w:szCs w:val="20"/>
              </w:rPr>
            </w:pPr>
          </w:p>
        </w:tc>
        <w:tc>
          <w:tcPr>
            <w:tcW w:w="55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 xml:space="preserve"> 三、钢结构检测项目/参数能力表（可选）</w:t>
      </w:r>
    </w:p>
    <w:tbl>
      <w:tblPr>
        <w:tblStyle w:val="7"/>
        <w:tblW w:w="10246" w:type="dxa"/>
        <w:tblInd w:w="-516" w:type="dxa"/>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46"/>
        <w:gridCol w:w="1183"/>
        <w:gridCol w:w="822"/>
        <w:gridCol w:w="1677"/>
        <w:gridCol w:w="3722"/>
        <w:gridCol w:w="628"/>
        <w:gridCol w:w="859"/>
        <w:gridCol w:w="509"/>
      </w:tblGrid>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10246" w:type="dxa"/>
            <w:gridSpan w:val="8"/>
            <w:tcBorders>
              <w:top w:val="nil"/>
              <w:left w:val="nil"/>
              <w:bottom w:val="single" w:color="auto" w:sz="4" w:space="0"/>
              <w:right w:val="nil"/>
              <w:tl2br w:val="nil"/>
              <w:tr2bl w:val="nil"/>
            </w:tcBorders>
            <w:shd w:val="clear" w:color="auto" w:fill="auto"/>
            <w:vAlign w:val="center"/>
          </w:tcPr>
          <w:p>
            <w:pPr>
              <w:widowControl/>
              <w:ind w:firstLine="240" w:firstLineChars="100"/>
              <w:textAlignment w:val="center"/>
              <w:rPr>
                <w:rFonts w:ascii="Times New Roman" w:hAnsi="Times New Roman" w:eastAsia="宋体" w:cs="宋体"/>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84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18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检测项目</w:t>
            </w:r>
          </w:p>
        </w:tc>
        <w:tc>
          <w:tcPr>
            <w:tcW w:w="249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检测参数</w:t>
            </w:r>
          </w:p>
        </w:tc>
        <w:tc>
          <w:tcPr>
            <w:tcW w:w="3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检测标准</w:t>
            </w:r>
          </w:p>
        </w:tc>
        <w:tc>
          <w:tcPr>
            <w:tcW w:w="148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确认结果</w:t>
            </w:r>
          </w:p>
        </w:tc>
        <w:tc>
          <w:tcPr>
            <w:tcW w:w="5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说明</w:t>
            </w: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2" w:hRule="atLeast"/>
          <w:tblHeader/>
        </w:trPr>
        <w:tc>
          <w:tcPr>
            <w:tcW w:w="846"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op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677"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名称</w:t>
            </w:r>
          </w:p>
        </w:tc>
        <w:tc>
          <w:tcPr>
            <w:tcW w:w="3722"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（方法）</w:t>
            </w:r>
          </w:p>
        </w:tc>
        <w:tc>
          <w:tcPr>
            <w:tcW w:w="628"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通过</w:t>
            </w:r>
          </w:p>
        </w:tc>
        <w:tc>
          <w:tcPr>
            <w:tcW w:w="859"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不通过</w:t>
            </w:r>
          </w:p>
        </w:tc>
        <w:tc>
          <w:tcPr>
            <w:tcW w:w="509" w:type="dxa"/>
            <w:vMerge w:val="continue"/>
            <w:tcBorders>
              <w:top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w:t>
            </w:r>
          </w:p>
        </w:tc>
        <w:tc>
          <w:tcPr>
            <w:tcW w:w="1183"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钢材及焊接材料*</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1.1</w:t>
            </w:r>
          </w:p>
        </w:tc>
        <w:tc>
          <w:tcPr>
            <w:tcW w:w="1677"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断面收缩率*</w:t>
            </w: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《厚度方向性能钢板》GB/T5313-2010</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jc w:val="left"/>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《金属材料拉伸试验第1部分：室温试验方法》GB/T228.1-2021</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1.2</w:t>
            </w:r>
          </w:p>
        </w:tc>
        <w:tc>
          <w:tcPr>
            <w:tcW w:w="1677"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硬度*</w:t>
            </w: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《金属材料洛氏硬度试验第1部分：试验方法》GB/T230.1-2018</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1.3</w:t>
            </w:r>
          </w:p>
        </w:tc>
        <w:tc>
          <w:tcPr>
            <w:tcW w:w="1677"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冲击韧性*</w:t>
            </w: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《金属材料夏比摆锤冲击试验方法》GB/T229-2020</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jc w:val="left"/>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《金属材料焊缝破坏性试验冲击试验》GB/T2650-2022</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1.4</w:t>
            </w:r>
          </w:p>
        </w:tc>
        <w:tc>
          <w:tcPr>
            <w:tcW w:w="1677"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冷弯性能*</w:t>
            </w: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《金属材料弯曲试验方法》GB/T232-2010</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jc w:val="left"/>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《焊接接头弯曲试验方法》GB/T2653-2008</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1.5</w:t>
            </w:r>
          </w:p>
        </w:tc>
        <w:tc>
          <w:tcPr>
            <w:tcW w:w="1677" w:type="dxa"/>
            <w:vMerge w:val="restart"/>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钢材元素含量（钢材化学分析C、S、P）*</w:t>
            </w: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《钢铁及合金化学分析方法管式炉内燃烧后碘酸钾滴定法测定硫含量》GB/T223.68-1997</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jc w:val="left"/>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《钢铁及合金磷含量的测定铋磷钼蓝分光光度法和锑磷钼蓝分光光度法》GB/T223.59-2008</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jc w:val="left"/>
              <w:rPr>
                <w:rFonts w:ascii="Times New Roman" w:hAnsi="Times New Roman" w:eastAsia="宋体" w:cs="宋体"/>
                <w:color w:val="000000"/>
                <w:kern w:val="0"/>
                <w:sz w:val="20"/>
                <w:szCs w:val="20"/>
              </w:rPr>
            </w:pPr>
          </w:p>
        </w:tc>
        <w:tc>
          <w:tcPr>
            <w:tcW w:w="3722" w:type="dxa"/>
            <w:tcBorders>
              <w:tl2br w:val="nil"/>
              <w:tr2bl w:val="nil"/>
            </w:tcBorders>
            <w:shd w:val="clear" w:color="auto" w:fill="auto"/>
          </w:tcPr>
          <w:p>
            <w:pPr>
              <w:widowControl/>
              <w:jc w:val="left"/>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《钢铁及合金碳含量的测定管式炉内燃烧后气体容量法》GB/T223.69-2008</w:t>
            </w: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1.6</w:t>
            </w:r>
          </w:p>
        </w:tc>
        <w:tc>
          <w:tcPr>
            <w:tcW w:w="1677"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628"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焊缝*</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2.1</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尺寸*</w:t>
            </w:r>
          </w:p>
        </w:tc>
        <w:tc>
          <w:tcPr>
            <w:tcW w:w="3722"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2.2</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钢结构防腐及防火涂装*</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3.1</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涂料粘结强度*</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《热喷涂 金属和其它无机覆盖层锌、铝及其合金》GB/T9793-2012</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《钢结构防火涂料》GB14907-2018</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3.2</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涂料抗压强度*</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《钢结构防火涂料》GB14907-2018</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3.3</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涂层附着力*</w:t>
            </w:r>
          </w:p>
        </w:tc>
        <w:tc>
          <w:tcPr>
            <w:tcW w:w="3722" w:type="dxa"/>
            <w:tcBorders>
              <w:tl2br w:val="nil"/>
              <w:tr2bl w:val="nil"/>
            </w:tcBorders>
            <w:shd w:val="clear" w:color="auto" w:fill="auto"/>
            <w:noWrap/>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《漆膜划圈试验》GB/T1720-2020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3.4</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高强度螺栓及普通紧固件*</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4.1</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紧固轴力*</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《钢结构用扭剪型高强度螺栓连接副》GB/T3632-2008</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4.2</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扭矩系数*</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《钢结构用高强度大六角头螺栓、大六角螺母、垫圈技术条件》GB/T1231-2006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4.3</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最小拉力载荷（普通紧固件）*</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《金属材料拉伸试验第1部分：室温试验方法》GB/T228.1-2021</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《紧固件机械性能螺栓、螺钉和螺柱》GB/T3098.1-2010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4.4</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构件位置与尺寸*</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5.1</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垂直度*</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5.2</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弯曲矢高*</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w:t>
            </w:r>
          </w:p>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GB 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5.3</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侧向弯曲*</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《建筑结构检测技术标准》</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GB/T 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w:t>
            </w:r>
          </w:p>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GB/T 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5.4</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结构挠度*</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restart"/>
            <w:tcBorders>
              <w:top w:val="single" w:color="auto" w:sz="4" w:space="0"/>
              <w:tl2br w:val="nil"/>
              <w:tr2bl w:val="nil"/>
            </w:tcBorders>
            <w:shd w:val="clear" w:color="auto" w:fill="auto"/>
            <w:noWrap/>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w:t>
            </w:r>
          </w:p>
        </w:tc>
        <w:tc>
          <w:tcPr>
            <w:tcW w:w="1183" w:type="dxa"/>
            <w:vMerge w:val="restart"/>
            <w:tcBorders>
              <w:top w:val="single" w:color="auto" w:sz="4" w:space="0"/>
              <w:tl2br w:val="nil"/>
              <w:tr2bl w:val="nil"/>
            </w:tcBorders>
            <w:shd w:val="clear" w:color="auto" w:fill="auto"/>
            <w:noWrap/>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构件位置与尺寸*</w:t>
            </w:r>
          </w:p>
        </w:tc>
        <w:tc>
          <w:tcPr>
            <w:tcW w:w="822"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5.4</w:t>
            </w:r>
          </w:p>
        </w:tc>
        <w:tc>
          <w:tcPr>
            <w:tcW w:w="1677" w:type="dxa"/>
            <w:vMerge w:val="restart"/>
            <w:tcBorders>
              <w:top w:val="single" w:color="auto" w:sz="4" w:space="0"/>
              <w:tl2br w:val="nil"/>
              <w:tr2bl w:val="nil"/>
            </w:tcBorders>
            <w:shd w:val="clear" w:color="auto" w:fill="auto"/>
            <w:vAlign w:val="center"/>
          </w:tcPr>
          <w:p>
            <w:pP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结构挠度*</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5.5</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轴线位置*</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5.6</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标高*</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《建筑变形测量规程》JGJ8-2016</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5.7</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截面尺寸*</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noWrap/>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5.8</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6</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结构构件性能*</w:t>
            </w: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6.1</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静载试验*</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183" w:type="dxa"/>
            <w:vMerge w:val="continue"/>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6.2</w:t>
            </w:r>
          </w:p>
        </w:tc>
        <w:tc>
          <w:tcPr>
            <w:tcW w:w="1677" w:type="dxa"/>
            <w:vMerge w:val="restart"/>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动力测试*</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《建筑结构检测技术标准》GB/T50344-2019</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677" w:type="dxa"/>
            <w:vMerge w:val="continue"/>
            <w:tcBorders>
              <w:tl2br w:val="nil"/>
              <w:tr2bl w:val="nil"/>
            </w:tcBorders>
            <w:shd w:val="clear" w:color="auto" w:fill="auto"/>
            <w:vAlign w:val="center"/>
          </w:tcPr>
          <w:p>
            <w:pPr>
              <w:rPr>
                <w:rFonts w:ascii="Times New Roman" w:hAnsi="Times New Roman" w:eastAsia="宋体" w:cs="宋体"/>
                <w:color w:val="000000"/>
                <w:kern w:val="0"/>
                <w:sz w:val="20"/>
                <w:szCs w:val="20"/>
              </w:rPr>
            </w:pP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《钢结构现场检测技术标准》GB/T50621-2010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6.3</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7</w:t>
            </w:r>
          </w:p>
        </w:tc>
        <w:tc>
          <w:tcPr>
            <w:tcW w:w="1183" w:type="dxa"/>
            <w:vMerge w:val="restart"/>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金属屋面*</w:t>
            </w: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7.1</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静态压力抗风掀*</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7.2</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动态压力抗风掀 *</w:t>
            </w:r>
          </w:p>
        </w:tc>
        <w:tc>
          <w:tcPr>
            <w:tcW w:w="3722"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《钢结构工程施工质量验收标准》GB50205-2020</w:t>
            </w: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183"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22"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7.3</w:t>
            </w: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37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4"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846" w:type="dxa"/>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8</w:t>
            </w:r>
          </w:p>
        </w:tc>
        <w:tc>
          <w:tcPr>
            <w:tcW w:w="118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8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677"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722"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28"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85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c>
          <w:tcPr>
            <w:tcW w:w="509"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bl>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 xml:space="preserve"> 四、地基基础检测项目/参数能力表（必选）</w:t>
      </w:r>
    </w:p>
    <w:tbl>
      <w:tblPr>
        <w:tblStyle w:val="7"/>
        <w:tblW w:w="10522" w:type="dxa"/>
        <w:tblInd w:w="-692" w:type="dxa"/>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Layout w:type="fixed"/>
        <w:tblCellMar>
          <w:top w:w="0" w:type="dxa"/>
          <w:left w:w="108" w:type="dxa"/>
          <w:bottom w:w="0" w:type="dxa"/>
          <w:right w:w="108" w:type="dxa"/>
        </w:tblCellMar>
      </w:tblPr>
      <w:tblGrid>
        <w:gridCol w:w="635"/>
        <w:gridCol w:w="1275"/>
        <w:gridCol w:w="624"/>
        <w:gridCol w:w="538"/>
        <w:gridCol w:w="1038"/>
        <w:gridCol w:w="4233"/>
        <w:gridCol w:w="683"/>
        <w:gridCol w:w="846"/>
        <w:gridCol w:w="6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340" w:hRule="atLeast"/>
          <w:tblHeader/>
        </w:trPr>
        <w:tc>
          <w:tcPr>
            <w:tcW w:w="10522" w:type="dxa"/>
            <w:gridSpan w:val="9"/>
            <w:tcBorders>
              <w:top w:val="nil"/>
              <w:left w:val="nil"/>
              <w:bottom w:val="single" w:color="auto" w:sz="4" w:space="0"/>
              <w:right w:val="nil"/>
              <w:tl2br w:val="nil"/>
              <w:tr2bl w:val="nil"/>
            </w:tcBorders>
            <w:shd w:val="clear" w:color="auto" w:fill="auto"/>
            <w:vAlign w:val="center"/>
          </w:tcPr>
          <w:p>
            <w:pPr>
              <w:widowControl/>
              <w:ind w:firstLine="240" w:firstLineChars="100"/>
              <w:textAlignment w:val="center"/>
              <w:rPr>
                <w:rFonts w:ascii="Times New Roman" w:hAnsi="Times New Roman" w:eastAsia="宋体" w:cs="宋体"/>
                <w:color w:val="000000"/>
                <w:kern w:val="0"/>
                <w:sz w:val="22"/>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272" w:hRule="atLeast"/>
          <w:tblHeader/>
        </w:trPr>
        <w:tc>
          <w:tcPr>
            <w:tcW w:w="63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2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检测项目</w:t>
            </w:r>
          </w:p>
        </w:tc>
        <w:tc>
          <w:tcPr>
            <w:tcW w:w="220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检测参数</w:t>
            </w:r>
          </w:p>
        </w:tc>
        <w:tc>
          <w:tcPr>
            <w:tcW w:w="42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检测标准</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（方法）</w:t>
            </w:r>
          </w:p>
        </w:tc>
        <w:tc>
          <w:tcPr>
            <w:tcW w:w="152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确认结果</w:t>
            </w:r>
          </w:p>
        </w:tc>
        <w:tc>
          <w:tcPr>
            <w:tcW w:w="6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2"/>
              </w:rPr>
            </w:pPr>
            <w:r>
              <w:rPr>
                <w:rFonts w:hint="eastAsia" w:ascii="Times New Roman" w:hAnsi="Times New Roman" w:eastAsia="宋体" w:cs="宋体"/>
                <w:color w:val="000000"/>
                <w:kern w:val="0"/>
                <w:sz w:val="22"/>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272" w:hRule="atLeast"/>
          <w:tblHeader/>
        </w:trPr>
        <w:tc>
          <w:tcPr>
            <w:tcW w:w="635"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op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576" w:type="dxa"/>
            <w:gridSpan w:val="2"/>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名称</w:t>
            </w:r>
          </w:p>
        </w:tc>
        <w:tc>
          <w:tcPr>
            <w:tcW w:w="4233" w:type="dxa"/>
            <w:vMerge w:val="continue"/>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683"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通过</w:t>
            </w:r>
          </w:p>
        </w:tc>
        <w:tc>
          <w:tcPr>
            <w:tcW w:w="846"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不通过</w:t>
            </w:r>
          </w:p>
        </w:tc>
        <w:tc>
          <w:tcPr>
            <w:tcW w:w="650" w:type="dxa"/>
            <w:vMerge w:val="continue"/>
            <w:tcBorders>
              <w:top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w:t>
            </w:r>
          </w:p>
        </w:tc>
        <w:tc>
          <w:tcPr>
            <w:tcW w:w="127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地基及复合地基</w:t>
            </w: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1.1</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承载力</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静载试验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《建筑地基基础设计规范》GB 50007-2011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《建筑地基检测技术规范》JGJ 340-2015</w:t>
            </w:r>
          </w:p>
        </w:tc>
        <w:tc>
          <w:tcPr>
            <w:tcW w:w="683" w:type="dxa"/>
            <w:tcBorders>
              <w:tl2br w:val="nil"/>
              <w:tr2bl w:val="nil"/>
            </w:tcBorders>
            <w:shd w:val="clear" w:color="auto" w:fill="auto"/>
            <w:vAlign w:val="center"/>
          </w:tcPr>
          <w:p>
            <w:pPr>
              <w:rPr>
                <w:rFonts w:ascii="Times New Roman" w:hAnsi="Times New Roman" w:eastAsia="宋体" w:cs="宋体"/>
                <w:color w:val="FF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《建筑地基处理技术规范》JGJ 79-2012</w:t>
            </w:r>
          </w:p>
        </w:tc>
        <w:tc>
          <w:tcPr>
            <w:tcW w:w="683" w:type="dxa"/>
            <w:tcBorders>
              <w:tl2br w:val="nil"/>
              <w:tr2bl w:val="nil"/>
            </w:tcBorders>
            <w:shd w:val="clear" w:color="auto" w:fill="auto"/>
            <w:vAlign w:val="center"/>
          </w:tcPr>
          <w:p>
            <w:pPr>
              <w:rPr>
                <w:rFonts w:ascii="Times New Roman" w:hAnsi="Times New Roman" w:eastAsia="宋体" w:cs="宋体"/>
                <w:color w:val="FF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《四川省建筑地基基础检测技术规程》DBJ51/014-2021</w:t>
            </w:r>
          </w:p>
        </w:tc>
        <w:tc>
          <w:tcPr>
            <w:tcW w:w="683" w:type="dxa"/>
            <w:tcBorders>
              <w:tl2br w:val="nil"/>
              <w:tr2bl w:val="nil"/>
            </w:tcBorders>
            <w:shd w:val="clear" w:color="auto" w:fill="auto"/>
            <w:vAlign w:val="center"/>
          </w:tcPr>
          <w:p>
            <w:pPr>
              <w:rPr>
                <w:rFonts w:ascii="Times New Roman" w:hAnsi="Times New Roman" w:eastAsia="宋体" w:cs="宋体"/>
                <w:color w:val="FF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1.2</w:t>
            </w: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动力触探试验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w:t>
            </w:r>
            <w:r>
              <w:rPr>
                <w:rStyle w:val="16"/>
                <w:rFonts w:hint="default" w:ascii="Times New Roman" w:hAnsi="Times New Roman"/>
              </w:rPr>
              <w:t>岩土工程勘察规范[2009年版]</w:t>
            </w:r>
            <w:r>
              <w:rPr>
                <w:rFonts w:hint="eastAsia" w:ascii="Times New Roman" w:hAnsi="Times New Roman" w:eastAsia="宋体" w:cs="宋体"/>
                <w:color w:val="000000"/>
                <w:kern w:val="0"/>
                <w:sz w:val="20"/>
                <w:szCs w:val="20"/>
              </w:rPr>
              <w:t>》</w:t>
            </w:r>
          </w:p>
          <w:p>
            <w:pPr>
              <w:widowControl/>
              <w:jc w:val="left"/>
              <w:textAlignment w:val="center"/>
              <w:rPr>
                <w:rFonts w:ascii="Times New Roman" w:hAnsi="Times New Roman" w:eastAsia="宋体" w:cs="宋体"/>
                <w:sz w:val="20"/>
                <w:szCs w:val="20"/>
              </w:rPr>
            </w:pPr>
            <w:r>
              <w:rPr>
                <w:rStyle w:val="16"/>
                <w:rFonts w:hint="default" w:ascii="Times New Roman" w:hAnsi="Times New Roman"/>
              </w:rPr>
              <w:t>GB 50021-2001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Style w:val="16"/>
                <w:rFonts w:hint="default" w:ascii="Times New Roman" w:hAnsi="Times New Roman"/>
              </w:rPr>
            </w:pPr>
            <w:r>
              <w:rPr>
                <w:rFonts w:hint="eastAsia" w:ascii="Times New Roman" w:hAnsi="Times New Roman" w:eastAsia="宋体" w:cs="宋体"/>
                <w:color w:val="000000"/>
                <w:kern w:val="0"/>
                <w:sz w:val="20"/>
                <w:szCs w:val="20"/>
              </w:rPr>
              <w:t>《</w:t>
            </w:r>
            <w:r>
              <w:rPr>
                <w:rStyle w:val="16"/>
                <w:rFonts w:hint="default" w:ascii="Times New Roman" w:hAnsi="Times New Roman"/>
              </w:rPr>
              <w:t>土工试验方法标准</w:t>
            </w:r>
            <w:r>
              <w:rPr>
                <w:rFonts w:hint="eastAsia" w:ascii="Times New Roman" w:hAnsi="Times New Roman" w:eastAsia="宋体" w:cs="宋体"/>
                <w:color w:val="000000"/>
                <w:kern w:val="0"/>
                <w:sz w:val="20"/>
                <w:szCs w:val="20"/>
              </w:rPr>
              <w:t>》</w:t>
            </w:r>
            <w:r>
              <w:rPr>
                <w:rStyle w:val="16"/>
                <w:rFonts w:hint="default" w:ascii="Times New Roman" w:hAnsi="Times New Roman"/>
              </w:rPr>
              <w:t>GB/T 50123-2019</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Style w:val="16"/>
                <w:rFonts w:hint="default" w:ascii="Times New Roman" w:hAnsi="Times New Roman"/>
              </w:rPr>
            </w:pPr>
            <w:r>
              <w:rPr>
                <w:rFonts w:hint="eastAsia" w:ascii="Times New Roman" w:hAnsi="Times New Roman" w:eastAsia="宋体" w:cs="宋体"/>
                <w:color w:val="000000"/>
                <w:kern w:val="0"/>
                <w:sz w:val="20"/>
                <w:szCs w:val="20"/>
              </w:rPr>
              <w:t>《</w:t>
            </w:r>
            <w:r>
              <w:rPr>
                <w:rStyle w:val="16"/>
                <w:rFonts w:hint="default" w:ascii="Times New Roman" w:hAnsi="Times New Roman"/>
              </w:rPr>
              <w:t>建筑地基检测技术规范</w:t>
            </w:r>
            <w:r>
              <w:rPr>
                <w:rFonts w:hint="eastAsia" w:ascii="Times New Roman" w:hAnsi="Times New Roman" w:eastAsia="宋体" w:cs="宋体"/>
                <w:color w:val="000000"/>
                <w:kern w:val="0"/>
                <w:sz w:val="20"/>
                <w:szCs w:val="20"/>
              </w:rPr>
              <w:t>》</w:t>
            </w:r>
            <w:r>
              <w:rPr>
                <w:rStyle w:val="16"/>
                <w:rFonts w:hint="default" w:ascii="Times New Roman" w:hAnsi="Times New Roman"/>
              </w:rPr>
              <w:t>JGJ 340-2015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Style w:val="16"/>
                <w:rFonts w:hint="default" w:ascii="Times New Roman" w:hAnsi="Times New Roman"/>
              </w:rPr>
            </w:pPr>
            <w:r>
              <w:rPr>
                <w:rFonts w:hint="eastAsia" w:ascii="Times New Roman" w:hAnsi="Times New Roman" w:eastAsia="宋体" w:cs="宋体"/>
                <w:color w:val="000000"/>
                <w:kern w:val="0"/>
                <w:sz w:val="20"/>
                <w:szCs w:val="20"/>
              </w:rPr>
              <w:t>《</w:t>
            </w:r>
            <w:r>
              <w:rPr>
                <w:rStyle w:val="16"/>
                <w:rFonts w:hint="default" w:ascii="Times New Roman" w:hAnsi="Times New Roman"/>
              </w:rPr>
              <w:t>四川省建筑地基基础检测技术规程</w:t>
            </w:r>
            <w:r>
              <w:rPr>
                <w:rFonts w:hint="eastAsia" w:ascii="Times New Roman" w:hAnsi="Times New Roman" w:eastAsia="宋体" w:cs="宋体"/>
                <w:color w:val="000000"/>
                <w:kern w:val="0"/>
                <w:sz w:val="20"/>
                <w:szCs w:val="20"/>
              </w:rPr>
              <w:t>》</w:t>
            </w:r>
            <w:r>
              <w:rPr>
                <w:rStyle w:val="16"/>
                <w:rFonts w:hint="default" w:ascii="Times New Roman" w:hAnsi="Times New Roman"/>
              </w:rPr>
              <w:t>DBJ51/014-2021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w:t>
            </w:r>
          </w:p>
        </w:tc>
        <w:tc>
          <w:tcPr>
            <w:tcW w:w="127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桩的承载力</w:t>
            </w: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2.1</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水平承载力</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静载试验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《建筑地基基础设计规范》GB 50007-2011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2.2</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竖向抗压承载力</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静载试验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FF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FF0000"/>
                <w:kern w:val="0"/>
                <w:sz w:val="20"/>
                <w:szCs w:val="20"/>
              </w:rPr>
            </w:pPr>
            <w:r>
              <w:rPr>
                <w:rFonts w:hint="eastAsia" w:ascii="Times New Roman" w:hAnsi="Times New Roman" w:eastAsia="宋体" w:cs="宋体"/>
                <w:color w:val="000000"/>
                <w:kern w:val="0"/>
                <w:sz w:val="20"/>
                <w:szCs w:val="20"/>
              </w:rPr>
              <w:t>《四川省建筑地基基础检测技术规程》DBJ51</w:t>
            </w:r>
            <w:r>
              <w:rPr>
                <w:rStyle w:val="16"/>
                <w:rFonts w:hint="default" w:ascii="Times New Roman" w:hAnsi="Times New Roman"/>
              </w:rPr>
              <w:t>/</w:t>
            </w:r>
            <w:r>
              <w:rPr>
                <w:rFonts w:hint="eastAsia" w:ascii="Times New Roman" w:hAnsi="Times New Roman" w:eastAsia="宋体" w:cs="宋体"/>
                <w:color w:val="000000"/>
                <w:kern w:val="0"/>
                <w:sz w:val="20"/>
                <w:szCs w:val="20"/>
              </w:rPr>
              <w:t>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自平衡</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《建筑基桩自平衡静载试验技术规程》</w:t>
            </w:r>
          </w:p>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JGJ/T 403-2017</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kern w:val="0"/>
                <w:sz w:val="20"/>
                <w:szCs w:val="20"/>
              </w:rPr>
              <w:t>《四川省基桩承载力自平衡法测试技术规程》DBJ51/T045-2015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kern w:val="0"/>
                <w:sz w:val="20"/>
                <w:szCs w:val="20"/>
              </w:rPr>
              <w:t>《</w:t>
            </w:r>
            <w:r>
              <w:rPr>
                <w:rFonts w:ascii="Times New Roman" w:hAnsi="Times New Roman" w:eastAsia="宋体" w:cs="宋体"/>
                <w:color w:val="000000" w:themeColor="text1"/>
                <w:kern w:val="0"/>
                <w:sz w:val="20"/>
                <w:szCs w:val="20"/>
                <w14:textFill>
                  <w14:solidFill>
                    <w14:schemeClr w14:val="tx1"/>
                  </w14:solidFill>
                </w14:textFill>
              </w:rPr>
              <w:t>基桩静载试验自平衡法</w:t>
            </w:r>
            <w:r>
              <w:rPr>
                <w:rFonts w:hint="eastAsia" w:ascii="Times New Roman" w:hAnsi="Times New Roman" w:eastAsia="宋体" w:cs="宋体"/>
                <w:color w:val="000000"/>
                <w:kern w:val="0"/>
                <w:sz w:val="20"/>
                <w:szCs w:val="20"/>
              </w:rPr>
              <w:t>》</w:t>
            </w:r>
            <w:r>
              <w:rPr>
                <w:rFonts w:hint="eastAsia" w:ascii="Times New Roman" w:hAnsi="Times New Roman" w:eastAsia="宋体" w:cs="宋体"/>
                <w:color w:val="000000" w:themeColor="text1"/>
                <w:kern w:val="0"/>
                <w:sz w:val="20"/>
                <w:szCs w:val="20"/>
                <w14:textFill>
                  <w14:solidFill>
                    <w14:schemeClr w14:val="tx1"/>
                  </w14:solidFill>
                </w14:textFill>
              </w:rPr>
              <w:t>JT/T 738-2009</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高应变法</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2.3</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竖向抗拔承载力</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静载试验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482"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w:t>
            </w:r>
            <w:r>
              <w:rPr>
                <w:rStyle w:val="16"/>
                <w:rFonts w:hint="default" w:ascii="Times New Roman" w:hAnsi="Times New Roman"/>
              </w:rPr>
              <w:t>/</w:t>
            </w:r>
            <w:r>
              <w:rPr>
                <w:rFonts w:hint="eastAsia" w:ascii="Times New Roman" w:hAnsi="Times New Roman" w:eastAsia="宋体" w:cs="宋体"/>
                <w:color w:val="000000"/>
                <w:kern w:val="0"/>
                <w:sz w:val="20"/>
                <w:szCs w:val="20"/>
              </w:rPr>
              <w:t>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w:t>
            </w:r>
          </w:p>
        </w:tc>
        <w:tc>
          <w:tcPr>
            <w:tcW w:w="127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桩身完整性</w:t>
            </w: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3.1</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桩身完整性</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低应变法</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《建筑地基检测技术规范》JGJ 340-2015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w:t>
            </w:r>
            <w:r>
              <w:rPr>
                <w:rStyle w:val="16"/>
                <w:rFonts w:hint="default" w:ascii="Times New Roman" w:hAnsi="Times New Roman"/>
              </w:rPr>
              <w:t>/</w:t>
            </w:r>
            <w:r>
              <w:rPr>
                <w:rFonts w:hint="eastAsia" w:ascii="Times New Roman" w:hAnsi="Times New Roman" w:eastAsia="宋体" w:cs="宋体"/>
                <w:color w:val="000000"/>
                <w:kern w:val="0"/>
                <w:sz w:val="20"/>
                <w:szCs w:val="20"/>
              </w:rPr>
              <w:t>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声波透射法</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FF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w:t>
            </w:r>
            <w:r>
              <w:rPr>
                <w:rStyle w:val="16"/>
                <w:rFonts w:hint="default" w:ascii="Times New Roman" w:hAnsi="Times New Roman"/>
              </w:rPr>
              <w:t>/</w:t>
            </w:r>
            <w:r>
              <w:rPr>
                <w:rFonts w:hint="eastAsia" w:ascii="Times New Roman" w:hAnsi="Times New Roman" w:eastAsia="宋体" w:cs="宋体"/>
                <w:color w:val="000000"/>
                <w:kern w:val="0"/>
                <w:sz w:val="20"/>
                <w:szCs w:val="20"/>
              </w:rPr>
              <w:t>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钻芯法</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《建筑基桩检测技术规范》JGJ 106-2014</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《建筑地基检测技术规范》JGJ 340-2015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275"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24"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538"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《钻芯法检测混凝土强度技术规程》</w:t>
            </w:r>
          </w:p>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JGJ/T 384-2016</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w:t>
            </w:r>
          </w:p>
        </w:tc>
        <w:tc>
          <w:tcPr>
            <w:tcW w:w="1275"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锚杆抗拔承载力</w:t>
            </w:r>
          </w:p>
        </w:tc>
        <w:tc>
          <w:tcPr>
            <w:tcW w:w="624"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4.1</w:t>
            </w:r>
          </w:p>
        </w:tc>
        <w:tc>
          <w:tcPr>
            <w:tcW w:w="5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锚杆抗拔承载力</w:t>
            </w:r>
          </w:p>
        </w:tc>
        <w:tc>
          <w:tcPr>
            <w:tcW w:w="1038" w:type="dxa"/>
            <w:vMerge w:val="restart"/>
            <w:tcBorders>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拉拔试验</w:t>
            </w: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《建筑地基基础设计规范》GB 50007-2011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《四川省建筑地基基础检测技术规程》DBJ51/014-2021</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《四川省建筑地下结构抗浮锚杆技术标准》DBJ51/T102-2018</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《岩土锚杆与喷射混凝土支护工程技术规范》GB 50086-2015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《建筑边坡工程技术规范》 GB 50330-2013</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《建筑基坑支护技术规程》JGJ 120-2012</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《锚杆检测与监测技术规程》JGJ/T 401-2017</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《高压喷射扩大头锚杆技术规程》</w:t>
            </w:r>
          </w:p>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JGJ/T 282-2012</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《建筑工程抗浮技术标准》JGJ 476-2019</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4" w:space="0"/>
          </w:tblBorders>
          <w:tblCellMar>
            <w:top w:w="0" w:type="dxa"/>
            <w:left w:w="108" w:type="dxa"/>
            <w:bottom w:w="0" w:type="dxa"/>
            <w:right w:w="108" w:type="dxa"/>
          </w:tblCellMar>
        </w:tblPrEx>
        <w:trPr>
          <w:trHeight w:val="567" w:hRule="atLeast"/>
        </w:trPr>
        <w:tc>
          <w:tcPr>
            <w:tcW w:w="63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275"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624"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5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1038" w:type="dxa"/>
            <w:vMerge w:val="continue"/>
            <w:tcBorders>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p>
        </w:tc>
        <w:tc>
          <w:tcPr>
            <w:tcW w:w="4233"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《岩土锚杆(索)技术规程》CECS 22-2005</w:t>
            </w:r>
          </w:p>
        </w:tc>
        <w:tc>
          <w:tcPr>
            <w:tcW w:w="683"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46"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50" w:type="dxa"/>
            <w:tcBorders>
              <w:tl2br w:val="nil"/>
              <w:tr2bl w:val="nil"/>
            </w:tcBorders>
            <w:shd w:val="clear" w:color="auto" w:fill="auto"/>
            <w:vAlign w:val="center"/>
          </w:tcPr>
          <w:p>
            <w:pPr>
              <w:rPr>
                <w:rFonts w:ascii="Times New Roman" w:hAnsi="Times New Roman" w:eastAsia="宋体" w:cs="宋体"/>
                <w:color w:val="000000"/>
                <w:sz w:val="22"/>
              </w:rPr>
            </w:pPr>
          </w:p>
        </w:tc>
      </w:tr>
    </w:tbl>
    <w:p>
      <w:pPr>
        <w:widowControl/>
        <w:shd w:val="clear" w:color="auto" w:fill="FFFFFF"/>
        <w:wordWrap w:val="0"/>
        <w:spacing w:line="440" w:lineRule="atLeast"/>
        <w:ind w:left="1593" w:firstLine="281" w:firstLineChars="100"/>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widowControl/>
        <w:shd w:val="clear" w:color="auto" w:fill="FFFFFF"/>
        <w:wordWrap w:val="0"/>
        <w:spacing w:line="440" w:lineRule="atLeast"/>
        <w:ind w:left="1593" w:firstLine="281" w:firstLineChars="100"/>
        <w:rPr>
          <w:rFonts w:ascii="Times New Roman" w:hAnsi="Times New Roman" w:eastAsia="宋体" w:cs="宋体"/>
          <w:b/>
          <w:kern w:val="0"/>
          <w:sz w:val="28"/>
          <w:szCs w:val="28"/>
        </w:rPr>
      </w:pPr>
    </w:p>
    <w:p>
      <w:pPr>
        <w:widowControl/>
        <w:shd w:val="clear" w:color="auto" w:fill="FFFFFF"/>
        <w:wordWrap w:val="0"/>
        <w:spacing w:line="440" w:lineRule="atLeast"/>
        <w:ind w:left="1593" w:firstLine="281" w:firstLineChars="100"/>
        <w:rPr>
          <w:rFonts w:ascii="Times New Roman" w:hAnsi="Times New Roman" w:eastAsia="宋体" w:cs="宋体"/>
          <w:b/>
          <w:kern w:val="0"/>
          <w:sz w:val="28"/>
          <w:szCs w:val="28"/>
        </w:rPr>
      </w:pPr>
      <w:r>
        <w:rPr>
          <w:rFonts w:hint="eastAsia" w:ascii="Times New Roman" w:hAnsi="Times New Roman" w:eastAsia="宋体" w:cs="宋体"/>
          <w:b/>
          <w:kern w:val="0"/>
          <w:sz w:val="28"/>
          <w:szCs w:val="28"/>
        </w:rPr>
        <w:t>四、地基基础检测项目/参数能力表（可选）</w:t>
      </w:r>
    </w:p>
    <w:tbl>
      <w:tblPr>
        <w:tblStyle w:val="7"/>
        <w:tblW w:w="94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40"/>
        <w:gridCol w:w="990"/>
        <w:gridCol w:w="630"/>
        <w:gridCol w:w="703"/>
        <w:gridCol w:w="830"/>
        <w:gridCol w:w="3537"/>
        <w:gridCol w:w="675"/>
        <w:gridCol w:w="885"/>
        <w:gridCol w:w="6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atLeast"/>
          <w:tblHeader/>
          <w:jc w:val="center"/>
        </w:trPr>
        <w:tc>
          <w:tcPr>
            <w:tcW w:w="9450" w:type="dxa"/>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Style w:val="16"/>
                <w:rFonts w:hint="default" w:ascii="Times New Roman" w:hAnsi="Times New Roman"/>
                <w:lang w:bidi="ar"/>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tblHeader/>
          <w:jc w:val="center"/>
        </w:trPr>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4"/>
                <w:szCs w:val="24"/>
              </w:rPr>
            </w:pPr>
            <w:r>
              <w:rPr>
                <w:rStyle w:val="16"/>
                <w:rFonts w:hint="default" w:ascii="Times New Roman" w:hAnsi="Times New Roman"/>
                <w:lang w:bidi="ar"/>
              </w:rPr>
              <w:t>序号</w:t>
            </w:r>
          </w:p>
        </w:tc>
        <w:tc>
          <w:tcPr>
            <w:tcW w:w="9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Style w:val="16"/>
                <w:rFonts w:hint="default" w:ascii="Times New Roman" w:hAnsi="Times New Roman"/>
                <w:lang w:bidi="ar"/>
              </w:rPr>
            </w:pPr>
            <w:r>
              <w:rPr>
                <w:rStyle w:val="16"/>
                <w:rFonts w:hint="default" w:ascii="Times New Roman" w:hAnsi="Times New Roman"/>
                <w:lang w:bidi="ar"/>
              </w:rPr>
              <w:t>检测</w:t>
            </w:r>
          </w:p>
          <w:p>
            <w:pPr>
              <w:widowControl/>
              <w:jc w:val="center"/>
              <w:textAlignment w:val="center"/>
              <w:rPr>
                <w:rFonts w:ascii="Times New Roman" w:hAnsi="Times New Roman" w:eastAsia="宋体" w:cs="宋体"/>
                <w:color w:val="000000"/>
                <w:sz w:val="24"/>
                <w:szCs w:val="24"/>
              </w:rPr>
            </w:pPr>
            <w:r>
              <w:rPr>
                <w:rStyle w:val="16"/>
                <w:rFonts w:hint="default" w:ascii="Times New Roman" w:hAnsi="Times New Roman"/>
                <w:lang w:bidi="ar"/>
              </w:rPr>
              <w:t>项目</w:t>
            </w:r>
          </w:p>
        </w:tc>
        <w:tc>
          <w:tcPr>
            <w:tcW w:w="2163"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400" w:firstLineChars="200"/>
              <w:textAlignment w:val="center"/>
              <w:rPr>
                <w:rFonts w:ascii="Times New Roman" w:hAnsi="Times New Roman" w:eastAsia="宋体" w:cs="宋体"/>
                <w:color w:val="000000"/>
                <w:sz w:val="24"/>
                <w:szCs w:val="24"/>
              </w:rPr>
            </w:pPr>
            <w:r>
              <w:rPr>
                <w:rStyle w:val="16"/>
                <w:rFonts w:hint="default" w:ascii="Times New Roman" w:hAnsi="Times New Roman"/>
                <w:lang w:bidi="ar"/>
              </w:rPr>
              <w:t>检测参数</w:t>
            </w:r>
          </w:p>
        </w:tc>
        <w:tc>
          <w:tcPr>
            <w:tcW w:w="353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4"/>
                <w:szCs w:val="24"/>
              </w:rPr>
            </w:pPr>
            <w:r>
              <w:rPr>
                <w:rStyle w:val="16"/>
                <w:rFonts w:hint="default" w:ascii="Times New Roman" w:hAnsi="Times New Roman"/>
                <w:lang w:bidi="ar"/>
              </w:rPr>
              <w:t>检测标准（方法）</w:t>
            </w:r>
          </w:p>
        </w:tc>
        <w:tc>
          <w:tcPr>
            <w:tcW w:w="15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4"/>
                <w:szCs w:val="24"/>
              </w:rPr>
            </w:pPr>
            <w:r>
              <w:rPr>
                <w:rStyle w:val="16"/>
                <w:rFonts w:hint="default" w:ascii="Times New Roman" w:hAnsi="Times New Roman"/>
                <w:lang w:bidi="ar"/>
              </w:rPr>
              <w:t>确认结果</w:t>
            </w:r>
          </w:p>
        </w:tc>
        <w:tc>
          <w:tcPr>
            <w:tcW w:w="66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4"/>
                <w:szCs w:val="24"/>
              </w:rPr>
            </w:pPr>
            <w:r>
              <w:rPr>
                <w:rStyle w:val="16"/>
                <w:rFonts w:hint="default" w:ascii="Times New Roman" w:hAnsi="Times New Roman"/>
                <w:lang w:bidi="ar"/>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540"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eastAsia="宋体" w:cs="宋体"/>
                <w:color w:val="000000"/>
                <w:sz w:val="24"/>
                <w:szCs w:val="24"/>
              </w:rPr>
            </w:pPr>
          </w:p>
        </w:tc>
        <w:tc>
          <w:tcPr>
            <w:tcW w:w="990" w:type="dxa"/>
            <w:vMerge w:val="continue"/>
            <w:tcBorders>
              <w:top w:val="single" w:color="auto" w:sz="4" w:space="0"/>
              <w:tl2br w:val="nil"/>
              <w:tr2bl w:val="nil"/>
            </w:tcBorders>
            <w:shd w:val="clear" w:color="auto" w:fill="auto"/>
            <w:vAlign w:val="center"/>
          </w:tcPr>
          <w:p>
            <w:pPr>
              <w:jc w:val="center"/>
              <w:rPr>
                <w:rFonts w:ascii="Times New Roman" w:hAnsi="Times New Roman" w:eastAsia="宋体" w:cs="宋体"/>
                <w:color w:val="000000"/>
                <w:sz w:val="24"/>
                <w:szCs w:val="24"/>
              </w:rPr>
            </w:pPr>
          </w:p>
        </w:tc>
        <w:tc>
          <w:tcPr>
            <w:tcW w:w="630"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4"/>
                <w:szCs w:val="24"/>
              </w:rPr>
            </w:pPr>
            <w:r>
              <w:rPr>
                <w:rStyle w:val="16"/>
                <w:rFonts w:hint="default" w:ascii="Times New Roman" w:hAnsi="Times New Roman"/>
                <w:lang w:bidi="ar"/>
              </w:rPr>
              <w:t>序号</w:t>
            </w:r>
          </w:p>
        </w:tc>
        <w:tc>
          <w:tcPr>
            <w:tcW w:w="1533" w:type="dxa"/>
            <w:gridSpan w:val="2"/>
            <w:tcBorders>
              <w:top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4"/>
                <w:szCs w:val="24"/>
              </w:rPr>
            </w:pPr>
            <w:r>
              <w:rPr>
                <w:rStyle w:val="16"/>
                <w:rFonts w:hint="default" w:ascii="Times New Roman" w:hAnsi="Times New Roman"/>
                <w:lang w:bidi="ar"/>
              </w:rPr>
              <w:t>名称</w:t>
            </w:r>
          </w:p>
        </w:tc>
        <w:tc>
          <w:tcPr>
            <w:tcW w:w="3537" w:type="dxa"/>
            <w:vMerge w:val="continue"/>
            <w:tcBorders>
              <w:top w:val="single" w:color="auto" w:sz="4" w:space="0"/>
              <w:tl2br w:val="nil"/>
              <w:tr2bl w:val="nil"/>
            </w:tcBorders>
            <w:shd w:val="clear" w:color="auto" w:fill="auto"/>
            <w:vAlign w:val="center"/>
          </w:tcPr>
          <w:p>
            <w:pPr>
              <w:jc w:val="left"/>
              <w:rPr>
                <w:rFonts w:ascii="Times New Roman" w:hAnsi="Times New Roman" w:eastAsia="宋体" w:cs="宋体"/>
                <w:color w:val="000000"/>
                <w:sz w:val="24"/>
                <w:szCs w:val="24"/>
              </w:rPr>
            </w:pPr>
          </w:p>
        </w:tc>
        <w:tc>
          <w:tcPr>
            <w:tcW w:w="675"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4"/>
                <w:szCs w:val="24"/>
              </w:rPr>
            </w:pPr>
            <w:r>
              <w:rPr>
                <w:rStyle w:val="16"/>
                <w:rFonts w:hint="default" w:ascii="Times New Roman" w:hAnsi="Times New Roman"/>
                <w:lang w:bidi="ar"/>
              </w:rPr>
              <w:t>通过</w:t>
            </w:r>
          </w:p>
        </w:tc>
        <w:tc>
          <w:tcPr>
            <w:tcW w:w="885"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4"/>
                <w:szCs w:val="24"/>
              </w:rPr>
            </w:pPr>
            <w:r>
              <w:rPr>
                <w:rStyle w:val="16"/>
                <w:rFonts w:hint="default" w:ascii="Times New Roman" w:hAnsi="Times New Roman"/>
                <w:lang w:bidi="ar"/>
              </w:rPr>
              <w:t>不通过</w:t>
            </w:r>
          </w:p>
        </w:tc>
        <w:tc>
          <w:tcPr>
            <w:tcW w:w="660" w:type="dxa"/>
            <w:vMerge w:val="continue"/>
            <w:tcBorders>
              <w:top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w:t>
            </w:r>
          </w:p>
        </w:tc>
        <w:tc>
          <w:tcPr>
            <w:tcW w:w="99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地基及复合地基*</w:t>
            </w: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1.1</w:t>
            </w:r>
          </w:p>
        </w:tc>
        <w:tc>
          <w:tcPr>
            <w:tcW w:w="703" w:type="dxa"/>
            <w:vMerge w:val="restart"/>
            <w:tcBorders>
              <w:tl2br w:val="nil"/>
              <w:tr2bl w:val="nil"/>
            </w:tcBorders>
            <w:shd w:val="clear" w:color="auto" w:fill="auto"/>
            <w:vAlign w:val="center"/>
          </w:tcPr>
          <w:p>
            <w:pPr>
              <w:widowControl/>
              <w:jc w:val="center"/>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压实系数</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p>
        </w:tc>
        <w:tc>
          <w:tcPr>
            <w:tcW w:w="8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环刀法</w:t>
            </w: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灌砂法</w:t>
            </w: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其它</w:t>
            </w:r>
          </w:p>
        </w:tc>
        <w:tc>
          <w:tcPr>
            <w:tcW w:w="3537"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1.2</w:t>
            </w:r>
          </w:p>
        </w:tc>
        <w:tc>
          <w:tcPr>
            <w:tcW w:w="1533"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地基土强度*</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《建筑地基基础设计规范》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GB 50007-2011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《岩土工程勘察规范[2009年版]》</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GB 50021-2001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《复合地基技术规范》GB/T 50783-2012</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《四川省建筑地基基础检测技术规程》DBJ51/014-2021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1533"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《建筑地基处理技术规范》JGJ 79-2012</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1.3</w:t>
            </w:r>
          </w:p>
        </w:tc>
        <w:tc>
          <w:tcPr>
            <w:tcW w:w="703"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密实度*</w:t>
            </w: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动力触探试验</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《岩土工程勘察规范[2009年版]》</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GB 50021-2001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《四川省建筑地基基础检测技术规程DBJ51/014-2021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标准贯入试验</w:t>
            </w: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《岩土工程勘察规范[2009年版]》</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GB 50021-2001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54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《四川省建筑地基基础检测技术规程》DBJ 51 014-2021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w:t>
            </w:r>
          </w:p>
        </w:tc>
        <w:tc>
          <w:tcPr>
            <w:tcW w:w="99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地基及复合地基*</w:t>
            </w: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1.4</w:t>
            </w:r>
          </w:p>
        </w:tc>
        <w:tc>
          <w:tcPr>
            <w:tcW w:w="703" w:type="dxa"/>
            <w:vMerge w:val="restart"/>
            <w:tcBorders>
              <w:tl2br w:val="nil"/>
              <w:tr2bl w:val="nil"/>
            </w:tcBorders>
            <w:shd w:val="clear" w:color="auto" w:fill="auto"/>
            <w:vAlign w:val="center"/>
          </w:tcPr>
          <w:p>
            <w:pPr>
              <w:widowControl/>
              <w:jc w:val="center"/>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变形模量</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原位测试</w:t>
            </w: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《土工试验方法标准》GB/T 50123-2019</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《岩土工程勘察规范[2009年版]》</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GB 50021-2001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《四川省建筑地基基础检测技术规程》DBJ51/014-2021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1.5</w:t>
            </w:r>
          </w:p>
        </w:tc>
        <w:tc>
          <w:tcPr>
            <w:tcW w:w="703" w:type="dxa"/>
            <w:vMerge w:val="restart"/>
            <w:tcBorders>
              <w:tl2br w:val="nil"/>
              <w:tr2bl w:val="nil"/>
            </w:tcBorders>
            <w:shd w:val="clear" w:color="auto" w:fill="auto"/>
            <w:vAlign w:val="center"/>
          </w:tcPr>
          <w:p>
            <w:pPr>
              <w:widowControl/>
              <w:jc w:val="center"/>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增强体强度</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钻芯法</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《建筑基桩检测技术规范》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106-2014</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《四川省建筑地基基础检测技术规程》DBJ51/014-2021</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《钻芯法检测混凝土强度技术规程》JGJ/T 384-2016</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1.6</w:t>
            </w:r>
          </w:p>
        </w:tc>
        <w:tc>
          <w:tcPr>
            <w:tcW w:w="703" w:type="dxa"/>
            <w:tcBorders>
              <w:tl2br w:val="nil"/>
              <w:tr2bl w:val="nil"/>
            </w:tcBorders>
            <w:shd w:val="clear" w:color="auto" w:fill="auto"/>
            <w:vAlign w:val="center"/>
          </w:tcPr>
          <w:p>
            <w:pPr>
              <w:widowControl/>
              <w:jc w:val="center"/>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其它</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p>
        </w:tc>
        <w:tc>
          <w:tcPr>
            <w:tcW w:w="830" w:type="dxa"/>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2</w:t>
            </w:r>
          </w:p>
        </w:tc>
        <w:tc>
          <w:tcPr>
            <w:tcW w:w="990"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地下连续墙*</w:t>
            </w: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3.1</w:t>
            </w:r>
          </w:p>
        </w:tc>
        <w:tc>
          <w:tcPr>
            <w:tcW w:w="703"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kern w:val="0"/>
                <w:sz w:val="20"/>
                <w:szCs w:val="20"/>
                <w:lang w:bidi="ar"/>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墙身完整性</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w:t>
            </w:r>
          </w:p>
        </w:tc>
        <w:tc>
          <w:tcPr>
            <w:tcW w:w="8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声波透射法</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《建筑基桩检测技术规范》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106-2014</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钻芯法</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《建筑基桩检测技术规范》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106-2014</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r>
              <w:rPr>
                <w:rStyle w:val="18"/>
                <w:rFonts w:hint="default" w:ascii="Times New Roman" w:hAnsi="Times New Roman" w:eastAsiaTheme="minorEastAsia" w:cstheme="minorEastAsia"/>
                <w:color w:val="000000" w:themeColor="text1"/>
                <w:sz w:val="20"/>
                <w:szCs w:val="20"/>
                <w:lang w:bidi="ar"/>
                <w14:textFill>
                  <w14:solidFill>
                    <w14:schemeClr w14:val="tx1"/>
                  </w14:solidFill>
                </w14:textFill>
              </w:rPr>
              <w:t>建筑地基检测技术规范</w:t>
            </w:r>
            <w:r>
              <w:rPr>
                <w:rStyle w:val="17"/>
                <w:rFonts w:hint="default" w:ascii="Times New Roman" w:hAnsi="Times New Roman" w:eastAsiaTheme="minorEastAsia" w:cstheme="minorEastAsia"/>
                <w:color w:val="000000" w:themeColor="text1"/>
                <w:lang w:bidi="ar"/>
                <w14:textFill>
                  <w14:solidFill>
                    <w14:schemeClr w14:val="tx1"/>
                  </w14:solidFill>
                </w14:textFill>
              </w:rPr>
              <w:t>》</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8"/>
                <w:rFonts w:hint="default" w:ascii="Times New Roman" w:hAnsi="Times New Roman" w:eastAsiaTheme="minorEastAsia" w:cstheme="minorEastAsia"/>
                <w:color w:val="000000" w:themeColor="text1"/>
                <w:sz w:val="20"/>
                <w:szCs w:val="20"/>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《钻芯法检测混凝土强度技术规程》JGJ/T 384-2016</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3.2</w:t>
            </w:r>
          </w:p>
        </w:tc>
        <w:tc>
          <w:tcPr>
            <w:tcW w:w="703"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墙身混凝土强度*</w:t>
            </w:r>
          </w:p>
        </w:tc>
        <w:tc>
          <w:tcPr>
            <w:tcW w:w="83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钻芯法</w:t>
            </w: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《建筑基桩检测技术规范》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106-2014</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《建筑地基检测技术规范》</w:t>
            </w:r>
          </w:p>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JGJ 340-2015</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703"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830" w:type="dxa"/>
            <w:vMerge w:val="continue"/>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《钻芯法检测混凝土强度技术规程》JGJ/T 384-2016</w:t>
            </w: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0"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63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3.3</w:t>
            </w:r>
          </w:p>
        </w:tc>
        <w:tc>
          <w:tcPr>
            <w:tcW w:w="703" w:type="dxa"/>
            <w:tcBorders>
              <w:tl2br w:val="nil"/>
              <w:tr2bl w:val="nil"/>
            </w:tcBorders>
            <w:shd w:val="clear" w:color="auto" w:fill="auto"/>
            <w:vAlign w:val="center"/>
          </w:tcPr>
          <w:p>
            <w:pPr>
              <w:widowControl/>
              <w:jc w:val="center"/>
              <w:textAlignment w:val="center"/>
              <w:rPr>
                <w:rStyle w:val="17"/>
                <w:rFonts w:hint="default" w:ascii="Times New Roman" w:hAnsi="Times New Roman" w:eastAsiaTheme="minorEastAsia" w:cstheme="minorEastAsia"/>
                <w:color w:val="000000" w:themeColor="text1"/>
                <w:lang w:bidi="ar"/>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其它</w:t>
            </w:r>
          </w:p>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w:t>
            </w:r>
          </w:p>
        </w:tc>
        <w:tc>
          <w:tcPr>
            <w:tcW w:w="830" w:type="dxa"/>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7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60" w:type="dxa"/>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540"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lang w:bidi="ar"/>
                <w14:textFill>
                  <w14:solidFill>
                    <w14:schemeClr w14:val="tx1"/>
                  </w14:solidFill>
                </w14:textFill>
              </w:rPr>
              <w:t>3</w:t>
            </w:r>
          </w:p>
        </w:tc>
        <w:tc>
          <w:tcPr>
            <w:tcW w:w="990"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themeColor="text1"/>
                <w:sz w:val="20"/>
                <w:szCs w:val="20"/>
                <w14:textFill>
                  <w14:solidFill>
                    <w14:schemeClr w14:val="tx1"/>
                  </w14:solidFill>
                </w14:textFill>
              </w:rPr>
            </w:pPr>
            <w:r>
              <w:rPr>
                <w:rStyle w:val="17"/>
                <w:rFonts w:hint="default" w:ascii="Times New Roman" w:hAnsi="Times New Roman" w:eastAsiaTheme="minorEastAsia" w:cstheme="minorEastAsia"/>
                <w:color w:val="000000" w:themeColor="text1"/>
                <w:lang w:bidi="ar"/>
                <w14:textFill>
                  <w14:solidFill>
                    <w14:schemeClr w14:val="tx1"/>
                  </w14:solidFill>
                </w14:textFill>
              </w:rPr>
              <w:t>其它*</w:t>
            </w:r>
          </w:p>
        </w:tc>
        <w:tc>
          <w:tcPr>
            <w:tcW w:w="630" w:type="dxa"/>
            <w:vMerge w:val="restart"/>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703" w:type="dxa"/>
            <w:vMerge w:val="restart"/>
            <w:tcBorders>
              <w:tl2br w:val="nil"/>
              <w:tr2bl w:val="nil"/>
            </w:tcBorders>
            <w:shd w:val="clear" w:color="auto" w:fill="auto"/>
            <w:vAlign w:val="center"/>
          </w:tcPr>
          <w:p>
            <w:pPr>
              <w:rPr>
                <w:rFonts w:ascii="Times New Roman" w:hAnsi="Times New Roman" w:cstheme="minorEastAsia"/>
                <w:color w:val="000000" w:themeColor="text1"/>
                <w:sz w:val="20"/>
                <w:szCs w:val="20"/>
                <w14:textFill>
                  <w14:solidFill>
                    <w14:schemeClr w14:val="tx1"/>
                  </w14:solidFill>
                </w14:textFill>
              </w:rPr>
            </w:pPr>
          </w:p>
        </w:tc>
        <w:tc>
          <w:tcPr>
            <w:tcW w:w="830" w:type="dxa"/>
            <w:vMerge w:val="restart"/>
            <w:tcBorders>
              <w:tl2br w:val="nil"/>
              <w:tr2bl w:val="nil"/>
            </w:tcBorders>
            <w:shd w:val="clear" w:color="auto" w:fill="auto"/>
            <w:vAlign w:val="center"/>
          </w:tcPr>
          <w:p>
            <w:pPr>
              <w:jc w:val="center"/>
              <w:rPr>
                <w:rFonts w:ascii="Times New Roman" w:hAnsi="Times New Roman" w:cstheme="minorEastAsia"/>
                <w:color w:val="000000" w:themeColor="text1"/>
                <w:sz w:val="20"/>
                <w:szCs w:val="20"/>
                <w14:textFill>
                  <w14:solidFill>
                    <w14:schemeClr w14:val="tx1"/>
                  </w14:solidFill>
                </w14:textFill>
              </w:rPr>
            </w:pPr>
          </w:p>
        </w:tc>
        <w:tc>
          <w:tcPr>
            <w:tcW w:w="3537" w:type="dxa"/>
            <w:vMerge w:val="restart"/>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675" w:type="dxa"/>
            <w:vMerge w:val="restart"/>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885" w:type="dxa"/>
            <w:vMerge w:val="restart"/>
            <w:tcBorders>
              <w:tl2br w:val="nil"/>
              <w:tr2bl w:val="nil"/>
            </w:tcBorders>
            <w:shd w:val="clear" w:color="auto" w:fill="auto"/>
            <w:vAlign w:val="center"/>
          </w:tcPr>
          <w:p>
            <w:pPr>
              <w:jc w:val="left"/>
              <w:rPr>
                <w:rFonts w:ascii="Times New Roman" w:hAnsi="Times New Roman" w:cstheme="minorEastAsia"/>
                <w:color w:val="000000" w:themeColor="text1"/>
                <w:sz w:val="20"/>
                <w:szCs w:val="20"/>
                <w14:textFill>
                  <w14:solidFill>
                    <w14:schemeClr w14:val="tx1"/>
                  </w14:solidFill>
                </w14:textFill>
              </w:rPr>
            </w:pPr>
          </w:p>
        </w:tc>
        <w:tc>
          <w:tcPr>
            <w:tcW w:w="0" w:type="auto"/>
            <w:vMerge w:val="restart"/>
            <w:tcBorders>
              <w:tl2br w:val="nil"/>
              <w:tr2bl w:val="nil"/>
            </w:tcBorders>
            <w:shd w:val="clear" w:color="auto" w:fill="auto"/>
            <w:noWrap/>
            <w:vAlign w:val="center"/>
          </w:tcPr>
          <w:p>
            <w:pP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54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990"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30"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703"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30" w:type="dxa"/>
            <w:vMerge w:val="continue"/>
            <w:tcBorders>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3537"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7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8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0" w:type="auto"/>
            <w:vMerge w:val="continue"/>
            <w:tcBorders>
              <w:tl2br w:val="nil"/>
              <w:tr2bl w:val="nil"/>
            </w:tcBorders>
            <w:shd w:val="clear" w:color="auto" w:fill="auto"/>
            <w:noWrap/>
            <w:vAlign w:val="center"/>
          </w:tcPr>
          <w:p>
            <w:pPr>
              <w:rPr>
                <w:rFonts w:ascii="Times New Roman" w:hAnsi="Times New Roman" w:eastAsia="宋体" w:cs="宋体"/>
                <w:color w:val="000000"/>
                <w:sz w:val="22"/>
              </w:rPr>
            </w:pPr>
          </w:p>
        </w:tc>
      </w:tr>
    </w:tbl>
    <w:p>
      <w:pPr>
        <w:rPr>
          <w:rFonts w:ascii="Times New Roman" w:hAnsi="Times New Roman"/>
        </w:rPr>
      </w:pPr>
    </w:p>
    <w:p>
      <w:pPr>
        <w:pStyle w:val="2"/>
        <w:rPr>
          <w:rFonts w:ascii="Times New Roman" w:hAnsi="Times New Roman"/>
        </w:rPr>
      </w:pPr>
    </w:p>
    <w:p>
      <w:pPr>
        <w:pStyle w:val="2"/>
        <w:rPr>
          <w:rFonts w:ascii="Times New Roman" w:hAnsi="Times New Roman"/>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五、建筑节能检测项目/参数能力表(必选)</w:t>
      </w:r>
    </w:p>
    <w:tbl>
      <w:tblPr>
        <w:tblStyle w:val="7"/>
        <w:tblW w:w="952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04"/>
        <w:gridCol w:w="720"/>
        <w:gridCol w:w="780"/>
        <w:gridCol w:w="1036"/>
        <w:gridCol w:w="3884"/>
        <w:gridCol w:w="705"/>
        <w:gridCol w:w="885"/>
        <w:gridCol w:w="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9522" w:type="dxa"/>
            <w:gridSpan w:val="8"/>
            <w:tcBorders>
              <w:top w:val="nil"/>
              <w:left w:val="nil"/>
              <w:bottom w:val="single" w:color="auto" w:sz="4" w:space="0"/>
              <w:right w:val="nil"/>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检测项目</w:t>
            </w:r>
          </w:p>
        </w:tc>
        <w:tc>
          <w:tcPr>
            <w:tcW w:w="181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388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5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8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tblHeader/>
          <w:jc w:val="center"/>
        </w:trPr>
        <w:tc>
          <w:tcPr>
            <w:tcW w:w="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0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388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8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64" w:hRule="atLeast"/>
          <w:jc w:val="center"/>
        </w:trPr>
        <w:tc>
          <w:tcPr>
            <w:tcW w:w="70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7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保温、绝热材料</w:t>
            </w:r>
          </w:p>
        </w:tc>
        <w:tc>
          <w:tcPr>
            <w:tcW w:w="7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103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导热系数或热阻</w:t>
            </w:r>
          </w:p>
        </w:tc>
        <w:tc>
          <w:tcPr>
            <w:tcW w:w="3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《绝热材料稳态热阻及有关特性的测定 防护热板法》GB/T 10294-2008</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9" w:hRule="atLeast"/>
          <w:jc w:val="center"/>
        </w:trPr>
        <w:tc>
          <w:tcPr>
            <w:tcW w:w="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textAlignment w:val="center"/>
              <w:rPr>
                <w:rFonts w:ascii="Times New Roman" w:hAnsi="Times New Roman" w:cstheme="minorEastAsia"/>
                <w:color w:val="000000"/>
                <w:kern w:val="0"/>
                <w:sz w:val="20"/>
                <w:szCs w:val="20"/>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p>
        </w:tc>
        <w:tc>
          <w:tcPr>
            <w:tcW w:w="103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p>
        </w:tc>
        <w:tc>
          <w:tcPr>
            <w:tcW w:w="3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《绝热材料稳态热阻及有关特性的测定 热流计法》GB/T 10295-2008</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5" w:hRule="atLeast"/>
          <w:jc w:val="center"/>
        </w:trPr>
        <w:tc>
          <w:tcPr>
            <w:tcW w:w="70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10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密度（表观密度、芯密度、干密度、体积密度、块体密度）</w:t>
            </w:r>
          </w:p>
        </w:tc>
        <w:tc>
          <w:tcPr>
            <w:tcW w:w="38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《泡沫塑料及橡胶制品表观密度测定》GB/T 6343-2009</w:t>
            </w:r>
          </w:p>
        </w:tc>
        <w:tc>
          <w:tcPr>
            <w:tcW w:w="70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op w:val="single" w:color="auto" w:sz="4" w:space="0"/>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op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1036"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压缩强度或抗压强度</w:t>
            </w:r>
          </w:p>
        </w:tc>
        <w:tc>
          <w:tcPr>
            <w:tcW w:w="3884"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《建筑用绝热制品 压缩性能的测定》GB/T 13480-2014</w:t>
            </w:r>
          </w:p>
        </w:tc>
        <w:tc>
          <w:tcPr>
            <w:tcW w:w="705"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《硬质泡沫塑料压缩性能的测定》</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8813-2020</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0"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垂直于板面方向的抗拉强度（垂直于表面抗拉强度、抗拉强度）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《建筑用绝热制品 垂直于表面抗拉强度的测定》GB/T 30804-2014</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5"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1.5</w:t>
            </w:r>
          </w:p>
        </w:tc>
        <w:tc>
          <w:tcPr>
            <w:tcW w:w="103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吸水率（质量吸水率、体积吸水率、质量吸湿率、体积吸湿率、吸湿率、表面吸水量）</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《硬质泡沫塑料吸水率的测定》</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8810-2005</w:t>
            </w:r>
          </w:p>
        </w:tc>
        <w:tc>
          <w:tcPr>
            <w:tcW w:w="705"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0"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《无机硬质绝热制品试验方法》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5486-2008</w:t>
            </w:r>
          </w:p>
        </w:tc>
        <w:tc>
          <w:tcPr>
            <w:tcW w:w="705"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0"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1.6</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传热系数及热阻</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《绝热稳态传热性质的测定 标定和防护热箱法》GB/T 13475-2008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704" w:type="dxa"/>
            <w:vMerge w:val="restart"/>
            <w:tcBorders>
              <w:top w:val="single" w:color="auto" w:sz="4" w:space="0"/>
              <w:left w:val="single" w:color="auto" w:sz="4" w:space="0"/>
              <w:tl2br w:val="nil"/>
              <w:tr2bl w:val="nil"/>
            </w:tcBorders>
            <w:shd w:val="clear" w:color="auto" w:fill="auto"/>
            <w:vAlign w:val="center"/>
          </w:tcPr>
          <w:p>
            <w:pPr>
              <w:widowControl/>
              <w:ind w:firstLine="200" w:firstLineChars="100"/>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720"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保温、绝热材料</w:t>
            </w:r>
          </w:p>
        </w:tc>
        <w:tc>
          <w:tcPr>
            <w:tcW w:w="78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1.7</w:t>
            </w:r>
          </w:p>
        </w:tc>
        <w:tc>
          <w:tcPr>
            <w:tcW w:w="103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单位面积质量</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《保温装饰板外墙外保温系统材料》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JG/T 287-2013</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《外墙内保温板》JG/T 159-2004</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704" w:type="dxa"/>
            <w:vMerge w:val="continue"/>
            <w:tcBorders>
              <w:lef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1.8</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拉伸粘结强度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《外墙内保温复合板系统》</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30593-2014</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704" w:type="dxa"/>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72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粘接材料</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拉伸粘接强度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《陶瓷砖胶粘剂》JC/T 547-2017</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82" w:hRule="atLeast"/>
          <w:jc w:val="center"/>
        </w:trPr>
        <w:tc>
          <w:tcPr>
            <w:tcW w:w="704" w:type="dxa"/>
            <w:vMerge w:val="restart"/>
            <w:tcBorders>
              <w:tl2br w:val="nil"/>
              <w:tr2bl w:val="nil"/>
            </w:tcBorders>
            <w:shd w:val="clear" w:color="auto" w:fill="auto"/>
            <w:vAlign w:val="center"/>
          </w:tcPr>
          <w:p>
            <w:pPr>
              <w:widowControl/>
              <w:ind w:firstLine="200" w:firstLineChars="100"/>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增强加固材料</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力学性能（玻纤网格布：断裂强力；热镀锌电焊网：焊点抗拉力，锚栓：抗拉承载力标准值；锚固件：拉拔力标准值、悬挂力）</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《增强材料机织物试验方法第5部分：玻璃纤维拉伸断裂强力和断裂伸长的测定》GB/T 7689.5-2013</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89"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8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w:t>
            </w:r>
          </w:p>
        </w:tc>
        <w:tc>
          <w:tcPr>
            <w:tcW w:w="103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抗腐蚀性能（玻纤网格布：耐碱断裂强力及耐碱断裂强力保留率、耐碱拉伸断裂强力及耐碱拉伸断裂强力保留率、拉伸断裂强力的保留率；热镀锌电焊网：镀锌层质量）</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p>
            <w:pPr>
              <w:widowControl/>
              <w:jc w:val="left"/>
              <w:textAlignment w:val="center"/>
              <w:rPr>
                <w:rFonts w:ascii="Times New Roman" w:hAnsi="Times New Roman" w:cstheme="minorEastAsia"/>
                <w:color w:val="000000"/>
                <w:kern w:val="0"/>
                <w:sz w:val="20"/>
                <w:szCs w:val="20"/>
              </w:rPr>
            </w:pP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《玻璃纤维网布耐碱性试验方法氢氧化钠溶液浸泡法》GB/T 20102-2006</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《增强材料机织物试验方法第5部分：玻璃纤维拉伸断裂强力和断裂伸长的测定》GB/T 7689.5-2013</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保温砂浆</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抗压强度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《无机硬质绝热制品试验方法》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5486-2008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4.2</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干密度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《无机硬质绝热制品试验方法》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5486-2008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4.3</w:t>
            </w:r>
          </w:p>
        </w:tc>
        <w:tc>
          <w:tcPr>
            <w:tcW w:w="103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导热系数</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《绝热材料稳态热阻及有关特性的测定 防护热板法》GB/T 10294-2008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《绝热材料稳态热阻及有关特性的测定 热流计法》GB/T 10295-2008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抹面材料</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拉伸粘结强度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《建筑砂浆基本性能试验方法标准》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 70-2009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5.2</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压折比(或柔韧性)</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《水泥胶砂强度检验方法(ISO法)》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17671-2021</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隔热型材</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抗拉强度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《铝合金隔热型材复合性能试验方法》GB/T 28289-2012</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6.2</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抗剪强度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《铝合金隔热型材复合性能试验方法》GB/T 28289-2012</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建筑外窗</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气密性能</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《建筑外门窗气密、水密、抗风压性能检测方法》GB/T 7106-2019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7.2</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水密性能</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《建筑外门窗气密、水密、抗风压性能检测方法》GB/T 7106-2019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7.3</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抗风压性能</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《建筑外门窗气密、水密、抗风压性能检测方法》GB/T 7106-2019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restart"/>
            <w:tcBorders>
              <w:tl2br w:val="nil"/>
              <w:tr2bl w:val="nil"/>
            </w:tcBorders>
            <w:shd w:val="clear" w:color="auto" w:fill="auto"/>
            <w:vAlign w:val="center"/>
          </w:tcPr>
          <w:p>
            <w:pPr>
              <w:widowControl/>
              <w:ind w:firstLine="200" w:firstLineChars="100"/>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72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节能工程</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外墙节能构造及保温层厚度(钻芯法)</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《建筑节能工程施工质量验收规范》</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50411-2019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8.2</w:t>
            </w:r>
          </w:p>
        </w:tc>
        <w:tc>
          <w:tcPr>
            <w:tcW w:w="103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保温板与基层的拉伸粘结强度（系统拉伸粘结强度）</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《建筑节能工程施工质量验收规范》</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50411-2019</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03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《建筑工程饰面砖粘结强度检验标准》JGJ/T 110-2017</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8.3</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锚固件的锚固力</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《外墙保温用锚栓》JG/T 366-2012</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720"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8.4</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外窗气密性能</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《建筑外窗气密、水密、抗风压性能现场检测方法》JG/T 211-2007</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704" w:type="dxa"/>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72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电线电缆</w:t>
            </w:r>
          </w:p>
        </w:tc>
        <w:tc>
          <w:tcPr>
            <w:tcW w:w="780"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9.1</w:t>
            </w:r>
          </w:p>
        </w:tc>
        <w:tc>
          <w:tcPr>
            <w:tcW w:w="103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导体电阻值（导体电阻）</w:t>
            </w:r>
          </w:p>
        </w:tc>
        <w:tc>
          <w:tcPr>
            <w:tcW w:w="3884"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 xml:space="preserve"> 《电缆的导体》GB/T3956-2008</w:t>
            </w:r>
          </w:p>
        </w:tc>
        <w:tc>
          <w:tcPr>
            <w:tcW w:w="70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8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808" w:type="dxa"/>
            <w:tcBorders>
              <w:tl2br w:val="nil"/>
              <w:tr2bl w:val="nil"/>
            </w:tcBorders>
            <w:shd w:val="clear" w:color="auto" w:fill="auto"/>
            <w:vAlign w:val="center"/>
          </w:tcPr>
          <w:p>
            <w:pPr>
              <w:rPr>
                <w:rFonts w:ascii="Times New Roman" w:hAnsi="Times New Roman" w:cstheme="minorEastAsia"/>
                <w:color w:val="000000"/>
                <w:sz w:val="20"/>
                <w:szCs w:val="20"/>
              </w:rPr>
            </w:pPr>
          </w:p>
        </w:tc>
      </w:tr>
    </w:tbl>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五、建筑节能检测项目/参数能力表(可选)</w:t>
      </w:r>
    </w:p>
    <w:tbl>
      <w:tblPr>
        <w:tblStyle w:val="7"/>
        <w:tblW w:w="9383" w:type="dxa"/>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681"/>
        <w:gridCol w:w="802"/>
        <w:gridCol w:w="416"/>
        <w:gridCol w:w="859"/>
        <w:gridCol w:w="1118"/>
        <w:gridCol w:w="3111"/>
        <w:gridCol w:w="704"/>
        <w:gridCol w:w="838"/>
        <w:gridCol w:w="8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4" w:hRule="atLeast"/>
          <w:tblHeader/>
        </w:trPr>
        <w:tc>
          <w:tcPr>
            <w:tcW w:w="9383" w:type="dxa"/>
            <w:gridSpan w:val="9"/>
            <w:tcBorders>
              <w:top w:val="nil"/>
              <w:left w:val="nil"/>
              <w:bottom w:val="single" w:color="auto" w:sz="4" w:space="0"/>
              <w:right w:val="nil"/>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trPr>
        <w:tc>
          <w:tcPr>
            <w:tcW w:w="6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21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检测项目</w:t>
            </w:r>
          </w:p>
        </w:tc>
        <w:tc>
          <w:tcPr>
            <w:tcW w:w="19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311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54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8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blHeader/>
        </w:trPr>
        <w:tc>
          <w:tcPr>
            <w:tcW w:w="6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1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311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8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8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121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保温、绝热材料*</w:t>
            </w:r>
          </w:p>
        </w:tc>
        <w:tc>
          <w:tcPr>
            <w:tcW w:w="8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11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燃烧性能*（不燃性、燃烧热值、单体燃烧、可燃性、氧指数）</w:t>
            </w:r>
          </w:p>
        </w:tc>
        <w:tc>
          <w:tcPr>
            <w:tcW w:w="31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《建筑材料及制品燃烧性能分级》GB 8624-2012</w:t>
            </w:r>
          </w:p>
        </w:tc>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《建筑材料不燃性试验方法》GB/T 5464-2010</w:t>
            </w:r>
          </w:p>
        </w:tc>
        <w:tc>
          <w:tcPr>
            <w:tcW w:w="7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《建筑材料及制品的燃烧性能燃烧热值的测定》GB/T 14402-2007</w:t>
            </w:r>
          </w:p>
        </w:tc>
        <w:tc>
          <w:tcPr>
            <w:tcW w:w="704"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《建筑材料或制品的单体燃烧试验》GB/T 20284-2006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《建筑材料可燃性试验方法》GB/T 8626-2007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《塑料 用氧指数法测定燃烧行为 第1部分：导则》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2406.1-2008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《塑料用氧指数法测定燃烧行为第2部分：室温试验》</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2406.2-2009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681" w:type="dxa"/>
            <w:vMerge w:val="continue"/>
            <w:tcBorders>
              <w:lef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trPr>
        <w:tc>
          <w:tcPr>
            <w:tcW w:w="681"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1218" w:type="dxa"/>
            <w:gridSpan w:val="2"/>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粘接材料*</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w:t>
            </w:r>
          </w:p>
        </w:tc>
        <w:tc>
          <w:tcPr>
            <w:tcW w:w="121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增强加固材料*</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网孔中心距偏差*</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《无机轻集料砂浆保温系统技术标准》JGJ/T 253-2019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《镀锌电焊网》GB/T 33281-2016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钢丝网丝径*</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《镀锌电焊网》GB/T 33281-2016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《墙体保温系统用钢丝网架复合保温板》GB/T 26540-2022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《增强制品试验方法第3部分：单位面积质量的测定》</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9914.3-2013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单位面积质量*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《增强制品试验方法第3部分：单位面积质量的测定》</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9914.3-2013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3.4</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断裂伸长率*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《增强材料机织物试验方法第5部分：玻璃纤维拉伸断裂强力和断裂伸长的测定》</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7689.5-2013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8"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3.5</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121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保温砂浆*</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剪切强度*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《建筑保温砂浆》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20473-2021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《膨胀玻化微珠保温隔热砂浆》GB/T 26000-2010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《膨胀玻化微珠轻质砂浆》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JG/T 283-2010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拉伸粘结强度*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《胶粉聚苯颗粒外墙外保温系统材料》JG/T 158-2013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《建筑保温砂浆》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20473-2021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《膨胀玻化微珠保温隔热砂浆》GB/T 26000-2010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《膨胀玻化微珠轻质砂浆》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JG/T 283-2010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1218" w:type="dxa"/>
            <w:gridSpan w:val="2"/>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抹面材料*</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w:t>
            </w:r>
          </w:p>
        </w:tc>
        <w:tc>
          <w:tcPr>
            <w:tcW w:w="1218" w:type="dxa"/>
            <w:gridSpan w:val="2"/>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隔热型材*</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w:t>
            </w:r>
          </w:p>
        </w:tc>
        <w:tc>
          <w:tcPr>
            <w:tcW w:w="121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建筑外窗*</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传热系数*</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《建筑外门窗保温性能检测方法》GB/T 8484-2020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玻璃的太阳得热系数*</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《建筑玻璃 可见光透射比、太阳光直接透射比、太阳能总透射比、紫外线透射比及有关窗玻璃参数的测定》GB/T 2680-2021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6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可见光透射比*</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《建筑玻璃 可见光透射比、太阳光直接透射比、太阳能总透射比、紫外线透射比及有关窗玻璃参数的测定》GB/T 2680-2021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7.4</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中空玻璃密封性能*</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《中空玻璃》GB/T 11944-2012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《建筑节能工程施工质量验收标准》GB 50411-2019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7.5</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1218" w:type="dxa"/>
            <w:gridSpan w:val="2"/>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节能工程*</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室内平均温度*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《居住建筑节能检测标准》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132-2009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1218" w:type="dxa"/>
            <w:gridSpan w:val="2"/>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节能工程*</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风口风量*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《通风与空调工程施工质量验收规范》GB 50243-2016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8.3</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通风与空调系统总风量*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《公共建筑节能检测标准》JGJ/T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《通风与空调工程施工质量验收规范》GB 50243-2016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8.4</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风道系统单位风量耗功率</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空调机组水流量*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《通风与空调工程施工质量验收规范》GB 50243-2016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8.5</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空调系统冷热水*</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《通风与空调工程施工质量验收规范》GB 50243-2016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8.6</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冷却水循环流量*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《通风与空调工程施工质量验收规范》GB 50243-2016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8.7</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室外供热管网水力平衡度*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《居住建筑节能检测标准》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132-2009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8.8</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室外供热管网热损失率*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《采暖通风与空气调节工程检测技术规程》JGJ/T 260-2011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《居住建筑节能检测标准》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132-2009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8.9</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照度与照明功率密度*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《照明测量方法》GB/T 5700-2008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《体育场馆照明设计及检测标准》JGJ 153-2016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1218" w:type="dxa"/>
            <w:gridSpan w:val="2"/>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节能工程*</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8.10</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外墙传热系数或热阻*</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《建筑物围护结构传热系数及采暖供热量检测方法》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23483-2009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《围护结构传热系数现场检测技术规程》JGJ/T 357-2015</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40" w:hRule="atLeast"/>
        </w:trPr>
        <w:tc>
          <w:tcPr>
            <w:tcW w:w="68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1218" w:type="dxa"/>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电线电缆*</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燃烧性能*（不延燃试验）</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《电缆和光缆在火焰条件下的燃烧试验 第12部分：单根绝缘电线电缆火焰垂直蔓延试验 1 kW预混合型火焰试验方法》GB/T18380.12-2022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w:t>
            </w:r>
          </w:p>
        </w:tc>
        <w:tc>
          <w:tcPr>
            <w:tcW w:w="1218" w:type="dxa"/>
            <w:gridSpan w:val="2"/>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反射隔热材料*</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半球发射率*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《建筑反射隔热涂料》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JG/T 235-2014</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太阳光反射比*</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《建筑反射隔热涂料》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JG/T 235-2014</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218" w:type="dxa"/>
            <w:gridSpan w:val="2"/>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802"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供暖</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通风</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空调</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节能</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工程</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用材</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构件</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和</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设备</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盘管</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机组</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供冷量*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《风机盘管机组》</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19232-2019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供热量*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《风机盘管机组》</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19232-2019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风量*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《风机盘管机组》</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19232-2019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11.1.4</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水阻力*</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《风机盘管机组》</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19232-2019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11.1.5</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噪声及输入功率*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《风机盘管机组》</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19232-2019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11.1.6</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采暖</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散热</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器</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单位散热量*</w:t>
            </w:r>
          </w:p>
        </w:tc>
        <w:tc>
          <w:tcPr>
            <w:tcW w:w="3111"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《供暖散热器散热量测定方法 》GB/T 13754-2017</w:t>
            </w:r>
          </w:p>
        </w:tc>
        <w:tc>
          <w:tcPr>
            <w:tcW w:w="70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金属热强度*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《供暖散热器散热量测定方法 》GB/T 13754-2017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802"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供暖</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通风</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空调</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节能</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工程</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用材</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构件</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和</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设备</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绝热</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材料</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导热系数或热阻*</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《绝热材料稳态热阻及有关特性的测定 防护热板法》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10294-2008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《绝热材料稳态热阻及有关特性的测定 热流计法》GB/T 10295-2008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密度*（表观密度、体积密度）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《泡沫塑料及橡胶制品表观密度测定》GB/T 6343-2009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《无机硬质绝热制品试验方法》GB/T 5486-2008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《矿物棉及其制品试验方法》GB/T 5480-2017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11.3.3</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吸水率*（质量吸水率、体积吸水率、质量吸湿率、体积吸湿率）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《硬质泡沫塑料吸水率的测定》GB/T 8810-2005</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《无机硬质绝热制品试验方法》GB/T 5486-2008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《矿物棉及其制品试验方法》GB/T 5480-2017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11.3.4</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802"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配电</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与照</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明节</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能工</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程用</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材料、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构件</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和设</w:t>
            </w:r>
          </w:p>
        </w:tc>
        <w:tc>
          <w:tcPr>
            <w:tcW w:w="416" w:type="dxa"/>
            <w:vMerge w:val="restart"/>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r>
              <w:rPr>
                <w:rFonts w:hint="eastAsia" w:ascii="Times New Roman" w:hAnsi="Times New Roman" w:cstheme="minorEastAsia"/>
                <w:color w:val="00000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12.1.1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照明光源初始光效*（功率、光通量、平均初始光效）</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《灯具分布光度测量的一般要求》GB/T 9468-2008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 性能要求》GB/T 24823-2017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《LED筒灯性能测量方法》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29293-2012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《普通照明用自镇流荧光灯性能要求》GB/T 17263-2013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《光通量的测量方法》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26178-2010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《高压钠灯能效限定值及能效等级》GB 19573-2004</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《放电灯(荧光灯除外)特性测量方法》GB/T 13434-2008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《普通照明用LED模块测量方法》GB/T 24824-2009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12.1.2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802"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配电</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与照</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明节</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能工</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程用</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材料、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构件</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和设</w:t>
            </w: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照明</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灯具</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12.2.1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镇流器能效值*(电感镇流器效率、电子镇流器效率)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《管形荧光灯镇流器能效限定值及能效等级》GB 17896-2012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《金属卤化物灯用镇流器能效限定值及能效等级》GB 20053-2015</w:t>
            </w:r>
          </w:p>
        </w:tc>
        <w:tc>
          <w:tcPr>
            <w:tcW w:w="70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1"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《单端无极荧光灯用交流电子镇流器能效限定值及能效等级》</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29143-2012</w:t>
            </w:r>
          </w:p>
        </w:tc>
        <w:tc>
          <w:tcPr>
            <w:tcW w:w="70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12.2.2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效率或能效*（效能、光输出比）</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《灯具分布光度测量的一般要求》GB/T 9468-2008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《灯具性能 第1-部分：一般要求》GB/T 31897.1-2015</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61"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《灯具性能 第2-1部分：LED灯具特殊要求》GB/T 31897.201-2016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《LED筒灯性能测量方法》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29293-2012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《普通照明用LED模块测量方法》GB/T 24824-2009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《公共建筑节能检测标准》JGJ/T177-2009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12.2.3</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restart"/>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照明</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设备</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12.3.1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功率*</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（输入功率）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《灯具分布光度测量的一般要求》GB/T 9468-2008</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《LED筒灯性能测量方法》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29293-2012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 性能要求》GB/T 24823-2017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《普通照明用LED模块测量方法》GB/T 24824-2009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《灯具性能 第1-部分：一般要求》GB/T 31897.1-2015</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1"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《灯具性能 第2-1部分：LED灯具特殊要求》</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31897.201-2016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802"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配电</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与照</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明节</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能工</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程用</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材料、</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构件</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和设</w:t>
            </w:r>
          </w:p>
        </w:tc>
        <w:tc>
          <w:tcPr>
            <w:tcW w:w="416" w:type="dxa"/>
            <w:vMerge w:val="restart"/>
            <w:tcBorders>
              <w:top w:val="single" w:color="auto" w:sz="4" w:space="0"/>
              <w:tl2br w:val="nil"/>
              <w:tr2bl w:val="nil"/>
            </w:tcBorders>
            <w:shd w:val="clear" w:color="auto" w:fill="auto"/>
            <w:vAlign w:val="center"/>
          </w:tcPr>
          <w:p>
            <w:pPr>
              <w:jc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照明</w:t>
            </w:r>
          </w:p>
          <w:p>
            <w:pPr>
              <w:jc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设备</w:t>
            </w:r>
          </w:p>
          <w:p>
            <w:pPr>
              <w:jc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12.3.2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功率因数*</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《普通照明用LED模块测量方法》GB/T 24824-2009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《LED筒灯性能测量方法》</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29293-2012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 性能要求》GB/T 24823-2017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12.3.3</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谐波含量值*</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《电磁兼容 限值 谐波电流发射限值（设备每相输入≤16A》</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17625.1-2012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《普通照明用LED模块测量方法》GB/T 24824-2009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《公共建筑节能检测标准》</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177-2009</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《电能质量 公用电网谐波》</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14549-1993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12.3.4</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802"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可再</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生能</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源利</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用系</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统*</w:t>
            </w: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太阳</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热器*</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13.1.1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安全性能*</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 带电辅助能源的家用太阳能热水系统技术条件》GB/T 25966-2010</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《太阳能热水系统性能评定规范》GB/T 20095-2006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13.1.2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热性能*</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《太阳能集热器热性能试验方法》GB/T 4271-2021</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《太阳能热水系统性能评定规范》GB/T 20095-2006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13.1.3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太阳</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能热</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利用</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集热</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系统</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13.2.1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得热量*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《家用太阳热水系统热性能试验方法》GB/T 18708-2002</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《太阳能热水系统性能评定规范》GB/T 20095-2006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13.2.2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集热效率*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13.2.3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太阳能保证率*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13.2.4</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802"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可再</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生能</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源利</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用系</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统*</w:t>
            </w: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太阳</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能光</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伏组</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件*</w:t>
            </w: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13.3.1</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发电功率*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《地面用光伏组件光电转换效率检测方法》GB/T 34160-2017</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《光伏系统性能监测 测量、数据交换和分析导则》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20513-2006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13.3.2</w:t>
            </w:r>
          </w:p>
        </w:tc>
        <w:tc>
          <w:tcPr>
            <w:tcW w:w="1118"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发电效率*（光电转换效率）</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《地面用光伏组件光电转换效率检测方法》GB/T 34160-2017</w:t>
            </w:r>
          </w:p>
        </w:tc>
        <w:tc>
          <w:tcPr>
            <w:tcW w:w="704"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op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13.3.3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太阳</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能光</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伏发</w:t>
            </w:r>
          </w:p>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电系</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统*</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13.4.1</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年发电量*</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restart"/>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13.4.2</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组件背板最高工作</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《可再生能源建筑应用工程评价标准》GB/T 50801-2013</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vMerge w:val="continue"/>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温度*（光伏组件背板表面温度、组件温度）</w:t>
            </w: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《光伏系统性能监测 测量、数据交换和分析导则》</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20513-2006</w:t>
            </w: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0" w:hRule="atLeast"/>
        </w:trPr>
        <w:tc>
          <w:tcPr>
            <w:tcW w:w="681"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02"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416"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13.4.3</w:t>
            </w: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111"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5" w:hRule="atLeast"/>
        </w:trPr>
        <w:tc>
          <w:tcPr>
            <w:tcW w:w="681" w:type="dxa"/>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1218" w:type="dxa"/>
            <w:gridSpan w:val="2"/>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859"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1118" w:type="dxa"/>
            <w:tcBorders>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3111"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p>
        </w:tc>
        <w:tc>
          <w:tcPr>
            <w:tcW w:w="70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38"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54" w:type="dxa"/>
            <w:tcBorders>
              <w:tl2br w:val="nil"/>
              <w:tr2bl w:val="nil"/>
            </w:tcBorders>
            <w:shd w:val="clear" w:color="auto" w:fill="auto"/>
            <w:vAlign w:val="center"/>
          </w:tcPr>
          <w:p>
            <w:pPr>
              <w:jc w:val="center"/>
              <w:rPr>
                <w:rFonts w:ascii="Times New Roman" w:hAnsi="Times New Roman" w:cstheme="minorEastAsia"/>
                <w:color w:val="000000"/>
                <w:sz w:val="20"/>
                <w:szCs w:val="20"/>
              </w:rPr>
            </w:pPr>
          </w:p>
        </w:tc>
      </w:tr>
    </w:tbl>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六、建筑幕墙检测项目/参数能力表（必选）</w:t>
      </w:r>
    </w:p>
    <w:tbl>
      <w:tblPr>
        <w:tblStyle w:val="8"/>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040"/>
        <w:gridCol w:w="696"/>
        <w:gridCol w:w="1309"/>
        <w:gridCol w:w="4110"/>
        <w:gridCol w:w="658"/>
        <w:gridCol w:w="8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10058" w:type="dxa"/>
            <w:gridSpan w:val="8"/>
            <w:tcBorders>
              <w:top w:val="nil"/>
              <w:left w:val="nil"/>
              <w:bottom w:val="single" w:color="auto" w:sz="4" w:space="0"/>
              <w:right w:val="nil"/>
            </w:tcBorders>
            <w:vAlign w:val="center"/>
          </w:tcPr>
          <w:p>
            <w:pPr>
              <w:widowControl/>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655"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序号</w:t>
            </w:r>
          </w:p>
        </w:tc>
        <w:tc>
          <w:tcPr>
            <w:tcW w:w="1040"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检测项目</w:t>
            </w:r>
          </w:p>
        </w:tc>
        <w:tc>
          <w:tcPr>
            <w:tcW w:w="2005" w:type="dxa"/>
            <w:gridSpan w:val="2"/>
            <w:tcBorders>
              <w:top w:val="single" w:color="auto" w:sz="4" w:space="0"/>
              <w:bottom w:val="single" w:color="auto" w:sz="4" w:space="0"/>
            </w:tcBorders>
            <w:vAlign w:val="center"/>
          </w:tcPr>
          <w:p>
            <w:pPr>
              <w:widowControl/>
              <w:ind w:firstLine="400" w:firstLineChars="200"/>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检测参数</w:t>
            </w:r>
          </w:p>
        </w:tc>
        <w:tc>
          <w:tcPr>
            <w:tcW w:w="4110" w:type="dxa"/>
            <w:vMerge w:val="restart"/>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检测标准</w:t>
            </w:r>
          </w:p>
          <w:p>
            <w:pPr>
              <w:widowControl/>
              <w:jc w:val="center"/>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（方法）</w:t>
            </w:r>
          </w:p>
        </w:tc>
        <w:tc>
          <w:tcPr>
            <w:tcW w:w="1539" w:type="dxa"/>
            <w:gridSpan w:val="2"/>
            <w:tcBorders>
              <w:top w:val="single" w:color="auto" w:sz="4" w:space="0"/>
              <w:bottom w:val="single" w:color="auto" w:sz="4" w:space="0"/>
            </w:tcBorders>
            <w:vAlign w:val="center"/>
          </w:tcPr>
          <w:p>
            <w:pPr>
              <w:widowControl/>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确认结果</w:t>
            </w:r>
          </w:p>
        </w:tc>
        <w:tc>
          <w:tcPr>
            <w:tcW w:w="709" w:type="dxa"/>
            <w:vMerge w:val="restart"/>
            <w:tcBorders>
              <w:top w:val="single" w:color="auto" w:sz="4" w:space="0"/>
              <w:bottom w:val="single" w:color="auto" w:sz="4" w:space="0"/>
            </w:tcBorders>
            <w:vAlign w:val="center"/>
          </w:tcPr>
          <w:p>
            <w:pPr>
              <w:widowControl/>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jc w:val="center"/>
        </w:trPr>
        <w:tc>
          <w:tcPr>
            <w:tcW w:w="655" w:type="dxa"/>
            <w:vMerge w:val="continue"/>
            <w:tcBorders>
              <w:top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tcBorders>
              <w:top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696" w:type="dxa"/>
            <w:tcBorders>
              <w:top w:val="single" w:color="auto" w:sz="4" w:space="0"/>
            </w:tcBorders>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序号</w:t>
            </w:r>
          </w:p>
        </w:tc>
        <w:tc>
          <w:tcPr>
            <w:tcW w:w="1309" w:type="dxa"/>
            <w:tcBorders>
              <w:top w:val="single" w:color="auto" w:sz="4" w:space="0"/>
            </w:tcBorders>
            <w:vAlign w:val="center"/>
          </w:tcPr>
          <w:p>
            <w:pPr>
              <w:widowControl/>
              <w:ind w:firstLine="400" w:firstLineChars="200"/>
              <w:jc w:val="left"/>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名称</w:t>
            </w:r>
          </w:p>
        </w:tc>
        <w:tc>
          <w:tcPr>
            <w:tcW w:w="4110" w:type="dxa"/>
            <w:vMerge w:val="continue"/>
            <w:tcBorders>
              <w:top w:val="single" w:color="auto" w:sz="4" w:space="0"/>
            </w:tcBorders>
            <w:vAlign w:val="center"/>
          </w:tcPr>
          <w:p>
            <w:pPr>
              <w:widowControl/>
              <w:ind w:firstLine="800" w:firstLineChars="400"/>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658" w:type="dxa"/>
            <w:tcBorders>
              <w:top w:val="single" w:color="auto" w:sz="4" w:space="0"/>
            </w:tcBorders>
            <w:vAlign w:val="center"/>
          </w:tcPr>
          <w:p>
            <w:pPr>
              <w:widowControl/>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通过</w:t>
            </w:r>
          </w:p>
        </w:tc>
        <w:tc>
          <w:tcPr>
            <w:tcW w:w="881" w:type="dxa"/>
            <w:tcBorders>
              <w:top w:val="single" w:color="auto" w:sz="4" w:space="0"/>
            </w:tcBorders>
            <w:vAlign w:val="center"/>
          </w:tcPr>
          <w:p>
            <w:pPr>
              <w:widowControl/>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不通过</w:t>
            </w:r>
          </w:p>
        </w:tc>
        <w:tc>
          <w:tcPr>
            <w:tcW w:w="709" w:type="dxa"/>
            <w:vMerge w:val="continue"/>
            <w:tcBorders>
              <w:top w:val="single" w:color="auto" w:sz="4" w:space="0"/>
            </w:tcBorders>
            <w:vAlign w:val="center"/>
          </w:tcPr>
          <w:p>
            <w:pPr>
              <w:widowControl/>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55"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w:t>
            </w:r>
          </w:p>
        </w:tc>
        <w:tc>
          <w:tcPr>
            <w:tcW w:w="1040" w:type="dxa"/>
            <w:vMerge w:val="restart"/>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密封胶</w:t>
            </w: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1.1</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邵氏硬度</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《硫化橡胶或热塑性橡胶压入硬度试验方法第一部分：邵氏硬度计法(邵尔硬度)》</w:t>
            </w:r>
          </w:p>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531.1-2008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《建筑用硅酮结构密封》</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 16776-2005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1.2</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结构胶标准条件下的拉伸粘结强度</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《建筑密封材料试验方法 第8部分：拉伸粘结性的测定》GB/T 13477.8-2017</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《建筑用硅酮结构密封胶》GB 16776-2005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1.3</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相容性</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《建筑用硅酮结构密封胶》GB 16776-2005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1.4</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剥离粘结性</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《建筑用硅酮结构密封胶》GB 16776-2005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《建筑密封材料试验方法 第18部分：剥离粘结性的测定》GB/T 13477.18-2002</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1.5</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石材用密封胶的污染性</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《石材用建筑密封胶》GB/T 23261-2009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《建筑密封材料试验方法 第20部分：污染性》</w:t>
            </w:r>
            <w:r>
              <w:rPr>
                <w:rFonts w:hint="eastAsia" w:ascii="Times New Roman" w:hAnsi="Times New Roman" w:cstheme="minorEastAsia"/>
                <w:color w:val="000000" w:themeColor="text1"/>
                <w:sz w:val="20"/>
                <w:szCs w:val="20"/>
                <w14:textFill>
                  <w14:solidFill>
                    <w14:schemeClr w14:val="tx1"/>
                  </w14:solidFill>
                </w14:textFill>
              </w:rPr>
              <w:tab/>
            </w:r>
            <w:r>
              <w:rPr>
                <w:rFonts w:hint="eastAsia" w:ascii="Times New Roman" w:hAnsi="Times New Roman" w:cstheme="minorEastAsia"/>
                <w:color w:val="000000" w:themeColor="text1"/>
                <w:sz w:val="20"/>
                <w:szCs w:val="20"/>
                <w14:textFill>
                  <w14:solidFill>
                    <w14:schemeClr w14:val="tx1"/>
                  </w14:solidFill>
                </w14:textFill>
              </w:rPr>
              <w:t>GB/T 13477.20-2017</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w:t>
            </w:r>
          </w:p>
        </w:tc>
        <w:tc>
          <w:tcPr>
            <w:tcW w:w="1040" w:type="dxa"/>
            <w:vMerge w:val="restart"/>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幕墙玻璃</w:t>
            </w: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2.1</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传热系数</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《中空玻璃稳态U值（传热系数）的计算及测定》GB/T 22476-2008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《建筑门窗玻璃幕墙热工计算规程》</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JGJ/T 151-2008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2.2</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可见光透射比</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《建筑玻璃 可见光透射比、太阳光直接透射比、太阳能总透射比、紫外线透射比及有关窗玻璃参数的测定》GB/T 2680-2021</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《建筑门窗玻璃幕墙热工计算规程》</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JGJ/T 151-2008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2.3</w:t>
            </w:r>
          </w:p>
        </w:tc>
        <w:tc>
          <w:tcPr>
            <w:tcW w:w="1309"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太阳得热系数</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《建筑玻璃 可见光透射比、太阳光直接透射比、太阳能总透射比、紫外线透射比及有关窗玻璃参数的测定》GB/T 2680-2021</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09"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《建筑门窗玻璃幕墙热工计算规程》</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JGJ/T 151-2008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2.4</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中空玻璃的密封性能</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《建筑节能工程施工质量验收标准》</w:t>
            </w:r>
          </w:p>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 50411-2019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w:t>
            </w:r>
          </w:p>
        </w:tc>
        <w:tc>
          <w:tcPr>
            <w:tcW w:w="1040" w:type="dxa"/>
            <w:vMerge w:val="restart"/>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幕墙</w:t>
            </w: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3.1</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气密性能</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《建筑幕墙气密、水密、抗风压性能检测方法》</w:t>
            </w:r>
            <w:r>
              <w:rPr>
                <w:rFonts w:hint="eastAsia" w:ascii="Times New Roman" w:hAnsi="Times New Roman" w:cstheme="minorEastAsia"/>
                <w:color w:val="000000" w:themeColor="text1"/>
                <w:sz w:val="20"/>
                <w:szCs w:val="20"/>
                <w14:textFill>
                  <w14:solidFill>
                    <w14:schemeClr w14:val="tx1"/>
                  </w14:solidFill>
                </w14:textFill>
              </w:rPr>
              <w:tab/>
            </w:r>
            <w:r>
              <w:rPr>
                <w:rFonts w:hint="eastAsia" w:ascii="Times New Roman" w:hAnsi="Times New Roman" w:cstheme="minorEastAsia"/>
                <w:color w:val="000000" w:themeColor="text1"/>
                <w:sz w:val="20"/>
                <w:szCs w:val="20"/>
                <w14:textFill>
                  <w14:solidFill>
                    <w14:schemeClr w14:val="tx1"/>
                  </w14:solidFill>
                </w14:textFill>
              </w:rPr>
              <w:t>GB/T 15227-2019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3.2</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水密性能</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《建筑幕墙气密、水密、抗风压性能检测方法》GB/T 15227-2019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3.3</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抗风压性能</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《建筑幕墙气密、水密、抗风压性能检测方法》GB/T 15227-2019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3.4</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层间变形性能</w:t>
            </w:r>
          </w:p>
        </w:tc>
        <w:tc>
          <w:tcPr>
            <w:tcW w:w="4110"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《建筑幕墙层间变形性能分级及检测方法》</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18250-2015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040"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96"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3.5</w:t>
            </w:r>
          </w:p>
        </w:tc>
        <w:tc>
          <w:tcPr>
            <w:tcW w:w="1309"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后置埋件抗拔承载力</w:t>
            </w:r>
          </w:p>
        </w:tc>
        <w:tc>
          <w:tcPr>
            <w:tcW w:w="4110" w:type="dxa"/>
            <w:vAlign w:val="center"/>
          </w:tcPr>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《混凝土结构后锚固技术规程》JGJ 145-2013</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bl>
    <w:p>
      <w:pPr>
        <w:widowControl/>
        <w:shd w:val="clear" w:color="auto" w:fill="FFFFFF"/>
        <w:wordWrap w:val="0"/>
        <w:spacing w:line="440" w:lineRule="atLeast"/>
        <w:ind w:left="594" w:hanging="594"/>
        <w:jc w:val="left"/>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 xml:space="preserve"> 六、建筑幕墙检测项目/参数能力表（可选）</w:t>
      </w:r>
    </w:p>
    <w:tbl>
      <w:tblPr>
        <w:tblStyle w:val="8"/>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875"/>
        <w:gridCol w:w="728"/>
        <w:gridCol w:w="1377"/>
        <w:gridCol w:w="3175"/>
        <w:gridCol w:w="658"/>
        <w:gridCol w:w="88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10058" w:type="dxa"/>
            <w:gridSpan w:val="8"/>
            <w:tcBorders>
              <w:top w:val="nil"/>
              <w:left w:val="nil"/>
              <w:bottom w:val="single" w:color="auto" w:sz="4" w:space="0"/>
              <w:right w:val="nil"/>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655"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序号</w:t>
            </w:r>
          </w:p>
        </w:tc>
        <w:tc>
          <w:tcPr>
            <w:tcW w:w="1875" w:type="dxa"/>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检测项目</w:t>
            </w:r>
          </w:p>
        </w:tc>
        <w:tc>
          <w:tcPr>
            <w:tcW w:w="2105" w:type="dxa"/>
            <w:gridSpan w:val="2"/>
            <w:tcBorders>
              <w:top w:val="single" w:color="auto" w:sz="4" w:space="0"/>
              <w:bottom w:val="single" w:color="auto" w:sz="4" w:space="0"/>
            </w:tcBorders>
            <w:vAlign w:val="center"/>
          </w:tcPr>
          <w:p>
            <w:pPr>
              <w:jc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检测参数</w:t>
            </w:r>
          </w:p>
        </w:tc>
        <w:tc>
          <w:tcPr>
            <w:tcW w:w="3175" w:type="dxa"/>
            <w:vMerge w:val="restart"/>
            <w:tcBorders>
              <w:top w:val="single" w:color="auto" w:sz="4" w:space="0"/>
              <w:bottom w:val="single" w:color="auto" w:sz="4" w:space="0"/>
            </w:tcBorders>
            <w:vAlign w:val="center"/>
          </w:tcPr>
          <w:p>
            <w:pPr>
              <w:widowControl/>
              <w:jc w:val="center"/>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检测标准</w:t>
            </w:r>
          </w:p>
          <w:p>
            <w:pPr>
              <w:widowControl/>
              <w:jc w:val="center"/>
              <w:textAlignment w:val="cente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（方法）</w:t>
            </w:r>
          </w:p>
        </w:tc>
        <w:tc>
          <w:tcPr>
            <w:tcW w:w="1539" w:type="dxa"/>
            <w:gridSpan w:val="2"/>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确认结果</w:t>
            </w:r>
          </w:p>
        </w:tc>
        <w:tc>
          <w:tcPr>
            <w:tcW w:w="709"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blHeader/>
          <w:jc w:val="center"/>
        </w:trPr>
        <w:tc>
          <w:tcPr>
            <w:tcW w:w="655"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tcBorders>
              <w:top w:val="single" w:color="auto" w:sz="4" w:space="0"/>
              <w:bottom w:val="single" w:color="auto" w:sz="4" w:space="0"/>
            </w:tcBorders>
            <w:vAlign w:val="center"/>
          </w:tcPr>
          <w:p>
            <w:pPr>
              <w:jc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序号</w:t>
            </w:r>
          </w:p>
        </w:tc>
        <w:tc>
          <w:tcPr>
            <w:tcW w:w="1377" w:type="dxa"/>
            <w:tcBorders>
              <w:top w:val="single" w:color="auto" w:sz="4" w:space="0"/>
              <w:bottom w:val="single" w:color="auto" w:sz="4" w:space="0"/>
            </w:tcBorders>
            <w:vAlign w:val="center"/>
          </w:tcPr>
          <w:p>
            <w:pPr>
              <w:jc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名称</w:t>
            </w:r>
          </w:p>
        </w:tc>
        <w:tc>
          <w:tcPr>
            <w:tcW w:w="3175" w:type="dxa"/>
            <w:vMerge w:val="continue"/>
            <w:tcBorders>
              <w:top w:val="single" w:color="auto" w:sz="4" w:space="0"/>
              <w:bottom w:val="single" w:color="auto" w:sz="4" w:space="0"/>
            </w:tcBorders>
            <w:vAlign w:val="center"/>
          </w:tcPr>
          <w:p>
            <w:pPr>
              <w:widowControl/>
              <w:ind w:firstLine="800" w:firstLineChars="400"/>
              <w:jc w:val="center"/>
              <w:textAlignment w:val="center"/>
              <w:rPr>
                <w:rFonts w:ascii="Times New Roman" w:hAnsi="Times New Roman" w:cstheme="minorEastAsia"/>
                <w:color w:val="000000" w:themeColor="text1"/>
                <w:kern w:val="0"/>
                <w:sz w:val="20"/>
                <w:szCs w:val="20"/>
                <w14:textFill>
                  <w14:solidFill>
                    <w14:schemeClr w14:val="tx1"/>
                  </w14:solidFill>
                </w14:textFill>
              </w:rPr>
            </w:pPr>
          </w:p>
        </w:tc>
        <w:tc>
          <w:tcPr>
            <w:tcW w:w="658" w:type="dxa"/>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通过</w:t>
            </w:r>
          </w:p>
        </w:tc>
        <w:tc>
          <w:tcPr>
            <w:tcW w:w="881" w:type="dxa"/>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不通过</w:t>
            </w:r>
          </w:p>
        </w:tc>
        <w:tc>
          <w:tcPr>
            <w:tcW w:w="709" w:type="dxa"/>
            <w:vMerge w:val="continue"/>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tcBorders>
              <w:top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w:t>
            </w:r>
          </w:p>
        </w:tc>
        <w:tc>
          <w:tcPr>
            <w:tcW w:w="1875" w:type="dxa"/>
            <w:vMerge w:val="restart"/>
            <w:tcBorders>
              <w:top w:val="single" w:color="auto" w:sz="4" w:space="0"/>
            </w:tcBorders>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密封胶*</w:t>
            </w:r>
          </w:p>
        </w:tc>
        <w:tc>
          <w:tcPr>
            <w:tcW w:w="728" w:type="dxa"/>
            <w:vMerge w:val="restart"/>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1.1</w:t>
            </w:r>
          </w:p>
        </w:tc>
        <w:tc>
          <w:tcPr>
            <w:tcW w:w="1377" w:type="dxa"/>
            <w:vMerge w:val="restart"/>
            <w:tcBorders>
              <w:top w:val="single" w:color="auto" w:sz="4" w:space="0"/>
            </w:tcBorders>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耐候胶标准状态下的拉伸模量*</w:t>
            </w:r>
          </w:p>
        </w:tc>
        <w:tc>
          <w:tcPr>
            <w:tcW w:w="3175" w:type="dxa"/>
            <w:tcBorders>
              <w:top w:val="single" w:color="auto" w:sz="4" w:space="0"/>
            </w:tcBorders>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《建筑密封材料试验方法 第8部分：拉伸粘结性的测定》</w:t>
            </w:r>
          </w:p>
          <w:p>
            <w:pPr>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13477.8-2017</w:t>
            </w:r>
          </w:p>
        </w:tc>
        <w:tc>
          <w:tcPr>
            <w:tcW w:w="658"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 xml:space="preserve">《硅酮和改性硅酮建筑密封胶》GB/T 14683-2017 </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1.2</w:t>
            </w:r>
          </w:p>
        </w:tc>
        <w:tc>
          <w:tcPr>
            <w:tcW w:w="1377"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石材用密封胶的拉伸模量*</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《建筑密封材料试验方法 第8部分：拉伸粘结性的测定》</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13477.8-2017</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《石材用建筑密封胶》</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23261-2009</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rPr>
                <w:rFonts w:ascii="Times New Roman" w:hAnsi="Times New Roman" w:cstheme="minorEastAsia"/>
                <w:color w:val="000000" w:themeColor="text1"/>
                <w:kern w:val="0"/>
                <w:sz w:val="20"/>
                <w:szCs w:val="20"/>
                <w14:textFill>
                  <w14:solidFill>
                    <w14:schemeClr w14:val="tx1"/>
                  </w14:solidFill>
                </w14:textFill>
              </w:rPr>
            </w:pPr>
          </w:p>
        </w:tc>
        <w:tc>
          <w:tcPr>
            <w:tcW w:w="72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1.3</w:t>
            </w:r>
          </w:p>
        </w:tc>
        <w:tc>
          <w:tcPr>
            <w:tcW w:w="1377"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w:t>
            </w:r>
          </w:p>
        </w:tc>
        <w:tc>
          <w:tcPr>
            <w:tcW w:w="1875" w:type="dxa"/>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幕墙玻璃*</w:t>
            </w:r>
          </w:p>
        </w:tc>
        <w:tc>
          <w:tcPr>
            <w:tcW w:w="72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2.1</w:t>
            </w:r>
          </w:p>
        </w:tc>
        <w:tc>
          <w:tcPr>
            <w:tcW w:w="1377"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rPr>
                <w:rFonts w:ascii="Times New Roman" w:hAnsi="Times New Roman" w:cstheme="minorEastAsia"/>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restart"/>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w:t>
            </w:r>
          </w:p>
        </w:tc>
        <w:tc>
          <w:tcPr>
            <w:tcW w:w="1875" w:type="dxa"/>
            <w:vMerge w:val="restart"/>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幕墙*</w:t>
            </w:r>
          </w:p>
        </w:tc>
        <w:tc>
          <w:tcPr>
            <w:tcW w:w="728"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3.1</w:t>
            </w:r>
          </w:p>
        </w:tc>
        <w:tc>
          <w:tcPr>
            <w:tcW w:w="1377"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保温隔热性能*</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《建筑幕墙保温性能分级及检测方法》GB/T 29043-2012</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《建筑门窗玻璃幕墙热工计算规程》JGJ/T 151-2008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firstLine="200" w:firstLineChars="100"/>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firstLine="400" w:firstLineChars="200"/>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《建筑玻璃 可见光透射比、太阳光直接透射比、太阳能总透射比、紫外线透射比及有关窗玻璃参数的测定》GB/T 2680-2021</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3.2</w:t>
            </w:r>
          </w:p>
        </w:tc>
        <w:tc>
          <w:tcPr>
            <w:tcW w:w="1377"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隔声性能*</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《建筑门窗空气声隔声性能分级及检测方法》GB/T 8485-2008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《声学 建筑和建筑构件隔声测量 第3部分:建筑构件空气声隔声的实验室测量》GB/T 19889.3-2005</w:t>
            </w:r>
            <w:r>
              <w:rPr>
                <w:rFonts w:hint="eastAsia" w:ascii="Times New Roman" w:hAnsi="Times New Roman" w:cstheme="minorEastAsia"/>
                <w:color w:val="000000" w:themeColor="text1"/>
                <w:sz w:val="20"/>
                <w:szCs w:val="20"/>
                <w14:textFill>
                  <w14:solidFill>
                    <w14:schemeClr w14:val="tx1"/>
                  </w14:solidFill>
                </w14:textFill>
              </w:rPr>
              <w:tab/>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3.3</w:t>
            </w:r>
          </w:p>
        </w:tc>
        <w:tc>
          <w:tcPr>
            <w:tcW w:w="1377"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采光性能*</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《玻璃幕墙光热性能》</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18091-2015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《建筑外窗采光性能分级及检测方法》GB/T 11976-2015</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3.4</w:t>
            </w:r>
          </w:p>
        </w:tc>
        <w:tc>
          <w:tcPr>
            <w:tcW w:w="1377"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耐撞击性能*</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《建筑幕墙》GB/T 21086-2017</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restart"/>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3.5</w:t>
            </w:r>
          </w:p>
        </w:tc>
        <w:tc>
          <w:tcPr>
            <w:tcW w:w="1377" w:type="dxa"/>
            <w:vMerge w:val="restart"/>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防火性能*</w:t>
            </w: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《镶玻璃构件耐火试验方法》</w:t>
            </w:r>
          </w:p>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GB/T 12513-2006</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Merge w:val="continue"/>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《建筑构件耐火试验方法第1部分:通用要求》GB/T 9978.1-2008</w:t>
            </w: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5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875" w:type="dxa"/>
            <w:vMerge w:val="continue"/>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2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3.6</w:t>
            </w:r>
          </w:p>
        </w:tc>
        <w:tc>
          <w:tcPr>
            <w:tcW w:w="1377" w:type="dxa"/>
            <w:vAlign w:val="center"/>
          </w:tcPr>
          <w:p>
            <w:pP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sz w:val="20"/>
                <w:szCs w:val="20"/>
                <w14:textFill>
                  <w14:solidFill>
                    <w14:schemeClr w14:val="tx1"/>
                  </w14:solidFill>
                </w14:textFill>
              </w:rPr>
              <w:t>其它*</w:t>
            </w:r>
          </w:p>
        </w:tc>
        <w:tc>
          <w:tcPr>
            <w:tcW w:w="3175"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5" w:type="dxa"/>
            <w:vAlign w:val="center"/>
          </w:tcPr>
          <w:p>
            <w:pPr>
              <w:widowControl/>
              <w:wordWrap w:val="0"/>
              <w:snapToGrid w:val="0"/>
              <w:spacing w:before="120" w:line="300" w:lineRule="atLeast"/>
              <w:ind w:right="-336" w:firstLine="200" w:firstLineChars="100"/>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4</w:t>
            </w:r>
          </w:p>
        </w:tc>
        <w:tc>
          <w:tcPr>
            <w:tcW w:w="1875"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72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1377" w:type="dxa"/>
            <w:vAlign w:val="center"/>
          </w:tcPr>
          <w:p>
            <w:pPr>
              <w:rPr>
                <w:rFonts w:ascii="Times New Roman" w:hAnsi="Times New Roman" w:cstheme="minorEastAsia"/>
                <w:color w:val="000000" w:themeColor="text1"/>
                <w:sz w:val="20"/>
                <w:szCs w:val="20"/>
                <w14:textFill>
                  <w14:solidFill>
                    <w14:schemeClr w14:val="tx1"/>
                  </w14:solidFill>
                </w14:textFill>
              </w:rPr>
            </w:pPr>
          </w:p>
        </w:tc>
        <w:tc>
          <w:tcPr>
            <w:tcW w:w="3175" w:type="dxa"/>
            <w:vAlign w:val="center"/>
          </w:tcPr>
          <w:p>
            <w:pPr>
              <w:rPr>
                <w:rFonts w:ascii="Times New Roman" w:hAnsi="Times New Roman" w:cstheme="minorEastAsia"/>
                <w:color w:val="000000" w:themeColor="text1"/>
                <w:sz w:val="20"/>
                <w:szCs w:val="20"/>
                <w14:textFill>
                  <w14:solidFill>
                    <w14:schemeClr w14:val="tx1"/>
                  </w14:solidFill>
                </w14:textFill>
              </w:rPr>
            </w:pPr>
          </w:p>
        </w:tc>
        <w:tc>
          <w:tcPr>
            <w:tcW w:w="658"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881"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c>
          <w:tcPr>
            <w:tcW w:w="709" w:type="dxa"/>
            <w:vAlign w:val="center"/>
          </w:tcPr>
          <w:p>
            <w:pPr>
              <w:widowControl/>
              <w:wordWrap w:val="0"/>
              <w:snapToGrid w:val="0"/>
              <w:spacing w:before="120" w:line="300" w:lineRule="atLeast"/>
              <w:ind w:right="-336"/>
              <w:jc w:val="left"/>
              <w:rPr>
                <w:rFonts w:ascii="Times New Roman" w:hAnsi="Times New Roman" w:cstheme="minorEastAsia"/>
                <w:color w:val="000000" w:themeColor="text1"/>
                <w:kern w:val="0"/>
                <w:sz w:val="20"/>
                <w:szCs w:val="20"/>
                <w14:textFill>
                  <w14:solidFill>
                    <w14:schemeClr w14:val="tx1"/>
                  </w14:solidFill>
                </w14:textFill>
              </w:rPr>
            </w:pPr>
          </w:p>
        </w:tc>
      </w:tr>
    </w:tbl>
    <w:p>
      <w:pPr>
        <w:widowControl/>
        <w:shd w:val="clear" w:color="auto" w:fill="FFFFFF"/>
        <w:wordWrap w:val="0"/>
        <w:spacing w:line="440" w:lineRule="atLeast"/>
        <w:jc w:val="center"/>
        <w:rPr>
          <w:rFonts w:hint="eastAsia" w:ascii="Times New Roman" w:hAnsi="Times New Roman" w:eastAsia="宋体" w:cs="宋体"/>
          <w:b/>
          <w:color w:val="000000" w:themeColor="text1"/>
          <w:kern w:val="0"/>
          <w:sz w:val="28"/>
          <w:szCs w:val="28"/>
          <w14:textFill>
            <w14:solidFill>
              <w14:schemeClr w14:val="tx1"/>
            </w14:solidFill>
          </w14:textFill>
        </w:rPr>
      </w:pPr>
    </w:p>
    <w:p>
      <w:pPr>
        <w:widowControl/>
        <w:shd w:val="clear" w:color="auto" w:fill="FFFFFF"/>
        <w:wordWrap w:val="0"/>
        <w:spacing w:line="440" w:lineRule="atLeast"/>
        <w:jc w:val="center"/>
        <w:rPr>
          <w:rFonts w:hint="eastAsia" w:ascii="Times New Roman" w:hAnsi="Times New Roman" w:eastAsia="宋体" w:cs="宋体"/>
          <w:b/>
          <w:color w:val="000000" w:themeColor="text1"/>
          <w:kern w:val="0"/>
          <w:sz w:val="28"/>
          <w:szCs w:val="28"/>
          <w14:textFill>
            <w14:solidFill>
              <w14:schemeClr w14:val="tx1"/>
            </w14:solidFill>
          </w14:textFill>
        </w:rPr>
      </w:pPr>
    </w:p>
    <w:p>
      <w:pPr>
        <w:widowControl/>
        <w:shd w:val="clear" w:color="auto" w:fill="FFFFFF"/>
        <w:wordWrap w:val="0"/>
        <w:spacing w:line="440" w:lineRule="atLeast"/>
        <w:jc w:val="center"/>
        <w:rPr>
          <w:rFonts w:hint="eastAsia" w:ascii="Times New Roman" w:hAnsi="Times New Roman" w:eastAsia="宋体" w:cs="宋体"/>
          <w:b/>
          <w:color w:val="000000" w:themeColor="text1"/>
          <w:kern w:val="0"/>
          <w:sz w:val="28"/>
          <w:szCs w:val="28"/>
          <w14:textFill>
            <w14:solidFill>
              <w14:schemeClr w14:val="tx1"/>
            </w14:solidFill>
          </w14:textFill>
        </w:rPr>
      </w:pPr>
    </w:p>
    <w:p>
      <w:pPr>
        <w:widowControl/>
        <w:shd w:val="clear" w:color="auto" w:fill="FFFFFF"/>
        <w:wordWrap w:val="0"/>
        <w:spacing w:line="440" w:lineRule="atLeast"/>
        <w:jc w:val="center"/>
        <w:rPr>
          <w:rFonts w:hint="eastAsia" w:ascii="Times New Roman" w:hAnsi="Times New Roman" w:eastAsia="宋体" w:cs="宋体"/>
          <w:b/>
          <w:color w:val="000000" w:themeColor="text1"/>
          <w:kern w:val="0"/>
          <w:sz w:val="28"/>
          <w:szCs w:val="28"/>
          <w14:textFill>
            <w14:solidFill>
              <w14:schemeClr w14:val="tx1"/>
            </w14:solidFill>
          </w14:textFill>
        </w:rPr>
      </w:pPr>
    </w:p>
    <w:p>
      <w:pPr>
        <w:widowControl/>
        <w:shd w:val="clear" w:color="auto" w:fill="FFFFFF"/>
        <w:wordWrap w:val="0"/>
        <w:spacing w:line="440" w:lineRule="atLeast"/>
        <w:jc w:val="center"/>
        <w:rPr>
          <w:rFonts w:ascii="Times New Roman" w:hAnsi="Times New Roman" w:eastAsia="宋体" w:cs="宋体"/>
          <w:b/>
          <w:color w:val="000000" w:themeColor="text1"/>
          <w:kern w:val="0"/>
          <w:sz w:val="28"/>
          <w:szCs w:val="28"/>
          <w14:textFill>
            <w14:solidFill>
              <w14:schemeClr w14:val="tx1"/>
            </w14:solidFill>
          </w14:textFill>
        </w:rPr>
      </w:pPr>
      <w:r>
        <w:rPr>
          <w:rFonts w:hint="eastAsia" w:ascii="Times New Roman" w:hAnsi="Times New Roman" w:eastAsia="宋体" w:cs="宋体"/>
          <w:b/>
          <w:color w:val="000000" w:themeColor="text1"/>
          <w:kern w:val="0"/>
          <w:sz w:val="28"/>
          <w:szCs w:val="28"/>
          <w14:textFill>
            <w14:solidFill>
              <w14:schemeClr w14:val="tx1"/>
            </w14:solidFill>
          </w14:textFill>
        </w:rPr>
        <w:t>七、市政工程材料检测项目/参数能力表（必选）</w:t>
      </w:r>
    </w:p>
    <w:tbl>
      <w:tblPr>
        <w:tblStyle w:val="8"/>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76"/>
        <w:gridCol w:w="736"/>
        <w:gridCol w:w="969"/>
        <w:gridCol w:w="1318"/>
        <w:gridCol w:w="3482"/>
        <w:gridCol w:w="615"/>
        <w:gridCol w:w="76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10046" w:type="dxa"/>
            <w:gridSpan w:val="9"/>
            <w:tcBorders>
              <w:top w:val="nil"/>
              <w:left w:val="nil"/>
              <w:bottom w:val="single" w:color="auto" w:sz="4" w:space="0"/>
              <w:right w:val="nil"/>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blHeader/>
          <w:jc w:val="center"/>
        </w:trPr>
        <w:tc>
          <w:tcPr>
            <w:tcW w:w="660"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0"/>
                <w:szCs w:val="20"/>
              </w:rPr>
              <w:t>序号</w:t>
            </w:r>
          </w:p>
        </w:tc>
        <w:tc>
          <w:tcPr>
            <w:tcW w:w="1512" w:type="dxa"/>
            <w:gridSpan w:val="2"/>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eastAsia="宋体" w:cs="宋体"/>
                <w:kern w:val="0"/>
                <w:sz w:val="20"/>
                <w:szCs w:val="20"/>
              </w:rPr>
            </w:pPr>
            <w:r>
              <w:rPr>
                <w:rFonts w:hint="eastAsia" w:ascii="Times New Roman" w:hAnsi="Times New Roman" w:eastAsia="宋体" w:cs="宋体"/>
                <w:kern w:val="0"/>
                <w:sz w:val="20"/>
                <w:szCs w:val="20"/>
              </w:rPr>
              <w:t>检测项目</w:t>
            </w:r>
          </w:p>
        </w:tc>
        <w:tc>
          <w:tcPr>
            <w:tcW w:w="2287" w:type="dxa"/>
            <w:gridSpan w:val="2"/>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检测参数</w:t>
            </w:r>
          </w:p>
        </w:tc>
        <w:tc>
          <w:tcPr>
            <w:tcW w:w="3482" w:type="dxa"/>
            <w:vMerge w:val="restart"/>
            <w:tcBorders>
              <w:top w:val="single" w:color="auto" w:sz="4" w:space="0"/>
              <w:bottom w:val="single" w:color="auto" w:sz="4" w:space="0"/>
            </w:tcBorders>
            <w:vAlign w:val="center"/>
          </w:tcPr>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检测标准</w:t>
            </w:r>
          </w:p>
          <w:p>
            <w:pPr>
              <w:widowControl/>
              <w:jc w:val="center"/>
              <w:textAlignment w:val="center"/>
              <w:rPr>
                <w:rFonts w:ascii="Times New Roman" w:hAnsi="Times New Roman" w:eastAsia="宋体" w:cs="宋体"/>
                <w:color w:val="000000"/>
                <w:kern w:val="0"/>
                <w:sz w:val="20"/>
                <w:szCs w:val="20"/>
                <w:lang w:bidi="ar"/>
              </w:rPr>
            </w:pPr>
            <w:r>
              <w:rPr>
                <w:rFonts w:hint="eastAsia" w:ascii="Times New Roman" w:hAnsi="Times New Roman" w:eastAsia="宋体" w:cs="宋体"/>
                <w:color w:val="000000"/>
                <w:kern w:val="0"/>
                <w:sz w:val="20"/>
                <w:szCs w:val="20"/>
                <w:lang w:bidi="ar"/>
              </w:rPr>
              <w:t>（方法）</w:t>
            </w:r>
          </w:p>
        </w:tc>
        <w:tc>
          <w:tcPr>
            <w:tcW w:w="1380" w:type="dxa"/>
            <w:gridSpan w:val="2"/>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eastAsia="宋体" w:cs="宋体"/>
                <w:kern w:val="0"/>
                <w:sz w:val="20"/>
                <w:szCs w:val="20"/>
              </w:rPr>
            </w:pPr>
            <w:r>
              <w:rPr>
                <w:rFonts w:hint="eastAsia" w:ascii="Times New Roman" w:hAnsi="Times New Roman" w:eastAsia="宋体" w:cs="宋体"/>
                <w:kern w:val="0"/>
                <w:sz w:val="20"/>
                <w:szCs w:val="20"/>
              </w:rPr>
              <w:t>确认结果</w:t>
            </w:r>
          </w:p>
        </w:tc>
        <w:tc>
          <w:tcPr>
            <w:tcW w:w="725"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blHeader/>
          <w:jc w:val="center"/>
        </w:trPr>
        <w:tc>
          <w:tcPr>
            <w:tcW w:w="660"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1512" w:type="dxa"/>
            <w:gridSpan w:val="2"/>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序号</w:t>
            </w:r>
          </w:p>
        </w:tc>
        <w:tc>
          <w:tcPr>
            <w:tcW w:w="1318"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名称</w:t>
            </w:r>
          </w:p>
        </w:tc>
        <w:tc>
          <w:tcPr>
            <w:tcW w:w="3482" w:type="dxa"/>
            <w:vMerge w:val="continue"/>
            <w:tcBorders>
              <w:top w:val="single" w:color="auto" w:sz="4" w:space="0"/>
              <w:bottom w:val="single" w:color="auto" w:sz="4" w:space="0"/>
            </w:tcBorders>
            <w:vAlign w:val="center"/>
          </w:tcPr>
          <w:p>
            <w:pPr>
              <w:widowControl/>
              <w:ind w:firstLine="800" w:firstLineChars="400"/>
              <w:textAlignment w:val="center"/>
              <w:rPr>
                <w:rFonts w:ascii="Times New Roman" w:hAnsi="Times New Roman" w:eastAsia="宋体" w:cs="宋体"/>
                <w:color w:val="000000"/>
                <w:kern w:val="0"/>
                <w:sz w:val="20"/>
                <w:szCs w:val="20"/>
                <w:lang w:bidi="ar"/>
              </w:rPr>
            </w:pPr>
          </w:p>
        </w:tc>
        <w:tc>
          <w:tcPr>
            <w:tcW w:w="615" w:type="dxa"/>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0"/>
                <w:szCs w:val="20"/>
              </w:rPr>
              <w:t>通过</w:t>
            </w:r>
          </w:p>
        </w:tc>
        <w:tc>
          <w:tcPr>
            <w:tcW w:w="765" w:type="dxa"/>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0"/>
                <w:szCs w:val="20"/>
              </w:rPr>
              <w:t>不通过</w:t>
            </w:r>
          </w:p>
        </w:tc>
        <w:tc>
          <w:tcPr>
            <w:tcW w:w="725" w:type="dxa"/>
            <w:vMerge w:val="continue"/>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60" w:type="dxa"/>
            <w:vMerge w:val="restart"/>
            <w:tcBorders>
              <w:top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w:t>
            </w:r>
          </w:p>
        </w:tc>
        <w:tc>
          <w:tcPr>
            <w:tcW w:w="1512" w:type="dxa"/>
            <w:gridSpan w:val="2"/>
            <w:vMerge w:val="restart"/>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土、无机结合</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稳定材料</w:t>
            </w:r>
          </w:p>
        </w:tc>
        <w:tc>
          <w:tcPr>
            <w:tcW w:w="969" w:type="dxa"/>
            <w:vMerge w:val="restart"/>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318" w:type="dxa"/>
            <w:vMerge w:val="restart"/>
            <w:tcBorders>
              <w:top w:val="single" w:color="auto" w:sz="4" w:space="0"/>
            </w:tcBorders>
            <w:vAlign w:val="center"/>
          </w:tcPr>
          <w:p>
            <w:pPr>
              <w:widowControl/>
              <w:shd w:val="clear" w:color="auto" w:fill="FFFFFF"/>
              <w:wordWrap w:val="0"/>
              <w:spacing w:line="440" w:lineRule="atLeast"/>
              <w:ind w:left="594" w:hanging="594"/>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含水率</w:t>
            </w:r>
          </w:p>
        </w:tc>
        <w:tc>
          <w:tcPr>
            <w:tcW w:w="3482" w:type="dxa"/>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15" w:type="dxa"/>
            <w:tcBorders>
              <w:top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tcBorders>
              <w:top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tcBorders>
              <w:top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widowControl/>
              <w:shd w:val="clear" w:color="auto" w:fill="FFFFFF"/>
              <w:wordWrap w:val="0"/>
              <w:spacing w:line="440" w:lineRule="atLeast"/>
              <w:ind w:left="594" w:hanging="594"/>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液限</w:t>
            </w:r>
          </w:p>
        </w:tc>
        <w:tc>
          <w:tcPr>
            <w:tcW w:w="3482"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《土工试验方法标准》</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GB/T 50123-2019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塑限</w:t>
            </w:r>
          </w:p>
        </w:tc>
        <w:tc>
          <w:tcPr>
            <w:tcW w:w="3482"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《土工试验方法标准》</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GB/T 50123-2019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击实</w:t>
            </w:r>
          </w:p>
        </w:tc>
        <w:tc>
          <w:tcPr>
            <w:tcW w:w="3482"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《土工试验方法标准》</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GB/T 50123-2019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粗粒土和巨粒土最大干密度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承载比（CBR）试验</w:t>
            </w:r>
          </w:p>
        </w:tc>
        <w:tc>
          <w:tcPr>
            <w:tcW w:w="3482"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《土工试验方法标准》</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GB/T 50123-2019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《公路土工试验规程》</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sz w:val="20"/>
                <w:szCs w:val="20"/>
                <w14:textFill>
                  <w14:solidFill>
                    <w14:schemeClr w14:val="tx1"/>
                  </w14:solidFill>
                </w14:textFill>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无侧限抗压强度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水泥或石灰剂量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《公路工程土工合成材料试验规程》 JTG E50-2006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 宽条拉伸试验方法》GB/T 15788-2017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延伸率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《公路工程土工合成材料试验规程》 JTG E50-2006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 宽条拉伸试验方法》GB/T 15788-2017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梯形撕裂强度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 梯形法撕破强力的测定》GB/T 13763-2010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2</w:t>
            </w:r>
          </w:p>
        </w:tc>
        <w:tc>
          <w:tcPr>
            <w:tcW w:w="1512" w:type="dxa"/>
            <w:gridSpan w:val="2"/>
            <w:vMerge w:val="restart"/>
            <w:vAlign w:val="center"/>
          </w:tcPr>
          <w:p>
            <w:pPr>
              <w:jc w:val="left"/>
              <w:rPr>
                <w:rFonts w:ascii="Times New Roman" w:hAnsi="Times New Roman" w:eastAsia="宋体" w:cs="宋体"/>
                <w:kern w:val="0"/>
                <w:sz w:val="20"/>
                <w:szCs w:val="20"/>
              </w:rPr>
            </w:pPr>
            <w:r>
              <w:rPr>
                <w:rFonts w:hint="eastAsia" w:ascii="Times New Roman" w:hAnsi="Times New Roman" w:eastAsia="宋体" w:cs="宋体"/>
                <w:bCs/>
                <w:kern w:val="0"/>
                <w:sz w:val="20"/>
                <w:szCs w:val="20"/>
              </w:rPr>
              <w:t>土工合成材料</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CBR顶破强力 </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 静态顶破试验（CBR法）》GB/T 14800-2010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厚度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《土工合成材料 规定压力下厚度的测定 第1部分：单层产品厚度的测定方法》GB/T 13761.1-2022   </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单位面积质量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 土工布及土工布有关产品单位面积质量的测定方法》GB/T 13762-2009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掺和料（粉煤</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灰、钢渣）</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SiO</w:t>
            </w:r>
            <w:r>
              <w:rPr>
                <w:rFonts w:hint="eastAsia" w:ascii="Times New Roman" w:hAnsi="Times New Roman" w:eastAsia="宋体" w:cs="宋体"/>
                <w:bCs/>
                <w:kern w:val="0"/>
                <w:sz w:val="20"/>
                <w:szCs w:val="20"/>
                <w:vertAlign w:val="subscript"/>
              </w:rPr>
              <w:t>2</w:t>
            </w:r>
            <w:r>
              <w:rPr>
                <w:rFonts w:hint="eastAsia" w:ascii="Times New Roman" w:hAnsi="Times New Roman" w:eastAsia="宋体" w:cs="宋体"/>
                <w:bCs/>
                <w:kern w:val="0"/>
                <w:sz w:val="20"/>
                <w:szCs w:val="20"/>
              </w:rPr>
              <w:t>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Al</w:t>
            </w:r>
            <w:r>
              <w:rPr>
                <w:rFonts w:hint="eastAsia" w:ascii="Times New Roman" w:hAnsi="Times New Roman" w:eastAsia="宋体" w:cs="宋体"/>
                <w:bCs/>
                <w:kern w:val="0"/>
                <w:sz w:val="20"/>
                <w:szCs w:val="20"/>
                <w:vertAlign w:val="subscript"/>
              </w:rPr>
              <w:t>2</w:t>
            </w:r>
            <w:r>
              <w:rPr>
                <w:rFonts w:hint="eastAsia" w:ascii="Times New Roman" w:hAnsi="Times New Roman" w:eastAsia="宋体" w:cs="宋体"/>
                <w:bCs/>
                <w:kern w:val="0"/>
                <w:sz w:val="20"/>
                <w:szCs w:val="20"/>
              </w:rPr>
              <w:t>O</w:t>
            </w:r>
            <w:r>
              <w:rPr>
                <w:rFonts w:hint="eastAsia" w:ascii="Times New Roman" w:hAnsi="Times New Roman" w:eastAsia="宋体" w:cs="宋体"/>
                <w:bCs/>
                <w:kern w:val="0"/>
                <w:sz w:val="20"/>
                <w:szCs w:val="20"/>
                <w:vertAlign w:val="subscript"/>
              </w:rPr>
              <w:t>3</w:t>
            </w:r>
            <w:r>
              <w:rPr>
                <w:rFonts w:hint="eastAsia" w:ascii="Times New Roman" w:hAnsi="Times New Roman" w:eastAsia="宋体" w:cs="宋体"/>
                <w:bCs/>
                <w:kern w:val="0"/>
                <w:sz w:val="20"/>
                <w:szCs w:val="20"/>
              </w:rPr>
              <w:t>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Fe</w:t>
            </w:r>
            <w:r>
              <w:rPr>
                <w:rFonts w:hint="eastAsia" w:ascii="Times New Roman" w:hAnsi="Times New Roman" w:eastAsia="宋体" w:cs="宋体"/>
                <w:bCs/>
                <w:kern w:val="0"/>
                <w:sz w:val="20"/>
                <w:szCs w:val="20"/>
                <w:vertAlign w:val="subscript"/>
              </w:rPr>
              <w:t>2</w:t>
            </w:r>
            <w:r>
              <w:rPr>
                <w:rFonts w:hint="eastAsia" w:ascii="Times New Roman" w:hAnsi="Times New Roman" w:eastAsia="宋体" w:cs="宋体"/>
                <w:bCs/>
                <w:kern w:val="0"/>
                <w:sz w:val="20"/>
                <w:szCs w:val="20"/>
              </w:rPr>
              <w:t>O</w:t>
            </w:r>
            <w:r>
              <w:rPr>
                <w:rFonts w:hint="eastAsia" w:ascii="Times New Roman" w:hAnsi="Times New Roman" w:eastAsia="宋体" w:cs="宋体"/>
                <w:bCs/>
                <w:kern w:val="0"/>
                <w:sz w:val="20"/>
                <w:szCs w:val="20"/>
                <w:vertAlign w:val="subscript"/>
              </w:rPr>
              <w:t>3</w:t>
            </w:r>
            <w:r>
              <w:rPr>
                <w:rFonts w:hint="eastAsia" w:ascii="Times New Roman" w:hAnsi="Times New Roman" w:eastAsia="宋体" w:cs="宋体"/>
                <w:bCs/>
                <w:kern w:val="0"/>
                <w:sz w:val="20"/>
                <w:szCs w:val="20"/>
              </w:rPr>
              <w:t>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烧失量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比表面积</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沥青及乳化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针入度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p>
            <w:pPr>
              <w:jc w:val="left"/>
              <w:rPr>
                <w:rFonts w:ascii="Times New Roman" w:hAnsi="Times New Roman" w:eastAsia="宋体" w:cs="宋体"/>
                <w:bCs/>
                <w:kern w:val="0"/>
                <w:sz w:val="20"/>
                <w:szCs w:val="20"/>
                <w:highlight w:val="yellow"/>
              </w:rPr>
            </w:pP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软化点</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延度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质量变化</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残留针入度比</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残留延度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4.7</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破乳速度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4.8</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标准黏度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4.9</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蒸发残留物</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4.10</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弹性恢复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w:t>
            </w:r>
          </w:p>
        </w:tc>
        <w:tc>
          <w:tcPr>
            <w:tcW w:w="776"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沥青混</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合料用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矿粉、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木质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素纤维</w:t>
            </w:r>
          </w:p>
          <w:p>
            <w:pPr>
              <w:jc w:val="left"/>
              <w:rPr>
                <w:rFonts w:ascii="Times New Roman" w:hAnsi="Times New Roman" w:eastAsia="宋体" w:cs="宋体"/>
                <w:bCs/>
                <w:kern w:val="0"/>
                <w:sz w:val="20"/>
                <w:szCs w:val="20"/>
              </w:rPr>
            </w:pP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压碎值</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洛杉矶磨耗损失</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表观相对密度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吸水率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沥青黏附性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颗粒级配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表观相对密度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砂当量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颗粒级配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矿粉</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表观相对密度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亲水系数</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塑性指数</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《公路土工试验规程》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3430-2020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加热安定性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筛分</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含水率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素</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纤</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维</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长度</w:t>
            </w:r>
          </w:p>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《沥青路面用纤维》JT/T 533-2020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《化学纤维 短纤维长度试验方法》GB/T 14336-2008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灰分含量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《沥青路面用纤维》JT/T 533-2020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《化学纤维 短纤维长度试验方法》GB/T 14336-2008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5.4.3</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吸油率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《沥青路面用纤维》JT/T 533-2020</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《化学纤维 短纤维长度试验方法》GB/T 14336-2008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沥青混合料</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马歇尔稳定度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流值</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矿料级配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油石比</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路面砖及路缘石</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《混凝土路面砖》GB/T 28635-2012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《混凝土路缘石》JC/T 899-2016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抗折强度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《混凝土路面砖》GB/T 28635-2012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《混凝土路缘石》JC/T 899-2016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防滑性能</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《混凝土路面砖》GB/T 28635-2012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耐磨性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《无机地面材料耐磨性能试验方法》GB/T 12988-2009</w:t>
            </w:r>
          </w:p>
        </w:tc>
        <w:tc>
          <w:tcPr>
            <w:tcW w:w="615" w:type="dxa"/>
            <w:vAlign w:val="center"/>
          </w:tcPr>
          <w:p>
            <w:pPr>
              <w:jc w:val="left"/>
              <w:rPr>
                <w:rFonts w:ascii="Times New Roman" w:hAnsi="Times New Roman" w:eastAsia="宋体" w:cs="宋体"/>
                <w:bCs/>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《混凝土及其制品耐磨性试验方法(滚珠轴承法)》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16925-1997</w:t>
            </w:r>
          </w:p>
        </w:tc>
        <w:tc>
          <w:tcPr>
            <w:tcW w:w="615" w:type="dxa"/>
            <w:vAlign w:val="center"/>
          </w:tcPr>
          <w:p>
            <w:pPr>
              <w:jc w:val="left"/>
              <w:rPr>
                <w:rFonts w:ascii="Times New Roman" w:hAnsi="Times New Roman" w:eastAsia="宋体" w:cs="宋体"/>
                <w:bCs/>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检查井盖、水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篦、混凝土模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块、防撞墩、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隔离墩</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《混凝土物理力学性能试验方法标准》GB/T 50081-2019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试验荷载</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《检查井盖》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23858-2009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残余变形</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《检查井盖》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23858-2009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w:t>
            </w:r>
          </w:p>
        </w:tc>
        <w:tc>
          <w:tcPr>
            <w:tcW w:w="1512"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凝结时间</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《水泥标准稠度用水量、凝结时间、安定性检验方法》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1346-2011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安定性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《水泥标准稠度用水量、凝结时间、安定性检验方法》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1346-2011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胶砂强度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《水泥胶砂强度检验方法（ISO）法》GB/T 17671-2021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氯离子含量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w:t>
            </w:r>
          </w:p>
        </w:tc>
        <w:tc>
          <w:tcPr>
            <w:tcW w:w="77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集料</w:t>
            </w: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颗粒级配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含泥量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10.1.3</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泥块含量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亚甲蓝值与石粉含量</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（人工砂）</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10.1.5</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压碎指标（人工砂）</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10.1.6</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氯离子含量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10</w:t>
            </w:r>
          </w:p>
        </w:tc>
        <w:tc>
          <w:tcPr>
            <w:tcW w:w="77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骨料、</w:t>
            </w: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集料</w:t>
            </w:r>
          </w:p>
        </w:tc>
        <w:tc>
          <w:tcPr>
            <w:tcW w:w="736"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颗粒级配</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含泥量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10.2.3</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泥块含量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压碎值指标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10.2.5</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针片状颗粒含量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钢筋（含焊接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与机械连接）</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11.1</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屈服强度</w:t>
            </w: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 拉伸试验第1部分：室温试验方法》GB/T 228.1-2021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28900-2022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《金属材料焊缝破坏性试验融化焊接头焊及熔敷金属纵向拉伸试验》GB/T 2652-2022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21839-2019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钢筋（含焊接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与机械连接）</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11.2</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抗拉强度</w:t>
            </w: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 拉伸试验第1部分：室温试验方法》GB/T 228.1-2021</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28900-2022</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《钢筋焊接接头试验方法标准》</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JGJ/T 27-2014</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《钢筋机械连接技术规程》</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JGJ 107-2016</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《钢筋焊接及验收规程》</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JGJ 18-2012</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《金属材料焊缝破坏性试验融化焊接头焊及熔敷金属纵向拉伸试验》GB/T 2652-2022</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《焊接接头拉伸试验方法》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2651-2008</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《钎焊接头强度试验方法》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11363-2008</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21839-2019</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11.3</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断后伸长率</w:t>
            </w: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 拉伸试验 第1部分：室温试验方法》GB/T 228.1-2021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28900-2022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《金属材料焊缝破坏性试验融化焊接头焊及熔敷金属纵向拉伸试验》GB/T 2652-2022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《预应力混凝土用钢材试验方法》GB/T 21839-2019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最大力下总延伸率</w:t>
            </w:r>
          </w:p>
        </w:tc>
        <w:tc>
          <w:tcPr>
            <w:tcW w:w="3482" w:type="dxa"/>
            <w:vAlign w:val="center"/>
          </w:tcPr>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《金属材料 拉伸试验 第1部分：室温试验方法》GB/T 228.1-2021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《钢筋混凝土用钢材试验方法》GB/T 28900-2022</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《预应力混凝土用钢材试验方法》GB/T 21839-2019</w:t>
            </w:r>
          </w:p>
        </w:tc>
        <w:tc>
          <w:tcPr>
            <w:tcW w:w="615" w:type="dxa"/>
            <w:vAlign w:val="center"/>
          </w:tcPr>
          <w:p>
            <w:pPr>
              <w:widowControl/>
              <w:wordWrap w:val="0"/>
              <w:snapToGrid w:val="0"/>
              <w:spacing w:before="120" w:line="300" w:lineRule="atLeast"/>
              <w:ind w:right="-336"/>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反向弯曲</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《钢筋混凝土用钢材试验方法》GB/T 28900-2022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11.6</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重量偏差</w:t>
            </w: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 第1部分：热轧光圆钢筋》GB/T 1499.1-2017</w:t>
            </w:r>
          </w:p>
        </w:tc>
        <w:tc>
          <w:tcPr>
            <w:tcW w:w="615" w:type="dxa"/>
            <w:vAlign w:val="center"/>
          </w:tcPr>
          <w:p>
            <w:pPr>
              <w:jc w:val="left"/>
              <w:rPr>
                <w:rFonts w:ascii="Times New Roman" w:hAnsi="Times New Roman" w:eastAsia="宋体" w:cs="宋体"/>
                <w:bCs/>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 第2部分：热轧带肋钢筋》GB/T 1499.2-2018</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《冷轧带肋钢筋》</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13788-2017</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512"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钢筋（含焊接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与机械连接）</w:t>
            </w: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11.6</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重量偏差</w:t>
            </w: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《预应力混凝土用钢丝》</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5223-2014</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《预应力混凝土用钢棒》</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5223.3-2017</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《钢筋混凝土用钢材试验方法》</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28900-2022</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wordWrap w:val="0"/>
              <w:adjustRightInd w:val="0"/>
              <w:snapToGrid w:val="0"/>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《钢筋混凝土用余热处理钢筋》</w:t>
            </w:r>
          </w:p>
          <w:p>
            <w:pPr>
              <w:widowControl/>
              <w:wordWrap w:val="0"/>
              <w:adjustRightInd w:val="0"/>
              <w:snapToGrid w:val="0"/>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13014-2013</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《预应力混凝土用螺纹钢筋》</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20065-2016</w:t>
            </w:r>
          </w:p>
        </w:tc>
        <w:tc>
          <w:tcPr>
            <w:tcW w:w="615" w:type="dxa"/>
            <w:vAlign w:val="center"/>
          </w:tcPr>
          <w:p>
            <w:pPr>
              <w:jc w:val="left"/>
              <w:rPr>
                <w:rFonts w:ascii="Times New Roman" w:hAnsi="Times New Roman" w:eastAsia="宋体" w:cs="宋体"/>
                <w:color w:val="FF0000"/>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11.7</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残余变形</w:t>
            </w:r>
          </w:p>
        </w:tc>
        <w:tc>
          <w:tcPr>
            <w:tcW w:w="3482" w:type="dxa"/>
            <w:vAlign w:val="center"/>
          </w:tcPr>
          <w:p>
            <w:pPr>
              <w:jc w:val="left"/>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《钢筋机械连接技术规程》</w:t>
            </w:r>
          </w:p>
          <w:p>
            <w:pPr>
              <w:jc w:val="left"/>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JGJ 107-2016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w:t>
            </w:r>
          </w:p>
        </w:tc>
        <w:tc>
          <w:tcPr>
            <w:tcW w:w="1512" w:type="dxa"/>
            <w:gridSpan w:val="2"/>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外加剂</w:t>
            </w:r>
          </w:p>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减水率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《混凝土外加剂》GB 8076-2008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pH 值</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《混凝土外加剂匀质性试验方法》GB/T 8077-2012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密度（或细度）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《混凝土外加剂匀质性试验方法》GB/T 8077-2012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抗压强度比</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《混凝土外加剂》GB 8076-2008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《混凝土物理力学性能试验方法标准》GB/T 50081-2019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凝结时间（差）</w:t>
            </w:r>
          </w:p>
        </w:tc>
        <w:tc>
          <w:tcPr>
            <w:tcW w:w="3482" w:type="dxa"/>
            <w:vAlign w:val="center"/>
          </w:tcPr>
          <w:p>
            <w:pPr>
              <w:widowControl/>
              <w:adjustRightInd w:val="0"/>
              <w:snapToGrid w:val="0"/>
              <w:textAlignment w:val="center"/>
              <w:rPr>
                <w:rFonts w:ascii="Times New Roman" w:hAnsi="Times New Roman" w:eastAsia="宋体" w:cs="宋体"/>
                <w:color w:val="000000"/>
                <w:sz w:val="20"/>
                <w:szCs w:val="20"/>
              </w:rPr>
            </w:pPr>
            <w:r>
              <w:rPr>
                <w:rFonts w:hint="eastAsia" w:ascii="Times New Roman" w:hAnsi="Times New Roman" w:eastAsia="宋体" w:cs="宋体"/>
                <w:kern w:val="0"/>
                <w:sz w:val="20"/>
                <w:szCs w:val="20"/>
              </w:rPr>
              <w:t>《混凝土外加剂》GB 8076-2008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含气量</w:t>
            </w:r>
          </w:p>
        </w:tc>
        <w:tc>
          <w:tcPr>
            <w:tcW w:w="3482"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《水泥标准稠度用水量、凝结时间、安定性检验方法》</w:t>
            </w:r>
          </w:p>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GB/T 1346-2011</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12.7</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固体含量（或含水率）</w:t>
            </w:r>
          </w:p>
        </w:tc>
        <w:tc>
          <w:tcPr>
            <w:tcW w:w="3482"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《混凝土外加剂匀质性试验方法》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8077-2012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12.8</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限制膨胀率</w:t>
            </w:r>
          </w:p>
        </w:tc>
        <w:tc>
          <w:tcPr>
            <w:tcW w:w="3482" w:type="dxa"/>
            <w:vAlign w:val="center"/>
          </w:tcPr>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《混凝土膨胀剂》GB/T 23439-2017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12.9</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泌水率比</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《混凝土外加剂》GB 8076-2008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12.10</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氯离子含量</w:t>
            </w:r>
          </w:p>
        </w:tc>
        <w:tc>
          <w:tcPr>
            <w:tcW w:w="3482" w:type="dxa"/>
            <w:vAlign w:val="center"/>
          </w:tcPr>
          <w:p>
            <w:pPr>
              <w:widowControl/>
              <w:adjustRightInd w:val="0"/>
              <w:snapToGrid w:val="0"/>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《混凝土外加剂匀质性试验方法》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GB/T 8077-2012</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w:t>
            </w:r>
          </w:p>
        </w:tc>
        <w:tc>
          <w:tcPr>
            <w:tcW w:w="1512" w:type="dxa"/>
            <w:gridSpan w:val="2"/>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砂浆</w:t>
            </w:r>
          </w:p>
          <w:p>
            <w:pPr>
              <w:jc w:val="center"/>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《建筑砂浆基本性能试验方法标准》JGJ/T 70-2009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稠度</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《建筑砂浆基本性能试验方法标准》JGJ/T 70-2009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保水率</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《建筑砂浆基本性能试验方法标准》JGJ/T 70-2009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拉伸粘接强度（抹灰、砌筑）</w:t>
            </w:r>
          </w:p>
        </w:tc>
        <w:tc>
          <w:tcPr>
            <w:tcW w:w="3482"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《建筑砂浆基本性能试验方法标准》JGJ/T 70-2009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w:t>
            </w:r>
          </w:p>
        </w:tc>
        <w:tc>
          <w:tcPr>
            <w:tcW w:w="1512"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14.1</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《混凝土物理力学性能试验方法标准》GB/T 50081-2019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14.2</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抗渗等级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《普通混凝土长期性能和耐久性能试验方法》GB/T 50082-2009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1512" w:type="dxa"/>
            <w:gridSpan w:val="2"/>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14.3</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坍落度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《普通混凝土拌和物试验方法》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50080-2016</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512" w:type="dxa"/>
            <w:gridSpan w:val="2"/>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14.4</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氯离子含量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《混凝土中氯离子含量检测技术规程》JGJ/T 322-2013</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w:t>
            </w:r>
          </w:p>
        </w:tc>
        <w:tc>
          <w:tcPr>
            <w:tcW w:w="776" w:type="dxa"/>
            <w:vMerge w:val="restart"/>
            <w:vAlign w:val="center"/>
          </w:tcPr>
          <w:p>
            <w:pPr>
              <w:jc w:val="left"/>
              <w:rPr>
                <w:rFonts w:ascii="Times New Roman" w:hAnsi="Times New Roman" w:eastAsia="宋体" w:cs="宋体"/>
                <w:bCs/>
                <w:kern w:val="0"/>
                <w:sz w:val="20"/>
                <w:szCs w:val="20"/>
              </w:rPr>
            </w:pP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防水材料及防</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水密封材料</w:t>
            </w:r>
          </w:p>
        </w:tc>
        <w:tc>
          <w:tcPr>
            <w:tcW w:w="736"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卷材</w:t>
            </w:r>
          </w:p>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15.1.1</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可溶物含量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《建筑防水卷材试验方法第26部分:沥青防水卷材可溶物含量(浸涂材料含量》GB/T 328.26-2007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15.1.2</w:t>
            </w:r>
          </w:p>
        </w:tc>
        <w:tc>
          <w:tcPr>
            <w:tcW w:w="1318"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拉力</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第8部分：沥青防水卷材 拉伸性能》</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328.8-2007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延伸率（或最大力时延伸率）</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《建筑防水卷材试验方法 第8部分：沥青防水卷材 拉伸性能》GB/T 328.8-2007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15.1.4</w:t>
            </w:r>
          </w:p>
        </w:tc>
        <w:tc>
          <w:tcPr>
            <w:tcW w:w="1318"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低温柔度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第14部分：沥青防水卷材 低温柔性》</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328.14-2007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Merge w:val="continue"/>
            <w:vAlign w:val="center"/>
          </w:tcPr>
          <w:p>
            <w:pPr>
              <w:jc w:val="left"/>
              <w:rPr>
                <w:rFonts w:ascii="Times New Roman" w:hAnsi="Times New Roman" w:eastAsia="宋体" w:cs="宋体"/>
                <w:bCs/>
                <w:kern w:val="0"/>
                <w:sz w:val="20"/>
                <w:szCs w:val="20"/>
              </w:rPr>
            </w:pPr>
          </w:p>
        </w:tc>
        <w:tc>
          <w:tcPr>
            <w:tcW w:w="1318" w:type="dxa"/>
            <w:vMerge w:val="continue"/>
            <w:vAlign w:val="center"/>
          </w:tcPr>
          <w:p>
            <w:pPr>
              <w:jc w:val="left"/>
              <w:rPr>
                <w:rFonts w:ascii="Times New Roman" w:hAnsi="Times New Roman" w:eastAsia="宋体" w:cs="宋体"/>
                <w:bCs/>
                <w:kern w:val="0"/>
                <w:sz w:val="20"/>
                <w:szCs w:val="20"/>
              </w:rPr>
            </w:pP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《建筑防水卷材试验方法 第15部分：高分子防水卷材低温弯折性》GB/T 328.15-2007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jc w:val="center"/>
              <w:rPr>
                <w:rFonts w:ascii="Times New Roman" w:hAnsi="Times New Roman" w:eastAsia="宋体" w:cs="宋体"/>
                <w:bCs/>
                <w:kern w:val="0"/>
                <w:sz w:val="20"/>
                <w:szCs w:val="20"/>
              </w:rPr>
            </w:pPr>
          </w:p>
        </w:tc>
        <w:tc>
          <w:tcPr>
            <w:tcW w:w="776" w:type="dxa"/>
            <w:vMerge w:val="continue"/>
            <w:vAlign w:val="center"/>
          </w:tcPr>
          <w:p>
            <w:pPr>
              <w:jc w:val="left"/>
              <w:rPr>
                <w:rFonts w:ascii="Times New Roman" w:hAnsi="Times New Roman" w:eastAsia="宋体" w:cs="宋体"/>
                <w:bCs/>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热老化后低温柔度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《建筑防水卷材试验方法 第14部分：沥青防水卷材 低温柔性》GB/T 328.14-2007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不透水性</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第10部分：沥青和高分子防水卷材 不透水性》GB/T 328.10-2007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15.1.7</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耐热度</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第11部分：沥青防水卷材 耐热性》</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328.11-2007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15.1.8</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断裂拉伸强度</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《建筑防水卷材试验方法 第9部分：高分子防水卷材 拉伸性能》</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328.9-2007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restart"/>
            <w:vAlign w:val="center"/>
          </w:tcPr>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15</w:t>
            </w:r>
          </w:p>
        </w:tc>
        <w:tc>
          <w:tcPr>
            <w:tcW w:w="776" w:type="dxa"/>
            <w:vMerge w:val="restart"/>
            <w:vAlign w:val="center"/>
          </w:tcPr>
          <w:p>
            <w:pPr>
              <w:jc w:val="left"/>
              <w:rPr>
                <w:rFonts w:ascii="Times New Roman" w:hAnsi="Times New Roman" w:eastAsia="宋体" w:cs="宋体"/>
                <w:bCs/>
                <w:kern w:val="0"/>
                <w:sz w:val="20"/>
                <w:szCs w:val="20"/>
              </w:rPr>
            </w:pP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防水材料及防</w:t>
            </w:r>
          </w:p>
          <w:p>
            <w:pPr>
              <w:jc w:val="left"/>
              <w:rPr>
                <w:rFonts w:ascii="Times New Roman" w:hAnsi="Times New Roman" w:eastAsia="宋体" w:cs="宋体"/>
                <w:kern w:val="0"/>
                <w:sz w:val="20"/>
                <w:szCs w:val="20"/>
              </w:rPr>
            </w:pPr>
            <w:r>
              <w:rPr>
                <w:rFonts w:hint="eastAsia" w:ascii="Times New Roman" w:hAnsi="Times New Roman" w:eastAsia="宋体" w:cs="宋体"/>
                <w:bCs/>
                <w:kern w:val="0"/>
                <w:sz w:val="20"/>
                <w:szCs w:val="20"/>
              </w:rPr>
              <w:t>水密封材料</w:t>
            </w:r>
          </w:p>
        </w:tc>
        <w:tc>
          <w:tcPr>
            <w:tcW w:w="736"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卷材</w:t>
            </w:r>
          </w:p>
          <w:p>
            <w:pPr>
              <w:jc w:val="left"/>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15.1.9</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断裂伸长率</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《建筑防水卷材试验方法 第9部分：高分子防水卷材 拉伸性能》</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328.9-2007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15.1.10</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撕裂强度</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《建筑防水卷材试验方法 第19部分：高分子防水卷材撕裂性能》</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328.19-2007</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涂料</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固体含量</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15.2.2</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拉伸强度</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15.2.3</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耐热性</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15.2.4</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低温柔性</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15.2.5</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不透水性</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76" w:type="dxa"/>
            <w:vMerge w:val="continue"/>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36" w:type="dxa"/>
            <w:vMerge w:val="continue"/>
            <w:vAlign w:val="center"/>
          </w:tcPr>
          <w:p>
            <w:pPr>
              <w:jc w:val="left"/>
              <w:rPr>
                <w:rFonts w:ascii="Times New Roman" w:hAnsi="Times New Roman" w:eastAsia="宋体" w:cs="宋体"/>
                <w:bCs/>
                <w:kern w:val="0"/>
                <w:sz w:val="20"/>
                <w:szCs w:val="20"/>
              </w:rPr>
            </w:pP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15.2.6</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断裂伸长率</w:t>
            </w:r>
          </w:p>
        </w:tc>
        <w:tc>
          <w:tcPr>
            <w:tcW w:w="3482" w:type="dxa"/>
            <w:vAlign w:val="center"/>
          </w:tcPr>
          <w:p>
            <w:pPr>
              <w:widowControl/>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《建筑防水涂料试验方法》</w:t>
            </w:r>
          </w:p>
          <w:p>
            <w:pPr>
              <w:widowControl/>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GB/T 16777-2008</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0"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w:t>
            </w:r>
          </w:p>
        </w:tc>
        <w:tc>
          <w:tcPr>
            <w:tcW w:w="1512" w:type="dxa"/>
            <w:gridSpan w:val="2"/>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w:t>
            </w:r>
          </w:p>
        </w:tc>
        <w:tc>
          <w:tcPr>
            <w:tcW w:w="969"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16.1</w:t>
            </w:r>
          </w:p>
        </w:tc>
        <w:tc>
          <w:tcPr>
            <w:tcW w:w="1318"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氯离子含量</w:t>
            </w:r>
          </w:p>
        </w:tc>
        <w:tc>
          <w:tcPr>
            <w:tcW w:w="3482"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《水质 氯化物的测定 硝酸银滴定法》GB/T 11896-1989</w:t>
            </w:r>
          </w:p>
        </w:tc>
        <w:tc>
          <w:tcPr>
            <w:tcW w:w="61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6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72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hd w:val="clear" w:color="auto" w:fill="FFFFFF"/>
        <w:wordWrap w:val="0"/>
        <w:spacing w:line="440" w:lineRule="atLeast"/>
        <w:ind w:left="594" w:hanging="594"/>
        <w:jc w:val="center"/>
        <w:rPr>
          <w:rFonts w:ascii="Times New Roman" w:hAnsi="Times New Roman"/>
        </w:rPr>
      </w:pPr>
      <w:r>
        <w:rPr>
          <w:rFonts w:hint="eastAsia" w:ascii="Times New Roman" w:hAnsi="Times New Roman" w:eastAsia="宋体" w:cs="宋体"/>
          <w:b/>
          <w:color w:val="000000" w:themeColor="text1"/>
          <w:kern w:val="0"/>
          <w:sz w:val="28"/>
          <w:szCs w:val="28"/>
          <w14:textFill>
            <w14:solidFill>
              <w14:schemeClr w14:val="tx1"/>
            </w14:solidFill>
          </w14:textFill>
        </w:rPr>
        <w:t>七、市政工程材料检测项目/参数能力表（可选）</w:t>
      </w:r>
    </w:p>
    <w:tbl>
      <w:tblPr>
        <w:tblStyle w:val="8"/>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90"/>
        <w:gridCol w:w="735"/>
        <w:gridCol w:w="1005"/>
        <w:gridCol w:w="1343"/>
        <w:gridCol w:w="3173"/>
        <w:gridCol w:w="675"/>
        <w:gridCol w:w="87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9975" w:type="dxa"/>
            <w:gridSpan w:val="9"/>
            <w:tcBorders>
              <w:top w:val="nil"/>
              <w:left w:val="nil"/>
              <w:bottom w:val="single" w:color="auto" w:sz="4" w:space="0"/>
              <w:right w:val="nil"/>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570" w:type="dxa"/>
            <w:vMerge w:val="restart"/>
            <w:tcBorders>
              <w:top w:val="single" w:color="auto" w:sz="4" w:space="0"/>
              <w:bottom w:val="single" w:color="auto" w:sz="4" w:space="0"/>
            </w:tcBorders>
            <w:vAlign w:val="center"/>
          </w:tcPr>
          <w:p>
            <w:pPr>
              <w:widowControl/>
              <w:wordWrap w:val="0"/>
              <w:snapToGrid w:val="0"/>
              <w:spacing w:before="120" w:line="300" w:lineRule="atLeast"/>
              <w:ind w:right="-336"/>
              <w:rPr>
                <w:rFonts w:ascii="Times New Roman" w:hAnsi="Times New Roman" w:eastAsia="宋体" w:cs="宋体"/>
                <w:kern w:val="0"/>
                <w:sz w:val="20"/>
                <w:szCs w:val="20"/>
              </w:rPr>
            </w:pPr>
            <w:r>
              <w:rPr>
                <w:rFonts w:hint="eastAsia" w:ascii="Times New Roman" w:hAnsi="Times New Roman" w:eastAsia="宋体" w:cs="宋体"/>
                <w:kern w:val="0"/>
                <w:sz w:val="20"/>
                <w:szCs w:val="20"/>
              </w:rPr>
              <w:t>序号</w:t>
            </w:r>
          </w:p>
        </w:tc>
        <w:tc>
          <w:tcPr>
            <w:tcW w:w="1725" w:type="dxa"/>
            <w:gridSpan w:val="2"/>
            <w:vMerge w:val="restart"/>
            <w:tcBorders>
              <w:top w:val="single" w:color="auto" w:sz="4" w:space="0"/>
              <w:bottom w:val="single" w:color="auto" w:sz="4" w:space="0"/>
            </w:tcBorders>
            <w:vAlign w:val="center"/>
          </w:tcPr>
          <w:p>
            <w:pPr>
              <w:widowControl/>
              <w:wordWrap w:val="0"/>
              <w:snapToGrid w:val="0"/>
              <w:spacing w:before="120" w:line="300" w:lineRule="atLeast"/>
              <w:ind w:right="-336" w:firstLine="200" w:firstLineChars="100"/>
              <w:rPr>
                <w:rFonts w:ascii="Times New Roman" w:hAnsi="Times New Roman" w:eastAsia="宋体" w:cs="宋体"/>
                <w:kern w:val="0"/>
                <w:sz w:val="20"/>
                <w:szCs w:val="20"/>
              </w:rPr>
            </w:pPr>
            <w:r>
              <w:rPr>
                <w:rFonts w:hint="eastAsia" w:ascii="Times New Roman" w:hAnsi="Times New Roman" w:eastAsia="宋体" w:cs="宋体"/>
                <w:kern w:val="0"/>
                <w:sz w:val="20"/>
                <w:szCs w:val="20"/>
              </w:rPr>
              <w:t>检测项目</w:t>
            </w:r>
          </w:p>
        </w:tc>
        <w:tc>
          <w:tcPr>
            <w:tcW w:w="2348" w:type="dxa"/>
            <w:gridSpan w:val="2"/>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检测参数</w:t>
            </w:r>
          </w:p>
        </w:tc>
        <w:tc>
          <w:tcPr>
            <w:tcW w:w="3173" w:type="dxa"/>
            <w:vMerge w:val="restart"/>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检测标准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（方法）</w:t>
            </w:r>
          </w:p>
        </w:tc>
        <w:tc>
          <w:tcPr>
            <w:tcW w:w="1545" w:type="dxa"/>
            <w:gridSpan w:val="2"/>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确认结果</w:t>
            </w:r>
          </w:p>
        </w:tc>
        <w:tc>
          <w:tcPr>
            <w:tcW w:w="614" w:type="dxa"/>
            <w:vMerge w:val="restart"/>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blHeader/>
          <w:jc w:val="center"/>
        </w:trPr>
        <w:tc>
          <w:tcPr>
            <w:tcW w:w="570" w:type="dxa"/>
            <w:vMerge w:val="continue"/>
            <w:tcBorders>
              <w:top w:val="single" w:color="auto" w:sz="4" w:space="0"/>
              <w:bottom w:val="single" w:color="auto" w:sz="4" w:space="0"/>
            </w:tcBorders>
            <w:vAlign w:val="center"/>
          </w:tcPr>
          <w:p>
            <w:pPr>
              <w:jc w:val="center"/>
              <w:rPr>
                <w:rFonts w:ascii="Times New Roman" w:hAnsi="Times New Roman"/>
              </w:rPr>
            </w:pPr>
          </w:p>
        </w:tc>
        <w:tc>
          <w:tcPr>
            <w:tcW w:w="1725" w:type="dxa"/>
            <w:gridSpan w:val="2"/>
            <w:vMerge w:val="continue"/>
            <w:tcBorders>
              <w:top w:val="single" w:color="auto" w:sz="4" w:space="0"/>
              <w:bottom w:val="single" w:color="auto" w:sz="4" w:space="0"/>
            </w:tcBorders>
            <w:vAlign w:val="center"/>
          </w:tcPr>
          <w:p>
            <w:pPr>
              <w:jc w:val="center"/>
              <w:rPr>
                <w:rFonts w:ascii="Times New Roman" w:hAnsi="Times New Roman"/>
              </w:rPr>
            </w:pPr>
          </w:p>
        </w:tc>
        <w:tc>
          <w:tcPr>
            <w:tcW w:w="1005"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序号</w:t>
            </w:r>
          </w:p>
        </w:tc>
        <w:tc>
          <w:tcPr>
            <w:tcW w:w="1343"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名称</w:t>
            </w:r>
          </w:p>
        </w:tc>
        <w:tc>
          <w:tcPr>
            <w:tcW w:w="3173" w:type="dxa"/>
            <w:vMerge w:val="continue"/>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p>
        </w:tc>
        <w:tc>
          <w:tcPr>
            <w:tcW w:w="675"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通过</w:t>
            </w:r>
          </w:p>
        </w:tc>
        <w:tc>
          <w:tcPr>
            <w:tcW w:w="870" w:type="dxa"/>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不通过</w:t>
            </w:r>
          </w:p>
        </w:tc>
        <w:tc>
          <w:tcPr>
            <w:tcW w:w="614" w:type="dxa"/>
            <w:vMerge w:val="continue"/>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restart"/>
            <w:tcBorders>
              <w:top w:val="single" w:color="auto" w:sz="4" w:space="0"/>
              <w:bottom w:val="single" w:color="auto" w:sz="4" w:space="0"/>
            </w:tcBorders>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w:t>
            </w:r>
          </w:p>
        </w:tc>
        <w:tc>
          <w:tcPr>
            <w:tcW w:w="1725" w:type="dxa"/>
            <w:gridSpan w:val="2"/>
            <w:vMerge w:val="restart"/>
            <w:tcBorders>
              <w:top w:val="single" w:color="auto" w:sz="4" w:space="0"/>
              <w:bottom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土、无机结合</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稳定材料*</w:t>
            </w:r>
          </w:p>
        </w:tc>
        <w:tc>
          <w:tcPr>
            <w:tcW w:w="1005" w:type="dxa"/>
            <w:tcBorders>
              <w:top w:val="single" w:color="auto" w:sz="4" w:space="0"/>
              <w:bottom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343" w:type="dxa"/>
            <w:tcBorders>
              <w:top w:val="single" w:color="auto" w:sz="4" w:space="0"/>
              <w:bottom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塑性指数*</w:t>
            </w:r>
          </w:p>
        </w:tc>
        <w:tc>
          <w:tcPr>
            <w:tcW w:w="3173" w:type="dxa"/>
            <w:tcBorders>
              <w:top w:val="single" w:color="auto" w:sz="4" w:space="0"/>
              <w:bottom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tcBorders>
              <w:top w:val="single" w:color="auto" w:sz="4" w:space="0"/>
              <w:bottom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tcBorders>
              <w:top w:val="single" w:color="auto" w:sz="4" w:space="0"/>
            </w:tcBorders>
            <w:vAlign w:val="center"/>
          </w:tcPr>
          <w:p>
            <w:pPr>
              <w:jc w:val="center"/>
              <w:rPr>
                <w:rFonts w:ascii="Times New Roman" w:hAnsi="Times New Roman" w:eastAsia="宋体" w:cs="宋体"/>
                <w:bCs/>
                <w:kern w:val="0"/>
                <w:sz w:val="20"/>
                <w:szCs w:val="20"/>
              </w:rPr>
            </w:pPr>
          </w:p>
        </w:tc>
        <w:tc>
          <w:tcPr>
            <w:tcW w:w="1725" w:type="dxa"/>
            <w:gridSpan w:val="2"/>
            <w:vMerge w:val="continue"/>
            <w:tcBorders>
              <w:top w:val="single" w:color="auto" w:sz="4" w:space="0"/>
            </w:tcBorders>
            <w:vAlign w:val="center"/>
          </w:tcPr>
          <w:p>
            <w:pPr>
              <w:jc w:val="left"/>
              <w:rPr>
                <w:rFonts w:ascii="Times New Roman" w:hAnsi="Times New Roman" w:eastAsia="宋体" w:cs="宋体"/>
                <w:bCs/>
                <w:kern w:val="0"/>
                <w:sz w:val="20"/>
                <w:szCs w:val="20"/>
              </w:rPr>
            </w:pPr>
          </w:p>
        </w:tc>
        <w:tc>
          <w:tcPr>
            <w:tcW w:w="1005" w:type="dxa"/>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w:t>
            </w:r>
          </w:p>
        </w:tc>
        <w:tc>
          <w:tcPr>
            <w:tcW w:w="1343" w:type="dxa"/>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不均匀系数*</w:t>
            </w:r>
          </w:p>
        </w:tc>
        <w:tc>
          <w:tcPr>
            <w:tcW w:w="3173" w:type="dxa"/>
            <w:tcBorders>
              <w:top w:val="single" w:color="auto" w:sz="4" w:space="0"/>
            </w:tcBorders>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tcBorders>
              <w:top w:val="single" w:color="auto" w:sz="4" w:space="0"/>
            </w:tcBorders>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0.6mm 以下颗粒含量*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颗粒分析*</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有机质含量*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易溶盐含量*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50123-2019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w:t>
            </w:r>
          </w:p>
        </w:tc>
        <w:tc>
          <w:tcPr>
            <w:tcW w:w="1343" w:type="dxa"/>
            <w:vAlign w:val="center"/>
          </w:tcPr>
          <w:p>
            <w:pPr>
              <w:jc w:val="left"/>
              <w:rPr>
                <w:rFonts w:ascii="Times New Roman" w:hAnsi="Times New Roman" w:eastAsia="宋体" w:cs="宋体"/>
                <w:bCs/>
                <w:color w:val="FF0000"/>
                <w:kern w:val="0"/>
                <w:sz w:val="20"/>
                <w:szCs w:val="20"/>
              </w:rPr>
            </w:pPr>
            <w:r>
              <w:rPr>
                <w:rFonts w:hint="eastAsia" w:ascii="Times New Roman" w:hAnsi="Times New Roman" w:eastAsia="宋体" w:cs="宋体"/>
                <w:bCs/>
                <w:color w:val="000000" w:themeColor="text1"/>
                <w:kern w:val="0"/>
                <w:sz w:val="20"/>
                <w:szCs w:val="20"/>
                <w14:textFill>
                  <w14:solidFill>
                    <w14:schemeClr w14:val="tx1"/>
                  </w14:solidFill>
                </w14:textFill>
              </w:rPr>
              <w:t>其它*</w:t>
            </w:r>
          </w:p>
        </w:tc>
        <w:tc>
          <w:tcPr>
            <w:tcW w:w="3173" w:type="dxa"/>
            <w:vAlign w:val="center"/>
          </w:tcPr>
          <w:p>
            <w:pPr>
              <w:jc w:val="left"/>
              <w:rPr>
                <w:rFonts w:ascii="Times New Roman" w:hAnsi="Times New Roman" w:eastAsia="宋体" w:cs="宋体"/>
                <w:bCs/>
                <w:color w:val="FF0000"/>
                <w:kern w:val="0"/>
                <w:sz w:val="20"/>
                <w:szCs w:val="20"/>
              </w:rPr>
            </w:pPr>
          </w:p>
        </w:tc>
        <w:tc>
          <w:tcPr>
            <w:tcW w:w="675" w:type="dxa"/>
            <w:vAlign w:val="center"/>
          </w:tcPr>
          <w:p>
            <w:pPr>
              <w:jc w:val="left"/>
              <w:rPr>
                <w:rFonts w:ascii="Times New Roman" w:hAnsi="Times New Roman" w:eastAsia="宋体" w:cs="宋体"/>
                <w:bCs/>
                <w:color w:val="FF0000"/>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w:t>
            </w:r>
          </w:p>
        </w:tc>
        <w:tc>
          <w:tcPr>
            <w:tcW w:w="1725"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土工合成材料*</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垂直渗透系数*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《土工布及其有关产品 无负荷时垂直渗透特性的测定》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15789-2016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刺破强力*</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《土工布及其有关产品 刺破强力的测定》GB/T 19978-2005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2.3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w:t>
            </w:r>
          </w:p>
        </w:tc>
        <w:tc>
          <w:tcPr>
            <w:tcW w:w="1725"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掺和料（粉煤</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灰、钢渣、矿粉）*</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游离氧化钙含量*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粉化率*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《钢渣稳定性试验方法》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24175-2009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压碎值*</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颗粒组成*</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725" w:type="dxa"/>
            <w:gridSpan w:val="2"/>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3.5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其它* </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w:t>
            </w:r>
          </w:p>
        </w:tc>
        <w:tc>
          <w:tcPr>
            <w:tcW w:w="1725"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沥青及乳化沥青*</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运动黏度*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布氏旋转黏度*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针入度指数*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蜡含量*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w:t>
            </w:r>
          </w:p>
        </w:tc>
        <w:tc>
          <w:tcPr>
            <w:tcW w:w="1725"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沥青及乳化沥青*</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闪点*</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动力黏度*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溶解度*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粒子电荷*</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1.18mm 筛筛上残留物*</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恩格拉黏度*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与粗集料的粘附性*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4.13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w:t>
            </w:r>
          </w:p>
        </w:tc>
        <w:tc>
          <w:tcPr>
            <w:tcW w:w="990"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沥青混</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合料用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矿粉、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木质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素纤维*</w:t>
            </w:r>
          </w:p>
          <w:p>
            <w:pPr>
              <w:jc w:val="left"/>
              <w:rPr>
                <w:rFonts w:ascii="Times New Roman" w:hAnsi="Times New Roman" w:eastAsia="宋体" w:cs="宋体"/>
                <w:bCs/>
                <w:kern w:val="0"/>
                <w:sz w:val="20"/>
                <w:szCs w:val="20"/>
              </w:rPr>
            </w:pP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坚固性*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软弱颗粒或软石含量*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磨光值*</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针片状颗粒含量*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&lt;0.075mm颗粒含量*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5.1.6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棱角性*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坚固性*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含泥量*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亚甲蓝值*</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《公路工程集料试验规程》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JTG E42-2005</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5.2.5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w:t>
            </w:r>
          </w:p>
        </w:tc>
        <w:tc>
          <w:tcPr>
            <w:tcW w:w="990"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沥青混合料用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细集料、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矿粉、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木质</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素纤维*</w:t>
            </w:r>
          </w:p>
        </w:tc>
        <w:tc>
          <w:tcPr>
            <w:tcW w:w="73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矿粉*</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5.3.1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木质素纤维*</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pH值*</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《沥青路面用纤维》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JT/T 533-2020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《沥青路面用纤维》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JT/T 533-2020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left"/>
              <w:rPr>
                <w:rFonts w:ascii="Times New Roman" w:hAnsi="Times New Roman" w:eastAsia="宋体" w:cs="宋体"/>
                <w:bCs/>
                <w:kern w:val="0"/>
                <w:sz w:val="20"/>
                <w:szCs w:val="20"/>
              </w:rPr>
            </w:pPr>
          </w:p>
        </w:tc>
        <w:tc>
          <w:tcPr>
            <w:tcW w:w="735" w:type="dxa"/>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5.4.3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w:t>
            </w:r>
          </w:p>
        </w:tc>
        <w:tc>
          <w:tcPr>
            <w:tcW w:w="1725" w:type="dxa"/>
            <w:gridSpan w:val="2"/>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沥青混合料*</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动稳定度*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《公路工程沥青施工技术规范》JTG F40-2004</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6.2</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残留稳定度*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《公路工程沥青施工技术规范》JTG F40-2004</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冻融劈裂强度比*</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《公路工程沥青施工技术规范》JTG F40-2004</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配合比设计*</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《公路工程沥青及沥青混合料试验规程》JTG E20-2011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《公路工程沥青施工技术规范》JTG F40-2004</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6.5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路面砖及路缘石*</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抗冻性*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28635-2012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《普通混凝土长期性能和耐久性能试验方法》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50082-2009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透水系数*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r>
              <w:fldChar w:fldCharType="begin"/>
            </w:r>
            <w:r>
              <w:instrText xml:space="preserve"> HYPERLINK "http://www.stdbuy.cn/Standard/StdInfo.aspx?ca=oXuh5YhqQVk=" \t "http://www.stdbuy.cn/Standard/_blank" </w:instrText>
            </w:r>
            <w:r>
              <w:fldChar w:fldCharType="separate"/>
            </w:r>
            <w:r>
              <w:rPr>
                <w:rFonts w:hint="eastAsia" w:ascii="Times New Roman" w:hAnsi="Times New Roman" w:eastAsia="宋体" w:cs="宋体"/>
                <w:bCs/>
                <w:kern w:val="0"/>
                <w:sz w:val="20"/>
                <w:szCs w:val="20"/>
              </w:rPr>
              <w:t>透水路面砖和透水路面板</w:t>
            </w:r>
            <w:r>
              <w:rPr>
                <w:rFonts w:hint="eastAsia" w:ascii="Times New Roman" w:hAnsi="Times New Roman" w:eastAsia="宋体" w:cs="宋体"/>
                <w:bCs/>
                <w:kern w:val="0"/>
                <w:sz w:val="20"/>
                <w:szCs w:val="20"/>
              </w:rPr>
              <w:fldChar w:fldCharType="end"/>
            </w:r>
            <w:r>
              <w:rPr>
                <w:rFonts w:hint="eastAsia" w:ascii="Times New Roman" w:hAnsi="Times New Roman" w:eastAsia="宋体" w:cs="宋体"/>
                <w:bCs/>
                <w:kern w:val="0"/>
                <w:sz w:val="20"/>
                <w:szCs w:val="20"/>
              </w:rPr>
              <w:t>》</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25993-2010</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28635-2012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《混凝土路缘石》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JC/T 899-2016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抗盐冻性*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《混凝土路面砖》</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28635-2012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《混凝土路缘石》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JC/T 899-2016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70"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w:t>
            </w:r>
          </w:p>
        </w:tc>
        <w:tc>
          <w:tcPr>
            <w:tcW w:w="1725" w:type="dxa"/>
            <w:gridSpan w:val="2"/>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检查井盖、水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篦、混凝土模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块、防撞墩、 </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隔离墩</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8.1</w:t>
            </w:r>
          </w:p>
        </w:tc>
        <w:tc>
          <w:tcPr>
            <w:tcW w:w="1343" w:type="dxa"/>
            <w:vAlign w:val="center"/>
          </w:tcPr>
          <w:p>
            <w:pPr>
              <w:jc w:val="left"/>
              <w:rPr>
                <w:rFonts w:ascii="Times New Roman" w:hAnsi="Times New Roman" w:eastAsia="宋体" w:cs="宋体"/>
                <w:bCs/>
                <w:color w:val="FF0000"/>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color w:val="FF0000"/>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保水率*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《砌筑水泥》GB/T 3183-2017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氧化镁含量*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三氧化硫含量*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9.5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w:t>
            </w:r>
          </w:p>
        </w:tc>
        <w:tc>
          <w:tcPr>
            <w:tcW w:w="99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10.1.2</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坚固性*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碱活性*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10.1.5</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硫化物和硫酸盐含量*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10.1.6</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轻物质含量*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10.1.7</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有机物含量*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w:t>
            </w:r>
          </w:p>
        </w:tc>
        <w:tc>
          <w:tcPr>
            <w:tcW w:w="99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10.1.8</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贝壳含量*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《建设用砂》GB/T 14684-2022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10.1.9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粗</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骨</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坚固性*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10.2.2</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碱活性*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堆积密度*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10.2.5</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空隙率*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《建设用卵石、碎石》</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14685-2022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《普通混凝土用砂、石质量检验方法标准》JGJ 52-2006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10.2.6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轻</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集</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筒压强度*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《轻集料及其试验方法 第2部分：轻集料试验方法》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17431.2-2010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堆积密度*</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《轻集料及其试验方法》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17431.2-2010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吸水率*</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《轻集料及其试验方法》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17431.2-2010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粒型系数*</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《轻集料及其试验方法》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17431.2-2010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筛分析*</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《轻集料及其试验方法》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17431.2-2010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10.3.6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钢筋（含焊接</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与机械连接）*</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弯曲性能*</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《金属材料 弯曲试验方法》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232-2010</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《钢筋混凝土用钢材试验方法》 GB/T 28900-2022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《钢筋焊接接头试验方法标准》JGJ/T 27-2014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w:t>
            </w:r>
          </w:p>
        </w:tc>
        <w:tc>
          <w:tcPr>
            <w:tcW w:w="1725" w:type="dxa"/>
            <w:gridSpan w:val="2"/>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外加剂*</w:t>
            </w:r>
          </w:p>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相对耐久性指标*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《混凝土外加剂》GB 8076-2008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含气量 1h 经时变化量</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（坍落度、含气量）*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《混凝土外加剂》GB 8076-2008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硫酸钠含量*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《混凝土外加剂匀质性试验方法》GB/T 8077-2012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收缩率比*</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《混凝土外加剂》GB 8076-2008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《普通混凝土长期性能和耐久性能试验方法标准》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50082-2009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《混凝土外加剂匀质性试验方法》GB/T 8077-2012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12.6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w:t>
            </w:r>
          </w:p>
        </w:tc>
        <w:tc>
          <w:tcPr>
            <w:tcW w:w="1725" w:type="dxa"/>
            <w:gridSpan w:val="2"/>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砂浆*</w:t>
            </w:r>
          </w:p>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分层度*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《建筑砂浆基本性能试验方法标准》JGJ/T 70-2009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配合比设计*</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《砌筑砂浆配合比设计规程》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JGJ/T 98-2010</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凝结时间*</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《建筑砂浆基本性能试验方法标准》JGJ/T 70-2009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抗渗性能*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《建筑砂浆基本性能试验方法标准》JGJ/T 70-2009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13.5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限制膨胀率*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《混凝土外加剂应用技术规范》GB 50119-2013</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抗冻性能*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《普通混凝土长期性能和耐久性能试验方法标准》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50082-2009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表观密度*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《普通混凝土拌合物性能试验方法标准》GB/T 50080-2016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含气量*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《普通混凝土拌合物性能试验方法标准》GB/T 50080-2016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凝结时间*</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《普通混凝土拌合物性能试验方法标准》GB/T 50080-2016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抗折强度*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《混凝土物理力学性能试验方法标准》GB/T 50081-2019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劈裂抗拉强度*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《混凝土物理力学性能试验方法标准》GB/T 50081-2019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静力受压弹性模量*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《混凝土物理力学性能试验方法标准》GB/T 50081-2019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抑制碱-骨料反应有效性*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《普通混凝土长期性能和耐久性能试验方法标准》</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50082-2009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14.10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kern w:val="0"/>
                <w:sz w:val="20"/>
                <w:szCs w:val="20"/>
              </w:rPr>
              <w:t>《混凝土结构现场检测技术标准》GB/T 50784-2013</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14.11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配合比设计*</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《普通混凝土配合比设计规程》JGJ 55-2011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sz w:val="20"/>
                <w:szCs w:val="20"/>
              </w:rPr>
            </w:pPr>
          </w:p>
        </w:tc>
        <w:tc>
          <w:tcPr>
            <w:tcW w:w="1725" w:type="dxa"/>
            <w:gridSpan w:val="2"/>
            <w:vMerge w:val="continue"/>
            <w:vAlign w:val="center"/>
          </w:tcPr>
          <w:p>
            <w:pPr>
              <w:jc w:val="center"/>
              <w:rPr>
                <w:rFonts w:ascii="Times New Roman" w:hAnsi="Times New Roman" w:eastAsia="宋体" w:cs="宋体"/>
                <w:sz w:val="20"/>
                <w:szCs w:val="20"/>
              </w:rPr>
            </w:pPr>
          </w:p>
        </w:tc>
        <w:tc>
          <w:tcPr>
            <w:tcW w:w="1005" w:type="dxa"/>
            <w:vMerge w:val="continue"/>
            <w:vAlign w:val="center"/>
          </w:tcPr>
          <w:p>
            <w:pPr>
              <w:jc w:val="left"/>
              <w:rPr>
                <w:rFonts w:ascii="Times New Roman" w:hAnsi="Times New Roman" w:eastAsia="宋体" w:cs="宋体"/>
                <w:sz w:val="20"/>
                <w:szCs w:val="20"/>
              </w:rPr>
            </w:pPr>
          </w:p>
        </w:tc>
        <w:tc>
          <w:tcPr>
            <w:tcW w:w="1343" w:type="dxa"/>
            <w:vMerge w:val="continue"/>
            <w:vAlign w:val="center"/>
          </w:tcPr>
          <w:p>
            <w:pPr>
              <w:jc w:val="left"/>
              <w:rPr>
                <w:rFonts w:ascii="Times New Roman" w:hAnsi="Times New Roman" w:eastAsia="宋体" w:cs="宋体"/>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《喷射混凝土应用技术规程》JGJ/T 372-2016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《轻骨料混凝土应用技术标准》JGJ/T 12-2019</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725" w:type="dxa"/>
            <w:gridSpan w:val="2"/>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14.12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w:t>
            </w:r>
          </w:p>
        </w:tc>
        <w:tc>
          <w:tcPr>
            <w:tcW w:w="99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料及防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tc>
        <w:tc>
          <w:tcPr>
            <w:tcW w:w="735" w:type="dxa"/>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卷材*</w:t>
            </w:r>
          </w:p>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胶粘剂：剪切性能*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《高分子防水卷材胶粘剂》</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JC/T 863-2011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胶粘剂：剥离性能*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《胶粘剂T剥离强度试验方法 挠性材料对挠性材料》</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2791-1995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胶粘带：剪切性能*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《氯化聚乙烯防水卷材》</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 12953-2003</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胶粘带：剥离性能*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《高分子防水卷材胶粘剂》</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JC/T 863-2011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15.1.5</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防水卷材：接缝剥离强度*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第20部分：沥青防水卷材 接缝剥离性能》GB/T 328.20-2007</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第21部分：高分子防水卷材 接缝剥离性能》GB/T 328.21-2007</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防水卷材：搭接缝不透水</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《建筑防水卷材试验方法 第10部分：沥青和高分子防水卷材 不透水性》</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328.10-2007</w:t>
            </w:r>
          </w:p>
        </w:tc>
        <w:tc>
          <w:tcPr>
            <w:tcW w:w="675" w:type="dxa"/>
            <w:vAlign w:val="center"/>
          </w:tcPr>
          <w:p>
            <w:pPr>
              <w:widowControl/>
              <w:wordWrap w:val="0"/>
              <w:snapToGrid w:val="0"/>
              <w:spacing w:before="120" w:line="300" w:lineRule="atLeast"/>
              <w:ind w:right="-336"/>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15.1.7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w:t>
            </w:r>
          </w:p>
        </w:tc>
        <w:tc>
          <w:tcPr>
            <w:tcW w:w="99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料及防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涂料*</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涂膜抗渗性*</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《聚合物水泥防水涂料》</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23445-2009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浸水168h后拉伸强度*</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《建筑防水涂料试验方法》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16777-2008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浸水168h后断裂伸长率*</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《建筑防水涂料试验方法》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16777-2008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耐水性*</w:t>
            </w:r>
          </w:p>
        </w:tc>
        <w:tc>
          <w:tcPr>
            <w:tcW w:w="3173" w:type="dxa"/>
            <w:vAlign w:val="center"/>
          </w:tcPr>
          <w:p>
            <w:pPr>
              <w:widowControl/>
              <w:adjustRightInd w:val="0"/>
              <w:snapToGrid w:val="0"/>
              <w:textAlignment w:val="center"/>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《建筑防水卷材试验方法 第10部分：沥青和高分子防水卷材 不透水性》</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bCs/>
                <w:color w:val="000000" w:themeColor="text1"/>
                <w:kern w:val="0"/>
                <w:sz w:val="20"/>
                <w:szCs w:val="20"/>
                <w14:textFill>
                  <w14:solidFill>
                    <w14:schemeClr w14:val="tx1"/>
                  </w14:solidFill>
                </w14:textFill>
              </w:rPr>
              <w:t>GB/T 328.10-2007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《水泥胶砂强度检验方法（ISO法）》GB/T 17671-2021</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抗折强度*</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《水泥胶砂强度检验方法（ISO法）》GB/T 17671-2021</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15.2.7</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粘结强度*</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《建筑防水涂料试验方法》</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16777-2008</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《水泥基渗透结晶型防水材料》GB 18445-2012</w:t>
            </w:r>
          </w:p>
        </w:tc>
        <w:tc>
          <w:tcPr>
            <w:tcW w:w="675" w:type="dxa"/>
            <w:vAlign w:val="center"/>
          </w:tcPr>
          <w:p>
            <w:pPr>
              <w:widowControl/>
              <w:jc w:val="left"/>
              <w:textAlignment w:val="center"/>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15.2.8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抗渗性*</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《水泥基渗透结晶型防水材料》GB 18445-2012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15.2.9</w:t>
            </w:r>
          </w:p>
        </w:tc>
        <w:tc>
          <w:tcPr>
            <w:tcW w:w="1343"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其它*</w:t>
            </w:r>
          </w:p>
        </w:tc>
        <w:tc>
          <w:tcPr>
            <w:tcW w:w="3173" w:type="dxa"/>
            <w:vAlign w:val="center"/>
          </w:tcPr>
          <w:p>
            <w:pPr>
              <w:jc w:val="left"/>
              <w:rPr>
                <w:rFonts w:ascii="Times New Roman" w:hAnsi="Times New Roman" w:eastAsia="宋体" w:cs="宋体"/>
                <w:bCs/>
                <w:color w:val="FF0000"/>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及其</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它防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耐热性*</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《无机防水堵漏材料》GB23440-2009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sz w:val="20"/>
                <w:szCs w:val="20"/>
              </w:rPr>
            </w:pPr>
          </w:p>
        </w:tc>
        <w:tc>
          <w:tcPr>
            <w:tcW w:w="990" w:type="dxa"/>
            <w:vMerge w:val="continue"/>
            <w:vAlign w:val="center"/>
          </w:tcPr>
          <w:p>
            <w:pPr>
              <w:jc w:val="center"/>
              <w:rPr>
                <w:rFonts w:ascii="Times New Roman" w:hAnsi="Times New Roman" w:eastAsia="宋体" w:cs="宋体"/>
                <w:sz w:val="20"/>
                <w:szCs w:val="20"/>
              </w:rPr>
            </w:pPr>
          </w:p>
        </w:tc>
        <w:tc>
          <w:tcPr>
            <w:tcW w:w="735" w:type="dxa"/>
            <w:vMerge w:val="continue"/>
            <w:vAlign w:val="center"/>
          </w:tcPr>
          <w:p>
            <w:pPr>
              <w:jc w:val="center"/>
              <w:rPr>
                <w:rFonts w:ascii="Times New Roman" w:hAnsi="Times New Roman" w:eastAsia="宋体" w:cs="宋体"/>
                <w:sz w:val="20"/>
                <w:szCs w:val="20"/>
              </w:rPr>
            </w:pPr>
          </w:p>
        </w:tc>
        <w:tc>
          <w:tcPr>
            <w:tcW w:w="1005" w:type="dxa"/>
            <w:vMerge w:val="continue"/>
            <w:vAlign w:val="center"/>
          </w:tcPr>
          <w:p>
            <w:pPr>
              <w:jc w:val="left"/>
              <w:rPr>
                <w:rFonts w:ascii="Times New Roman" w:hAnsi="Times New Roman" w:eastAsia="宋体" w:cs="宋体"/>
                <w:sz w:val="20"/>
                <w:szCs w:val="20"/>
              </w:rPr>
            </w:pPr>
          </w:p>
        </w:tc>
        <w:tc>
          <w:tcPr>
            <w:tcW w:w="1343" w:type="dxa"/>
            <w:vMerge w:val="continue"/>
            <w:vAlign w:val="center"/>
          </w:tcPr>
          <w:p>
            <w:pPr>
              <w:jc w:val="left"/>
              <w:rPr>
                <w:rFonts w:ascii="Times New Roman" w:hAnsi="Times New Roman" w:eastAsia="宋体" w:cs="宋体"/>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《膨润土橡胶遇水膨胀止水条》</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JG/T141-2001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《聚合物水泥防水浆料》</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JC/T 2090-2011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《聚合物水泥防水砂浆》</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JC/T 984-2011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《自粘丁基橡胶钢板止水带》T/CECS 10015-2019</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低温柔性*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《建筑密封材料试验方法 第7部分：低温柔性的测定》 GB13477.7-2002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拉伸粘结性*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第8部分: 拉伸粘结性的测定》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13477.8-2017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《建筑密封材料试验方法第9部分:浸水后拉伸粘结性的测定》GB/T 13477.9-2017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施工度*</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《建筑防水沥青嵌缝油膏》JC/T207-2011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《水泥基渗透结晶型防水涂料》GB/T18445-2012（施工性）</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15</w:t>
            </w:r>
          </w:p>
        </w:tc>
        <w:tc>
          <w:tcPr>
            <w:tcW w:w="99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料及防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w:t>
            </w: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材料*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及其</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它防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表干时间*</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第5部分: 表干时间的测定》GB/T 13477.5-2017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15.3.6</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挤出性*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第3部分: 使用标准器具测定密封材料挤出性的方法》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13477.3-2017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《建筑密封材料试验方法第4部分:原包装单组分密封材料挤出性的测定》GB/T 13477.4-2017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弹性恢复率*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第17部分: 弹性恢复率的测定》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13477.17-2017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浸水后定伸粘结性*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《建筑密封材料试验方法第11部分:浸水后定伸粘结性的测定》GB/T13477.11-2017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流动性*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第6部分: 流动性的测定》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13477.6-2002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单位面积质量*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《钠基膨润土防水毯》</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JG/T 193-2006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膨润土膨胀指数*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《钠基膨润土防水毯》</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JG/T 193-2006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渗透系数*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《钠基膨润土防水毯》</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JG/T 193-2006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滤失量*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《钠基膨润土防水毯》</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JG/T 193-2006</w:t>
            </w:r>
          </w:p>
        </w:tc>
        <w:tc>
          <w:tcPr>
            <w:tcW w:w="675" w:type="dxa"/>
            <w:vMerge w:val="restart"/>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Merge w:val="restart"/>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Merge w:val="restart"/>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《膨润土》GB/T20973-2020</w:t>
            </w:r>
          </w:p>
        </w:tc>
        <w:tc>
          <w:tcPr>
            <w:tcW w:w="675"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拉伸强度*</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《硫化橡胶或热塑性橡胶 拉伸应力应变性能的测定》</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528-2009</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sz w:val="20"/>
                <w:szCs w:val="20"/>
              </w:rPr>
            </w:pPr>
          </w:p>
        </w:tc>
        <w:tc>
          <w:tcPr>
            <w:tcW w:w="990" w:type="dxa"/>
            <w:vMerge w:val="continue"/>
            <w:vAlign w:val="center"/>
          </w:tcPr>
          <w:p>
            <w:pPr>
              <w:jc w:val="center"/>
              <w:rPr>
                <w:rFonts w:ascii="Times New Roman" w:hAnsi="Times New Roman" w:eastAsia="宋体" w:cs="宋体"/>
                <w:sz w:val="20"/>
                <w:szCs w:val="20"/>
              </w:rPr>
            </w:pPr>
          </w:p>
        </w:tc>
        <w:tc>
          <w:tcPr>
            <w:tcW w:w="735" w:type="dxa"/>
            <w:vMerge w:val="continue"/>
            <w:vAlign w:val="center"/>
          </w:tcPr>
          <w:p>
            <w:pPr>
              <w:jc w:val="center"/>
              <w:rPr>
                <w:rFonts w:ascii="Times New Roman" w:hAnsi="Times New Roman" w:eastAsia="宋体" w:cs="宋体"/>
                <w:sz w:val="20"/>
                <w:szCs w:val="20"/>
              </w:rPr>
            </w:pPr>
          </w:p>
        </w:tc>
        <w:tc>
          <w:tcPr>
            <w:tcW w:w="1005" w:type="dxa"/>
            <w:vMerge w:val="continue"/>
            <w:vAlign w:val="center"/>
          </w:tcPr>
          <w:p>
            <w:pPr>
              <w:jc w:val="left"/>
              <w:rPr>
                <w:rFonts w:ascii="Times New Roman" w:hAnsi="Times New Roman" w:eastAsia="宋体" w:cs="宋体"/>
                <w:sz w:val="20"/>
                <w:szCs w:val="20"/>
              </w:rPr>
            </w:pPr>
          </w:p>
        </w:tc>
        <w:tc>
          <w:tcPr>
            <w:tcW w:w="1343" w:type="dxa"/>
            <w:vMerge w:val="continue"/>
            <w:vAlign w:val="center"/>
          </w:tcPr>
          <w:p>
            <w:pPr>
              <w:jc w:val="left"/>
              <w:rPr>
                <w:rFonts w:ascii="Times New Roman" w:hAnsi="Times New Roman" w:eastAsia="宋体" w:cs="宋体"/>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《建筑密封材料试验方法 第9部分: 浸水后拉伸粘结性的测定》GB/T 13477.9-2002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《建筑密封材料试验方法 第8部分: 拉伸粘结性的测定》</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13477.8-2017</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《高分子防水材料第3部分：遇水膨胀橡胶》</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18173.3-2014</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990" w:type="dxa"/>
            <w:vMerge w:val="continue"/>
            <w:vAlign w:val="center"/>
          </w:tcPr>
          <w:p>
            <w:pPr>
              <w:jc w:val="center"/>
              <w:rPr>
                <w:rFonts w:ascii="Times New Roman" w:hAnsi="Times New Roman" w:eastAsia="宋体" w:cs="宋体"/>
                <w:bCs/>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《高分子防水材料第4部分：盾构法隧道管片用橡胶密封垫》GB/T 18173.4-2010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jc w:val="left"/>
              <w:rPr>
                <w:rFonts w:ascii="Times New Roman" w:hAnsi="Times New Roman" w:eastAsia="宋体" w:cs="宋体"/>
                <w:bCs/>
                <w:kern w:val="0"/>
                <w:sz w:val="20"/>
                <w:szCs w:val="20"/>
              </w:rPr>
            </w:pPr>
          </w:p>
        </w:tc>
        <w:tc>
          <w:tcPr>
            <w:tcW w:w="614" w:type="dxa"/>
            <w:vAlign w:val="center"/>
          </w:tcPr>
          <w:p>
            <w:pPr>
              <w:jc w:val="left"/>
              <w:rPr>
                <w:rFonts w:ascii="Times New Roman" w:hAnsi="Times New Roman" w:eastAsia="宋体" w:cs="宋体"/>
                <w:bCs/>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15</w:t>
            </w:r>
          </w:p>
        </w:tc>
        <w:tc>
          <w:tcPr>
            <w:tcW w:w="99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料及防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w:t>
            </w: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材料*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及其</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它防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撕裂强度*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《硫化橡胶或热塑性橡胶撕裂强度（裤形、直角形和新月形试样）》GB/T 529-2008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15.3.16</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硬度*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《硫化橡胶或热塑性橡胶 压入硬度试验方法 第1部分:邵氏硬度计法(邵尔硬度)》</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531.1-2008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《塑料和硬橡胶　使用硬度计测定压痕硬度（邵氏硬度）》</w:t>
            </w:r>
          </w:p>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2411-2008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15.3.17</w:t>
            </w:r>
          </w:p>
        </w:tc>
        <w:tc>
          <w:tcPr>
            <w:tcW w:w="1343" w:type="dxa"/>
            <w:vMerge w:val="restart"/>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7d 膨胀率*</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w:t>
            </w:r>
            <w:r>
              <w:rPr>
                <w:rFonts w:hint="eastAsia" w:ascii="Times New Roman" w:hAnsi="Times New Roman" w:eastAsia="宋体" w:cs="宋体"/>
                <w:color w:val="000000" w:themeColor="text1"/>
                <w:kern w:val="0"/>
                <w:sz w:val="20"/>
                <w:szCs w:val="20"/>
                <w14:textFill>
                  <w14:solidFill>
                    <w14:schemeClr w14:val="tx1"/>
                  </w14:solidFill>
                </w14:textFill>
              </w:rPr>
              <w:t>体积膨胀倍率</w:t>
            </w:r>
            <w:r>
              <w:rPr>
                <w:rFonts w:hint="eastAsia" w:ascii="Times New Roman" w:hAnsi="Times New Roman" w:eastAsia="宋体" w:cs="宋体"/>
                <w:bCs/>
                <w:color w:val="000000" w:themeColor="text1"/>
                <w:kern w:val="0"/>
                <w:sz w:val="20"/>
                <w:szCs w:val="20"/>
                <w14:textFill>
                  <w14:solidFill>
                    <w14:schemeClr w14:val="tx1"/>
                  </w14:solidFill>
                </w14:textFill>
              </w:rPr>
              <w:t>）</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《遇水膨胀止水胶》JG/T312-2011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《膨润土橡胶遇水膨胀止水条》JG/T141-2001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15.3.18</w:t>
            </w:r>
          </w:p>
        </w:tc>
        <w:tc>
          <w:tcPr>
            <w:tcW w:w="1343" w:type="dxa"/>
            <w:vAlign w:val="center"/>
          </w:tcPr>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最终膨胀率*</w:t>
            </w:r>
          </w:p>
          <w:p>
            <w:pPr>
              <w:widowControl/>
              <w:wordWrap w:val="0"/>
              <w:adjustRightInd w:val="0"/>
              <w:snapToGrid w:val="0"/>
              <w:ind w:right="-336"/>
              <w:jc w:val="left"/>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bCs/>
                <w:color w:val="000000" w:themeColor="text1"/>
                <w:kern w:val="0"/>
                <w:sz w:val="20"/>
                <w:szCs w:val="20"/>
                <w14:textFill>
                  <w14:solidFill>
                    <w14:schemeClr w14:val="tx1"/>
                  </w14:solidFill>
                </w14:textFill>
              </w:rPr>
              <w:t>（</w:t>
            </w:r>
            <w:r>
              <w:rPr>
                <w:rFonts w:hint="eastAsia" w:ascii="Times New Roman" w:hAnsi="Times New Roman" w:eastAsia="宋体" w:cs="宋体"/>
                <w:color w:val="000000" w:themeColor="text1"/>
                <w:kern w:val="0"/>
                <w:sz w:val="20"/>
                <w:szCs w:val="20"/>
                <w14:textFill>
                  <w14:solidFill>
                    <w14:schemeClr w14:val="tx1"/>
                  </w14:solidFill>
                </w14:textFill>
              </w:rPr>
              <w:t>长期浸水</w:t>
            </w:r>
          </w:p>
          <w:p>
            <w:pPr>
              <w:jc w:val="left"/>
              <w:rPr>
                <w:rFonts w:ascii="Times New Roman" w:hAnsi="Times New Roman" w:eastAsia="宋体" w:cs="宋体"/>
                <w:bCs/>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后体积膨胀倍率</w:t>
            </w:r>
            <w:r>
              <w:rPr>
                <w:rFonts w:hint="eastAsia" w:ascii="Times New Roman" w:hAnsi="Times New Roman" w:eastAsia="宋体" w:cs="宋体"/>
                <w:bCs/>
                <w:color w:val="000000" w:themeColor="text1"/>
                <w:kern w:val="0"/>
                <w:sz w:val="20"/>
                <w:szCs w:val="20"/>
                <w14:textFill>
                  <w14:solidFill>
                    <w14:schemeClr w14:val="tx1"/>
                  </w14:solidFill>
                </w14:textFill>
              </w:rPr>
              <w:t>）</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color w:val="000000" w:themeColor="text1"/>
                <w:kern w:val="0"/>
                <w:sz w:val="20"/>
                <w:szCs w:val="20"/>
                <w14:textFill>
                  <w14:solidFill>
                    <w14:schemeClr w14:val="tx1"/>
                  </w14:solidFill>
                </w14:textFill>
              </w:rPr>
              <w:t>《遇水膨胀止水胶》JG/T312-2011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15.3.19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耐水性（反复浸水）*</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《膨润土橡胶遇水膨胀止水条》JG/T 141-2001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15.3.20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体积膨胀倍率*</w:t>
            </w:r>
          </w:p>
        </w:tc>
        <w:tc>
          <w:tcPr>
            <w:tcW w:w="3173" w:type="dxa"/>
            <w:vAlign w:val="center"/>
          </w:tcPr>
          <w:p>
            <w:pPr>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《高分子防水材料 第3部分 遇水膨胀橡胶》</w:t>
            </w:r>
          </w:p>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18173.3-2014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15.3.21</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压缩永久变形*</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《硫化橡胶或热塑性橡胶 压缩永久变形的测定 第1部分：在常温及高温条件下》</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7759.1-2015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《硫化橡胶或热塑性橡胶 压缩永久变形的测定 第2部分：在低温条件下》</w:t>
            </w:r>
          </w:p>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7759.2-2014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15.3.22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低温弯折*</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《高分子防水材料 第3部分：遇水膨胀橡胶》</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18173.3-2014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剥离强度*</w:t>
            </w:r>
          </w:p>
        </w:tc>
        <w:tc>
          <w:tcPr>
            <w:tcW w:w="3173" w:type="dxa"/>
            <w:vAlign w:val="center"/>
          </w:tcPr>
          <w:p>
            <w:pPr>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《建筑密封材料试验方法第18部分:剥离粘结性的测定》</w:t>
            </w:r>
          </w:p>
          <w:p>
            <w:pPr>
              <w:jc w:val="left"/>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13477.18-2002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Merge w:val="restart"/>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15.3.24</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浸水168h 后的剥离强度</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保持率*</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《硫化橡胶或热塑性橡胶与织物粘合强度的测定》</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532-2008</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《高分子防水材料第1部分：片材》GB/T 18173.1-2012</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15</w:t>
            </w:r>
          </w:p>
        </w:tc>
        <w:tc>
          <w:tcPr>
            <w:tcW w:w="990" w:type="dxa"/>
            <w:vMerge w:val="restart"/>
            <w:vAlign w:val="center"/>
          </w:tcPr>
          <w:p>
            <w:pP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料及防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水密封</w:t>
            </w:r>
          </w:p>
          <w:p>
            <w:pPr>
              <w:jc w:val="center"/>
              <w:rPr>
                <w:rFonts w:ascii="Times New Roman" w:hAnsi="Times New Roman" w:eastAsia="宋体" w:cs="宋体"/>
                <w:kern w:val="0"/>
                <w:sz w:val="20"/>
                <w:szCs w:val="20"/>
              </w:rPr>
            </w:pPr>
            <w:r>
              <w:rPr>
                <w:rFonts w:hint="eastAsia" w:ascii="Times New Roman" w:hAnsi="Times New Roman" w:eastAsia="宋体" w:cs="宋体"/>
                <w:bCs/>
                <w:kern w:val="0"/>
                <w:sz w:val="20"/>
                <w:szCs w:val="20"/>
              </w:rPr>
              <w:t>材料*</w:t>
            </w:r>
          </w:p>
        </w:tc>
        <w:tc>
          <w:tcPr>
            <w:tcW w:w="735"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防水</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密封</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材料</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及其</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它防</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水材</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料*</w:t>
            </w:r>
          </w:p>
          <w:p>
            <w:pPr>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拉力*</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（拉伸性能）</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《建筑密封材料试验方法第8部分:拉伸粘结性的则定》</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13477.8-2017</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延伸率*</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（断裂伸长率）</w:t>
            </w: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《建筑密封材料试验方法第8部分:拉伸粘结性的则定》</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13477.8-2017</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highlight w:val="yellow"/>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固体含量*</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《胶粘剂不挥发物含量的测定</w:t>
            </w:r>
            <w:r>
              <w:rPr>
                <w:rFonts w:hint="eastAsia" w:ascii="Times New Roman" w:hAnsi="Times New Roman" w:eastAsia="宋体" w:cs="宋体"/>
                <w:color w:val="000000" w:themeColor="text1"/>
                <w:kern w:val="0"/>
                <w:sz w:val="20"/>
                <w:szCs w:val="20"/>
                <w14:textFill>
                  <w14:solidFill>
                    <w14:schemeClr w14:val="tx1"/>
                  </w14:solidFill>
                </w14:textFill>
              </w:rPr>
              <w:t>》 GB/T 2793-1995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7d 粘结强度*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《建筑防水涂料试验方法》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16777-2008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15.3.29</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7d 抗渗性*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《砂浆、混凝土防水剂》</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JC/T 474-2008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15.3.30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拉伸模量*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第8部分: 拉伸粘结性的测定》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13477.8-2017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15.3.31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定伸粘结性*</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《建筑密封材料试验方法 第10部分：定伸粘结性的测定》</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13477.10-2017</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Merge w:val="restart"/>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15.3.32</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断裂伸长率*</w:t>
            </w: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《高分子防水材料 第1部分 片材》GB/T 18173.1-2012</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《高分子防水材料 第2部分 止水带》GB/T 18173.2-2014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widowControl/>
              <w:adjustRightInd w:val="0"/>
              <w:snapToGrid w:val="0"/>
              <w:textAlignment w:val="center"/>
              <w:rPr>
                <w:rFonts w:ascii="Times New Roman" w:hAnsi="Times New Roman" w:eastAsia="宋体" w:cs="宋体"/>
                <w:kern w:val="0"/>
                <w:sz w:val="20"/>
                <w:szCs w:val="20"/>
              </w:rPr>
            </w:pPr>
            <w:r>
              <w:rPr>
                <w:rFonts w:hint="eastAsia" w:ascii="Times New Roman" w:hAnsi="Times New Roman" w:eastAsia="宋体" w:cs="宋体"/>
                <w:kern w:val="0"/>
                <w:sz w:val="20"/>
                <w:szCs w:val="20"/>
              </w:rPr>
              <w:t>《高分子防水材料 第3部分 遇水膨胀橡胶》</w:t>
            </w:r>
          </w:p>
          <w:p>
            <w:pPr>
              <w:widowControl/>
              <w:adjustRightInd w:val="0"/>
              <w:snapToGrid w:val="0"/>
              <w:textAlignment w:val="center"/>
              <w:rPr>
                <w:rFonts w:ascii="Times New Roman" w:hAnsi="Times New Roman" w:eastAsia="宋体" w:cs="宋体"/>
                <w:bCs/>
                <w:kern w:val="0"/>
                <w:sz w:val="20"/>
                <w:szCs w:val="20"/>
              </w:rPr>
            </w:pPr>
            <w:r>
              <w:rPr>
                <w:rFonts w:hint="eastAsia" w:ascii="Times New Roman" w:hAnsi="Times New Roman" w:eastAsia="宋体" w:cs="宋体"/>
                <w:kern w:val="0"/>
                <w:sz w:val="20"/>
                <w:szCs w:val="20"/>
              </w:rPr>
              <w:t>GB/T 18173.3-2014</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990"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735" w:type="dxa"/>
            <w:vMerge w:val="continue"/>
            <w:vAlign w:val="center"/>
          </w:tcPr>
          <w:p>
            <w:pPr>
              <w:widowControl/>
              <w:wordWrap w:val="0"/>
              <w:snapToGrid w:val="0"/>
              <w:spacing w:before="120" w:line="300" w:lineRule="atLeast"/>
              <w:ind w:right="-336"/>
              <w:jc w:val="center"/>
              <w:rPr>
                <w:rFonts w:ascii="Times New Roman" w:hAnsi="Times New Roman" w:eastAsia="宋体" w:cs="宋体"/>
                <w:kern w:val="0"/>
                <w:sz w:val="20"/>
                <w:szCs w:val="20"/>
              </w:rPr>
            </w:pPr>
          </w:p>
        </w:tc>
        <w:tc>
          <w:tcPr>
            <w:tcW w:w="100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r>
              <w:rPr>
                <w:rFonts w:hint="eastAsia" w:ascii="Times New Roman" w:hAnsi="Times New Roman" w:eastAsia="宋体" w:cs="宋体"/>
                <w:kern w:val="0"/>
                <w:sz w:val="20"/>
                <w:szCs w:val="20"/>
              </w:rPr>
              <w:t>15.3.33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pH值*</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《水质 pH值的测定 玻璃电极法》GB/T 6920-1986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硫酸根离子含量*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《水质 硫酸盐的测定 重量法》GB/T 11899-1989</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不溶物含量*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《水质 悬浮物的测定 重量法》GB/T 11901-1989</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可溶物含量*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《生活饮用水标准检验方法 感官性状和物理指标》</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5750.4-2006</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凝结时间差*</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《水泥标准稠度用水量、凝结时间、安定性检验方法》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1346-2011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抗压强度比*</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《水泥胶砂强度检验方法(ISO法)》GB/T 17671-2021</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碱含量*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《水泥化学分析方法》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176-2017</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w:t>
            </w:r>
          </w:p>
        </w:tc>
        <w:tc>
          <w:tcPr>
            <w:tcW w:w="1725" w:type="dxa"/>
            <w:gridSpan w:val="2"/>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16.8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石灰*</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有效氧化钙和氧化镁含</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《建筑石灰试验方法 第2部分：化学分析方法》JC/T 478.2-2013</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氧化镁含量*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《建筑石灰试验方法 第2部分：化学分析方法》JC/T 478.2-2013</w:t>
            </w:r>
          </w:p>
        </w:tc>
        <w:tc>
          <w:tcPr>
            <w:tcW w:w="675" w:type="dxa"/>
            <w:vAlign w:val="center"/>
          </w:tcPr>
          <w:p>
            <w:pPr>
              <w:jc w:val="left"/>
              <w:rPr>
                <w:rFonts w:ascii="Times New Roman" w:hAnsi="Times New Roman" w:eastAsia="宋体" w:cs="宋体"/>
                <w:bCs/>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未消化残渣含量*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《建筑石灰试验方法 第1部分:物理试验方法》JC/T 478.1-2013</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含水率*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《公路工程无机结合料稳定材料试验规程》JTG E51-2009</w:t>
            </w:r>
          </w:p>
        </w:tc>
        <w:tc>
          <w:tcPr>
            <w:tcW w:w="675" w:type="dxa"/>
            <w:vAlign w:val="center"/>
          </w:tcPr>
          <w:p>
            <w:pPr>
              <w:jc w:val="left"/>
              <w:rPr>
                <w:rFonts w:ascii="Times New Roman" w:hAnsi="Times New Roman" w:eastAsia="宋体" w:cs="宋体"/>
                <w:bCs/>
                <w:kern w:val="0"/>
                <w:sz w:val="20"/>
                <w:szCs w:val="20"/>
                <w:highlight w:val="yellow"/>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《建筑石灰试验方法 第1部分:物理试验方法》JC/T 478.1-2013</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17.6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 xml:space="preserve">其它* </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w:t>
            </w:r>
          </w:p>
        </w:tc>
        <w:tc>
          <w:tcPr>
            <w:tcW w:w="1725" w:type="dxa"/>
            <w:gridSpan w:val="2"/>
            <w:vMerge w:val="restart"/>
            <w:vAlign w:val="center"/>
          </w:tcPr>
          <w:p>
            <w:pPr>
              <w:jc w:val="center"/>
              <w:rPr>
                <w:rFonts w:ascii="Times New Roman" w:hAnsi="Times New Roman" w:eastAsia="宋体" w:cs="宋体"/>
                <w:bCs/>
                <w:kern w:val="0"/>
                <w:sz w:val="20"/>
                <w:szCs w:val="20"/>
              </w:rPr>
            </w:pP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石材*</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干燥压缩强度*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第1部分：干燥、水饱和、冻融循环后压缩强度试验》GB/T 9966.1-2020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18.2</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水饱和压缩强度*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第1部分：干燥、水饱和、冻融循环后压缩强度试验》GB/T 9966.1-2020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18.3</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干燥弯曲强度*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第2部分：干燥、水饱和、冻融循环后弯曲强度试验》GB/T 9966.2-2020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水饱和弯曲强度*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第2部分：干燥、水饱和、冻融循环后弯曲强度试验》GB/T 9966.2-2020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体积密度*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第3部分：吸水率、体积密度、真密度、真气孔率试验》GB/T 9966.3-2020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吸水率*</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《天然石材试验方法 第3部分：吸水率、体积密度、真密度、真气孔率试验》GB/T 9966.3-2020</w:t>
            </w:r>
          </w:p>
        </w:tc>
        <w:tc>
          <w:tcPr>
            <w:tcW w:w="675" w:type="dxa"/>
            <w:vAlign w:val="center"/>
          </w:tcPr>
          <w:p>
            <w:pPr>
              <w:jc w:val="left"/>
              <w:rPr>
                <w:rFonts w:ascii="Times New Roman" w:hAnsi="Times New Roman" w:eastAsia="宋体" w:cs="宋体"/>
                <w:bCs/>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center"/>
              <w:rPr>
                <w:rFonts w:ascii="Times New Roman" w:hAnsi="Times New Roman" w:eastAsia="宋体" w:cs="宋体"/>
                <w:bCs/>
                <w:kern w:val="0"/>
                <w:sz w:val="20"/>
                <w:szCs w:val="20"/>
              </w:rPr>
            </w:pPr>
          </w:p>
        </w:tc>
        <w:tc>
          <w:tcPr>
            <w:tcW w:w="1725" w:type="dxa"/>
            <w:gridSpan w:val="2"/>
            <w:vMerge w:val="continue"/>
            <w:vAlign w:val="center"/>
          </w:tcPr>
          <w:p>
            <w:pPr>
              <w:jc w:val="center"/>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18.7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螺栓、锚具夹</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具及连接器*</w:t>
            </w: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19.1</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抗滑移系数*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《钢结构工程施工质量验收标准》GB 50205-2020</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19.2</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外观质量*</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《钢结构用扭剪型高强度螺栓连接副》GB/T 3632-2008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《钢结构用高强度大六角头螺栓、大六角螺母、垫圈技术条件》GB/T 1231-2006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70" w:type="dxa"/>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w:t>
            </w:r>
          </w:p>
        </w:tc>
        <w:tc>
          <w:tcPr>
            <w:tcW w:w="1725" w:type="dxa"/>
            <w:gridSpan w:val="2"/>
            <w:vMerge w:val="restart"/>
            <w:vAlign w:val="center"/>
          </w:tcPr>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螺栓、锚具夹</w:t>
            </w:r>
          </w:p>
          <w:p>
            <w:pPr>
              <w:jc w:val="center"/>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具及连接器*</w:t>
            </w: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19.3</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尺寸*</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《钢结构用扭剪型高强度螺栓连接副》GB/T 3632-2008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《钢结构用高强度大六角头螺栓、大六角螺母、垫圈技术条件》GB/T 1231-2006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19.4</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静载锚固性能*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《预应力筋用锚具、夹具和连接器》GB/T 14370-2015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19.5</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疲劳荷载性能*</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《预应力筋用锚具、夹具和连接器》GB/T 14370-2015</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19.6</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硬度*</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《金属材料 洛氏硬度试验 第1部分: 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230.1-2018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19.7</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紧固轴力*</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《钢结构用扭剪型高强度螺栓连接副》GB/T 3632-2008</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19.8</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扭矩系数*</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《钢结构用高强度大六角头螺栓、大六角螺母、垫圈技术条件》GB/T 1231-2006</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19.9</w:t>
            </w:r>
          </w:p>
        </w:tc>
        <w:tc>
          <w:tcPr>
            <w:tcW w:w="1343" w:type="dxa"/>
            <w:vMerge w:val="restart"/>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最小拉力载荷（普通紧固件）*</w:t>
            </w: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《紧固件机械性能 螺栓、螺钉和螺柱》GB/T 3098.1-2010</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570" w:type="dxa"/>
            <w:vMerge w:val="continue"/>
            <w:vAlign w:val="center"/>
          </w:tcPr>
          <w:p>
            <w:pPr>
              <w:jc w:val="left"/>
              <w:rPr>
                <w:rFonts w:ascii="Times New Roman" w:hAnsi="Times New Roman" w:eastAsia="宋体" w:cs="宋体"/>
                <w:bCs/>
                <w:kern w:val="0"/>
                <w:sz w:val="20"/>
                <w:szCs w:val="20"/>
              </w:rPr>
            </w:pPr>
          </w:p>
        </w:tc>
        <w:tc>
          <w:tcPr>
            <w:tcW w:w="1725" w:type="dxa"/>
            <w:gridSpan w:val="2"/>
            <w:vMerge w:val="continue"/>
            <w:vAlign w:val="center"/>
          </w:tcPr>
          <w:p>
            <w:pPr>
              <w:jc w:val="left"/>
              <w:rPr>
                <w:rFonts w:ascii="Times New Roman" w:hAnsi="Times New Roman" w:eastAsia="宋体" w:cs="宋体"/>
                <w:bCs/>
                <w:kern w:val="0"/>
                <w:sz w:val="20"/>
                <w:szCs w:val="20"/>
              </w:rPr>
            </w:pPr>
          </w:p>
        </w:tc>
        <w:tc>
          <w:tcPr>
            <w:tcW w:w="1005" w:type="dxa"/>
            <w:vMerge w:val="continue"/>
            <w:vAlign w:val="center"/>
          </w:tcPr>
          <w:p>
            <w:pPr>
              <w:jc w:val="left"/>
              <w:rPr>
                <w:rFonts w:ascii="Times New Roman" w:hAnsi="Times New Roman" w:eastAsia="宋体" w:cs="宋体"/>
                <w:bCs/>
                <w:kern w:val="0"/>
                <w:sz w:val="20"/>
                <w:szCs w:val="20"/>
              </w:rPr>
            </w:pPr>
          </w:p>
        </w:tc>
        <w:tc>
          <w:tcPr>
            <w:tcW w:w="1343" w:type="dxa"/>
            <w:vMerge w:val="continue"/>
            <w:vAlign w:val="center"/>
          </w:tcPr>
          <w:p>
            <w:pPr>
              <w:jc w:val="left"/>
              <w:rPr>
                <w:rFonts w:ascii="Times New Roman" w:hAnsi="Times New Roman" w:eastAsia="宋体" w:cs="宋体"/>
                <w:bCs/>
                <w:kern w:val="0"/>
                <w:sz w:val="20"/>
                <w:szCs w:val="20"/>
              </w:rPr>
            </w:pPr>
          </w:p>
        </w:tc>
        <w:tc>
          <w:tcPr>
            <w:tcW w:w="317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《金属材料 拉伸试验 第1部分：室温试验方法》</w:t>
            </w:r>
          </w:p>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GB/T 228.1-2021</w:t>
            </w: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725" w:type="dxa"/>
            <w:gridSpan w:val="2"/>
            <w:vMerge w:val="continue"/>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1005"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19.10</w:t>
            </w:r>
          </w:p>
        </w:tc>
        <w:tc>
          <w:tcPr>
            <w:tcW w:w="1343" w:type="dxa"/>
            <w:vAlign w:val="center"/>
          </w:tcPr>
          <w:p>
            <w:pPr>
              <w:jc w:val="left"/>
              <w:rPr>
                <w:rFonts w:ascii="Times New Roman" w:hAnsi="Times New Roman" w:eastAsia="宋体" w:cs="宋体"/>
                <w:bCs/>
                <w:kern w:val="0"/>
                <w:sz w:val="20"/>
                <w:szCs w:val="20"/>
              </w:rPr>
            </w:pPr>
            <w:r>
              <w:rPr>
                <w:rFonts w:hint="eastAsia" w:ascii="Times New Roman" w:hAnsi="Times New Roman" w:eastAsia="宋体" w:cs="宋体"/>
                <w:bCs/>
                <w:kern w:val="0"/>
                <w:sz w:val="20"/>
                <w:szCs w:val="20"/>
              </w:rPr>
              <w:t>其它*</w:t>
            </w:r>
          </w:p>
        </w:tc>
        <w:tc>
          <w:tcPr>
            <w:tcW w:w="3173" w:type="dxa"/>
            <w:vAlign w:val="center"/>
          </w:tcPr>
          <w:p>
            <w:pPr>
              <w:jc w:val="left"/>
              <w:rPr>
                <w:rFonts w:ascii="Times New Roman" w:hAnsi="Times New Roman" w:eastAsia="宋体" w:cs="宋体"/>
                <w:bCs/>
                <w:kern w:val="0"/>
                <w:sz w:val="20"/>
                <w:szCs w:val="20"/>
              </w:rPr>
            </w:pPr>
          </w:p>
        </w:tc>
        <w:tc>
          <w:tcPr>
            <w:tcW w:w="675"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870"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c>
          <w:tcPr>
            <w:tcW w:w="614" w:type="dxa"/>
            <w:vAlign w:val="center"/>
          </w:tcPr>
          <w:p>
            <w:pPr>
              <w:widowControl/>
              <w:wordWrap w:val="0"/>
              <w:snapToGrid w:val="0"/>
              <w:spacing w:before="120" w:line="300" w:lineRule="atLeast"/>
              <w:ind w:right="-336"/>
              <w:jc w:val="left"/>
              <w:rPr>
                <w:rFonts w:ascii="Times New Roman" w:hAnsi="Times New Roman" w:eastAsia="宋体" w:cs="宋体"/>
                <w:kern w:val="0"/>
                <w:sz w:val="20"/>
                <w:szCs w:val="20"/>
              </w:rPr>
            </w:pPr>
          </w:p>
        </w:tc>
      </w:tr>
    </w:tbl>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八、道路工程检测项目/参数能力表（必选）</w:t>
      </w:r>
    </w:p>
    <w:tbl>
      <w:tblPr>
        <w:tblStyle w:val="7"/>
        <w:tblW w:w="949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857"/>
        <w:gridCol w:w="645"/>
        <w:gridCol w:w="1007"/>
        <w:gridCol w:w="3573"/>
        <w:gridCol w:w="832"/>
        <w:gridCol w:w="1063"/>
        <w:gridCol w:w="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2" w:hRule="atLeast"/>
          <w:jc w:val="center"/>
        </w:trPr>
        <w:tc>
          <w:tcPr>
            <w:tcW w:w="9491" w:type="dxa"/>
            <w:gridSpan w:val="8"/>
            <w:tcBorders>
              <w:top w:val="nil"/>
              <w:left w:val="nil"/>
              <w:bottom w:val="single" w:color="auto" w:sz="4" w:space="0"/>
              <w:right w:val="nil"/>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68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8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w:t>
            </w:r>
          </w:p>
        </w:tc>
        <w:tc>
          <w:tcPr>
            <w:tcW w:w="1652"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检测参数</w:t>
            </w:r>
          </w:p>
        </w:tc>
        <w:tc>
          <w:tcPr>
            <w:tcW w:w="357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检测标准</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（方法）</w:t>
            </w:r>
          </w:p>
        </w:tc>
        <w:tc>
          <w:tcPr>
            <w:tcW w:w="189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确认结果</w:t>
            </w:r>
          </w:p>
        </w:tc>
        <w:tc>
          <w:tcPr>
            <w:tcW w:w="8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68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857"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eastAsia="宋体" w:cs="宋体"/>
                <w:color w:val="000000"/>
                <w:sz w:val="20"/>
                <w:szCs w:val="20"/>
              </w:rPr>
            </w:pP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0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名称</w:t>
            </w:r>
          </w:p>
        </w:tc>
        <w:tc>
          <w:tcPr>
            <w:tcW w:w="357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通过</w:t>
            </w: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不通过</w:t>
            </w:r>
          </w:p>
        </w:tc>
        <w:tc>
          <w:tcPr>
            <w:tcW w:w="8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0" w:hRule="atLeast"/>
          <w:jc w:val="center"/>
        </w:trPr>
        <w:tc>
          <w:tcPr>
            <w:tcW w:w="68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w:t>
            </w:r>
          </w:p>
        </w:tc>
        <w:tc>
          <w:tcPr>
            <w:tcW w:w="857"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沥青混合料路面</w:t>
            </w:r>
          </w:p>
        </w:tc>
        <w:tc>
          <w:tcPr>
            <w:tcW w:w="6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1.1</w:t>
            </w:r>
          </w:p>
        </w:tc>
        <w:tc>
          <w:tcPr>
            <w:tcW w:w="100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厚度</w:t>
            </w:r>
          </w:p>
        </w:tc>
        <w:tc>
          <w:tcPr>
            <w:tcW w:w="3573"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continue"/>
            <w:tcBorders>
              <w:top w:val="single" w:color="auto" w:sz="4" w:space="0"/>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57" w:type="dxa"/>
            <w:vMerge w:val="continue"/>
            <w:tcBorders>
              <w:top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45"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1.2</w:t>
            </w:r>
          </w:p>
        </w:tc>
        <w:tc>
          <w:tcPr>
            <w:tcW w:w="1007"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压实度</w:t>
            </w:r>
          </w:p>
        </w:tc>
        <w:tc>
          <w:tcPr>
            <w:tcW w:w="3573" w:type="dxa"/>
            <w:tcBorders>
              <w:top w:val="single" w:color="auto" w:sz="4" w:space="0"/>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vMerge w:val="restart"/>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1063" w:type="dxa"/>
            <w:vMerge w:val="restart"/>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832" w:type="dxa"/>
            <w:vMerge w:val="restart"/>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57"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45"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0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《公路工程沥青及沥青混合料试验规程》JTG E20-2011</w:t>
            </w:r>
          </w:p>
        </w:tc>
        <w:tc>
          <w:tcPr>
            <w:tcW w:w="832"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vMerge w:val="continue"/>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57"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1.3</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弯沉值</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0" w:hRule="atLeast"/>
          <w:jc w:val="center"/>
        </w:trPr>
        <w:tc>
          <w:tcPr>
            <w:tcW w:w="682" w:type="dxa"/>
            <w:vMerge w:val="restart"/>
            <w:tcBorders>
              <w:tl2br w:val="nil"/>
              <w:tr2bl w:val="nil"/>
            </w:tcBorders>
            <w:shd w:val="clear" w:color="auto" w:fill="auto"/>
            <w:vAlign w:val="center"/>
          </w:tcPr>
          <w:p>
            <w:pPr>
              <w:widowControl/>
              <w:ind w:firstLine="200" w:firstLineChars="1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w:t>
            </w:r>
          </w:p>
        </w:tc>
        <w:tc>
          <w:tcPr>
            <w:tcW w:w="85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基层及底基层</w:t>
            </w: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2.1</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厚度</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5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2.2</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压实度</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85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2.3</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弯沉值</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60" w:hRule="atLeast"/>
          <w:jc w:val="center"/>
        </w:trPr>
        <w:tc>
          <w:tcPr>
            <w:tcW w:w="682"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w:t>
            </w:r>
          </w:p>
        </w:tc>
        <w:tc>
          <w:tcPr>
            <w:tcW w:w="85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土路基</w:t>
            </w: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3.1</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弯沉值</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60" w:hRule="atLeast"/>
          <w:jc w:val="center"/>
        </w:trPr>
        <w:tc>
          <w:tcPr>
            <w:tcW w:w="682"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85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645"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3.2</w:t>
            </w:r>
          </w:p>
        </w:tc>
        <w:tc>
          <w:tcPr>
            <w:tcW w:w="100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压实度</w:t>
            </w:r>
          </w:p>
        </w:tc>
        <w:tc>
          <w:tcPr>
            <w:tcW w:w="3573" w:type="dxa"/>
            <w:tcBorders>
              <w:tl2br w:val="nil"/>
              <w:tr2bl w:val="nil"/>
            </w:tcBorders>
            <w:shd w:val="clear" w:color="auto" w:fill="auto"/>
          </w:tcPr>
          <w:p>
            <w:pPr>
              <w:widowControl/>
              <w:textAlignment w:val="top"/>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textAlignment w:val="top"/>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832"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63"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832"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八、道路工程检测项目/参数能力表（可选）</w:t>
      </w:r>
    </w:p>
    <w:tbl>
      <w:tblPr>
        <w:tblStyle w:val="7"/>
        <w:tblW w:w="102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05"/>
        <w:gridCol w:w="1068"/>
        <w:gridCol w:w="1080"/>
        <w:gridCol w:w="1397"/>
        <w:gridCol w:w="3518"/>
        <w:gridCol w:w="777"/>
        <w:gridCol w:w="1037"/>
        <w:gridCol w:w="5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blHeader/>
          <w:jc w:val="center"/>
        </w:trPr>
        <w:tc>
          <w:tcPr>
            <w:tcW w:w="10213" w:type="dxa"/>
            <w:gridSpan w:val="8"/>
            <w:tcBorders>
              <w:top w:val="nil"/>
              <w:left w:val="nil"/>
              <w:bottom w:val="single" w:color="auto" w:sz="4" w:space="0"/>
              <w:right w:val="nil"/>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blHeader/>
          <w:jc w:val="center"/>
        </w:trPr>
        <w:tc>
          <w:tcPr>
            <w:tcW w:w="8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0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检测项目</w:t>
            </w:r>
          </w:p>
        </w:tc>
        <w:tc>
          <w:tcPr>
            <w:tcW w:w="24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检测参数</w:t>
            </w:r>
          </w:p>
        </w:tc>
        <w:tc>
          <w:tcPr>
            <w:tcW w:w="35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检测标准</w:t>
            </w:r>
          </w:p>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（方法）</w:t>
            </w:r>
          </w:p>
        </w:tc>
        <w:tc>
          <w:tcPr>
            <w:tcW w:w="181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确认结果</w:t>
            </w:r>
          </w:p>
        </w:tc>
        <w:tc>
          <w:tcPr>
            <w:tcW w:w="53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blHeader/>
          <w:jc w:val="center"/>
        </w:trPr>
        <w:tc>
          <w:tcPr>
            <w:tcW w:w="80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eastAsia="宋体" w:cs="宋体"/>
                <w:color w:val="000000"/>
                <w:sz w:val="20"/>
                <w:szCs w:val="20"/>
              </w:rPr>
            </w:pPr>
          </w:p>
        </w:tc>
        <w:tc>
          <w:tcPr>
            <w:tcW w:w="10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序号</w:t>
            </w:r>
          </w:p>
        </w:tc>
        <w:tc>
          <w:tcPr>
            <w:tcW w:w="13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名称</w:t>
            </w:r>
          </w:p>
        </w:tc>
        <w:tc>
          <w:tcPr>
            <w:tcW w:w="35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p>
        </w:tc>
        <w:tc>
          <w:tcPr>
            <w:tcW w:w="7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通过</w:t>
            </w:r>
          </w:p>
        </w:tc>
        <w:tc>
          <w:tcPr>
            <w:tcW w:w="10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不通过</w:t>
            </w:r>
          </w:p>
        </w:tc>
        <w:tc>
          <w:tcPr>
            <w:tcW w:w="53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w:t>
            </w:r>
          </w:p>
        </w:tc>
        <w:tc>
          <w:tcPr>
            <w:tcW w:w="10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沥青混合料路面*</w:t>
            </w:r>
          </w:p>
        </w:tc>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1.1</w:t>
            </w:r>
          </w:p>
        </w:tc>
        <w:tc>
          <w:tcPr>
            <w:tcW w:w="13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平整度*</w:t>
            </w:r>
          </w:p>
        </w:tc>
        <w:tc>
          <w:tcPr>
            <w:tcW w:w="35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op w:val="single" w:color="auto" w:sz="4" w:space="0"/>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op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80"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1.2</w:t>
            </w:r>
          </w:p>
        </w:tc>
        <w:tc>
          <w:tcPr>
            <w:tcW w:w="1397" w:type="dxa"/>
            <w:tcBorders>
              <w:top w:val="single" w:color="auto" w:sz="4" w:space="0"/>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渗水系数*</w:t>
            </w:r>
          </w:p>
        </w:tc>
        <w:tc>
          <w:tcPr>
            <w:tcW w:w="3518"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op w:val="single" w:color="auto" w:sz="4" w:space="0"/>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1.3</w:t>
            </w:r>
          </w:p>
        </w:tc>
        <w:tc>
          <w:tcPr>
            <w:tcW w:w="1397"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抗滑性能*</w:t>
            </w:r>
          </w:p>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（摩擦系数、构造深度）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《公路路基路面现场测试规程》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left w:val="single" w:color="auto" w:sz="4" w:space="0"/>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1.4</w:t>
            </w:r>
          </w:p>
        </w:tc>
        <w:tc>
          <w:tcPr>
            <w:tcW w:w="1397"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其它*</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restart"/>
            <w:tcBorders>
              <w:tl2br w:val="nil"/>
              <w:tr2bl w:val="nil"/>
            </w:tcBorders>
            <w:shd w:val="clear" w:color="auto" w:fill="auto"/>
            <w:vAlign w:val="center"/>
          </w:tcPr>
          <w:p>
            <w:pPr>
              <w:widowControl/>
              <w:ind w:firstLine="200" w:firstLineChars="100"/>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2</w:t>
            </w:r>
          </w:p>
        </w:tc>
        <w:tc>
          <w:tcPr>
            <w:tcW w:w="10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基层及底基层*</w:t>
            </w: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2.1</w:t>
            </w:r>
          </w:p>
        </w:tc>
        <w:tc>
          <w:tcPr>
            <w:tcW w:w="1397"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平整度*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《公路路基路面现场测试规程》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2.2</w:t>
            </w:r>
          </w:p>
        </w:tc>
        <w:tc>
          <w:tcPr>
            <w:tcW w:w="1397"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无侧限抗压强度*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《公路工程无机结合料稳定材料试验规程》JTG E51-2009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2.3</w:t>
            </w:r>
          </w:p>
        </w:tc>
        <w:tc>
          <w:tcPr>
            <w:tcW w:w="1397"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其它*</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3</w:t>
            </w:r>
          </w:p>
        </w:tc>
        <w:tc>
          <w:tcPr>
            <w:tcW w:w="10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土路基*</w:t>
            </w: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3.1</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土基回弹模量*</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《公路路基路面现场测试规程》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《民用机场道面现场测试规程》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MH/T 5110-2015</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3.2</w:t>
            </w:r>
          </w:p>
        </w:tc>
        <w:tc>
          <w:tcPr>
            <w:tcW w:w="1397"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其它*</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w:t>
            </w:r>
          </w:p>
        </w:tc>
        <w:tc>
          <w:tcPr>
            <w:tcW w:w="10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排水管道工程*</w:t>
            </w: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4.1</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地基承载力*</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《建筑地基检测技术规范》</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JGJ 340-2015</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《公路工程地质原位测试规程》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JTG 3223-2021</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themeColor="text1"/>
                <w:sz w:val="20"/>
                <w:szCs w:val="20"/>
                <w14:textFill>
                  <w14:solidFill>
                    <w14:schemeClr w14:val="tx1"/>
                  </w14:solidFill>
                </w14:textFill>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kern w:val="0"/>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《铁路工程地质原位测试规程》</w:t>
            </w:r>
          </w:p>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TB 10018-2018</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4.2</w:t>
            </w:r>
          </w:p>
        </w:tc>
        <w:tc>
          <w:tcPr>
            <w:tcW w:w="1397" w:type="dxa"/>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回填土压实度*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4.3</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背后土体密实性*</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《铁路隧道衬砌质量无损检测规程》TB10223-2004</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《公路工程质量检验评定标准 第一册 土建工程》JTG F80/1-2017</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4.4</w:t>
            </w:r>
          </w:p>
        </w:tc>
        <w:tc>
          <w:tcPr>
            <w:tcW w:w="1397"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严密性试验*（闭水法、注水法、闭气法）</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《给水排水管道工程施工及验收规范》GB 50268-2008</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4.5</w:t>
            </w:r>
          </w:p>
        </w:tc>
        <w:tc>
          <w:tcPr>
            <w:tcW w:w="1397"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其它*</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w:t>
            </w:r>
          </w:p>
        </w:tc>
        <w:tc>
          <w:tcPr>
            <w:tcW w:w="1068"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水泥混凝土路面*</w:t>
            </w: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5.1</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平整度*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《民用机场道面现场测试规程》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MH/T 5110-2015</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5.2</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构造深度*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《民用机场道面现场测试规程》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MH/T 5110-2015</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5.3</w:t>
            </w:r>
          </w:p>
        </w:tc>
        <w:tc>
          <w:tcPr>
            <w:tcW w:w="1397" w:type="dxa"/>
            <w:vMerge w:val="restart"/>
            <w:tcBorders>
              <w:tl2br w:val="nil"/>
              <w:tr2bl w:val="nil"/>
            </w:tcBorders>
            <w:shd w:val="clear" w:color="auto" w:fill="auto"/>
            <w:vAlign w:val="center"/>
          </w:tcPr>
          <w:p>
            <w:pPr>
              <w:widowControl/>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厚度*</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《公路路基路面现场测试规程》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JTG 3450-2019</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397"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kern w:val="0"/>
                <w:sz w:val="20"/>
                <w:szCs w:val="20"/>
              </w:rPr>
            </w:pPr>
            <w:r>
              <w:rPr>
                <w:rFonts w:hint="eastAsia" w:ascii="Times New Roman" w:hAnsi="Times New Roman" w:eastAsia="宋体" w:cs="宋体"/>
                <w:color w:val="000000"/>
                <w:kern w:val="0"/>
                <w:sz w:val="20"/>
                <w:szCs w:val="20"/>
              </w:rPr>
              <w:t>《民用机场道面现场测试规程》</w:t>
            </w:r>
          </w:p>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MH/T 5110-2015</w:t>
            </w: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vMerge w:val="continue"/>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1068" w:type="dxa"/>
            <w:vMerge w:val="continue"/>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080" w:type="dxa"/>
            <w:tcBorders>
              <w:tl2br w:val="nil"/>
              <w:tr2bl w:val="nil"/>
            </w:tcBorders>
            <w:shd w:val="clear" w:color="auto" w:fill="auto"/>
            <w:vAlign w:val="center"/>
          </w:tcPr>
          <w:p>
            <w:pPr>
              <w:widowControl/>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5.4</w:t>
            </w:r>
          </w:p>
        </w:tc>
        <w:tc>
          <w:tcPr>
            <w:tcW w:w="1397"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r>
              <w:rPr>
                <w:rFonts w:hint="eastAsia" w:ascii="Times New Roman" w:hAnsi="Times New Roman" w:eastAsia="宋体" w:cs="宋体"/>
                <w:color w:val="000000" w:themeColor="text1"/>
                <w:kern w:val="0"/>
                <w:sz w:val="20"/>
                <w:szCs w:val="20"/>
                <w14:textFill>
                  <w14:solidFill>
                    <w14:schemeClr w14:val="tx1"/>
                  </w14:solidFill>
                </w14:textFill>
              </w:rPr>
              <w:t>其它*</w:t>
            </w:r>
          </w:p>
        </w:tc>
        <w:tc>
          <w:tcPr>
            <w:tcW w:w="351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themeColor="text1"/>
                <w:sz w:val="20"/>
                <w:szCs w:val="20"/>
                <w14:textFill>
                  <w14:solidFill>
                    <w14:schemeClr w14:val="tx1"/>
                  </w14:solidFill>
                </w14:textFill>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tcPr>
          <w:p>
            <w:pPr>
              <w:jc w:val="left"/>
              <w:rPr>
                <w:rFonts w:ascii="Times New Roman" w:hAnsi="Times New Roman" w:eastAsia="宋体" w:cs="宋体"/>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805" w:type="dxa"/>
            <w:tcBorders>
              <w:tl2br w:val="nil"/>
              <w:tr2bl w:val="nil"/>
            </w:tcBorders>
            <w:shd w:val="clear" w:color="auto" w:fill="auto"/>
            <w:vAlign w:val="center"/>
          </w:tcPr>
          <w:p>
            <w:pPr>
              <w:widowControl/>
              <w:ind w:firstLine="200" w:firstLineChars="100"/>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6</w:t>
            </w:r>
          </w:p>
        </w:tc>
        <w:tc>
          <w:tcPr>
            <w:tcW w:w="1068" w:type="dxa"/>
            <w:tcBorders>
              <w:tl2br w:val="nil"/>
              <w:tr2bl w:val="nil"/>
            </w:tcBorders>
            <w:shd w:val="clear" w:color="auto" w:fill="auto"/>
            <w:vAlign w:val="center"/>
          </w:tcPr>
          <w:p>
            <w:pPr>
              <w:widowControl/>
              <w:jc w:val="left"/>
              <w:textAlignment w:val="center"/>
              <w:rPr>
                <w:rFonts w:ascii="Times New Roman" w:hAnsi="Times New Roman" w:eastAsia="宋体" w:cs="宋体"/>
                <w:color w:val="000000"/>
                <w:sz w:val="20"/>
                <w:szCs w:val="20"/>
              </w:rPr>
            </w:pPr>
            <w:r>
              <w:rPr>
                <w:rFonts w:hint="eastAsia" w:ascii="Times New Roman" w:hAnsi="Times New Roman" w:eastAsia="宋体" w:cs="宋体"/>
                <w:color w:val="000000"/>
                <w:kern w:val="0"/>
                <w:sz w:val="20"/>
                <w:szCs w:val="20"/>
              </w:rPr>
              <w:t>其它*</w:t>
            </w:r>
          </w:p>
        </w:tc>
        <w:tc>
          <w:tcPr>
            <w:tcW w:w="1080"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1397" w:type="dxa"/>
            <w:tcBorders>
              <w:tl2br w:val="nil"/>
              <w:tr2bl w:val="nil"/>
            </w:tcBorders>
            <w:shd w:val="clear" w:color="auto" w:fill="auto"/>
            <w:vAlign w:val="center"/>
          </w:tcPr>
          <w:p>
            <w:pPr>
              <w:rPr>
                <w:rFonts w:ascii="Times New Roman" w:hAnsi="Times New Roman" w:eastAsia="宋体" w:cs="宋体"/>
                <w:color w:val="000000"/>
                <w:sz w:val="20"/>
                <w:szCs w:val="20"/>
              </w:rPr>
            </w:pPr>
          </w:p>
        </w:tc>
        <w:tc>
          <w:tcPr>
            <w:tcW w:w="3518" w:type="dxa"/>
            <w:tcBorders>
              <w:tl2br w:val="nil"/>
              <w:tr2bl w:val="nil"/>
            </w:tcBorders>
            <w:shd w:val="clear" w:color="auto" w:fill="auto"/>
            <w:vAlign w:val="center"/>
          </w:tcPr>
          <w:p>
            <w:pPr>
              <w:jc w:val="left"/>
              <w:rPr>
                <w:rFonts w:ascii="Times New Roman" w:hAnsi="Times New Roman" w:eastAsia="宋体" w:cs="宋体"/>
                <w:color w:val="000000"/>
                <w:sz w:val="20"/>
                <w:szCs w:val="20"/>
              </w:rPr>
            </w:pPr>
          </w:p>
        </w:tc>
        <w:tc>
          <w:tcPr>
            <w:tcW w:w="77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1037" w:type="dxa"/>
            <w:tcBorders>
              <w:tl2br w:val="nil"/>
              <w:tr2bl w:val="nil"/>
            </w:tcBorders>
            <w:shd w:val="clear" w:color="auto" w:fill="auto"/>
          </w:tcPr>
          <w:p>
            <w:pPr>
              <w:jc w:val="left"/>
              <w:rPr>
                <w:rFonts w:ascii="Times New Roman" w:hAnsi="Times New Roman" w:eastAsia="宋体" w:cs="宋体"/>
                <w:color w:val="000000"/>
                <w:sz w:val="20"/>
                <w:szCs w:val="20"/>
              </w:rPr>
            </w:pPr>
          </w:p>
        </w:tc>
        <w:tc>
          <w:tcPr>
            <w:tcW w:w="531" w:type="dxa"/>
            <w:tcBorders>
              <w:tl2br w:val="nil"/>
              <w:tr2bl w:val="nil"/>
            </w:tcBorders>
            <w:shd w:val="clear" w:color="auto" w:fill="auto"/>
            <w:noWrap/>
            <w:vAlign w:val="center"/>
          </w:tcPr>
          <w:p>
            <w:pPr>
              <w:rPr>
                <w:rFonts w:ascii="Times New Roman" w:hAnsi="Times New Roman" w:eastAsia="宋体" w:cs="宋体"/>
                <w:color w:val="000000"/>
                <w:sz w:val="20"/>
                <w:szCs w:val="20"/>
              </w:rPr>
            </w:pPr>
          </w:p>
        </w:tc>
      </w:tr>
    </w:tbl>
    <w:p>
      <w:pPr>
        <w:rPr>
          <w:rFonts w:ascii="Times New Roman" w:hAnsi="Times New Roman"/>
        </w:rPr>
      </w:pPr>
    </w:p>
    <w:p>
      <w:pPr>
        <w:rPr>
          <w:rFonts w:ascii="Times New Roman" w:hAnsi="Times New Roman"/>
        </w:rPr>
      </w:pPr>
    </w:p>
    <w:p>
      <w:pPr>
        <w:rPr>
          <w:rFonts w:ascii="Times New Roman" w:hAnsi="Times New Roman"/>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pStyle w:val="2"/>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p>
    <w:p>
      <w:pPr>
        <w:widowControl/>
        <w:shd w:val="clear" w:color="auto" w:fill="FFFFFF"/>
        <w:wordWrap w:val="0"/>
        <w:spacing w:line="440" w:lineRule="atLeast"/>
        <w:ind w:left="594" w:hanging="594"/>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 xml:space="preserve"> 九、桥梁与地下工程检测项目/参数能力表（必选）</w:t>
      </w:r>
    </w:p>
    <w:tbl>
      <w:tblPr>
        <w:tblStyle w:val="7"/>
        <w:tblW w:w="9189" w:type="dxa"/>
        <w:tblInd w:w="-20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9"/>
        <w:gridCol w:w="818"/>
        <w:gridCol w:w="696"/>
        <w:gridCol w:w="614"/>
        <w:gridCol w:w="545"/>
        <w:gridCol w:w="3321"/>
        <w:gridCol w:w="836"/>
        <w:gridCol w:w="941"/>
        <w:gridCol w:w="7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7" w:hRule="atLeast"/>
          <w:tblHeader/>
        </w:trPr>
        <w:tc>
          <w:tcPr>
            <w:tcW w:w="9189" w:type="dxa"/>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trPr>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8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项目</w:t>
            </w:r>
          </w:p>
        </w:tc>
        <w:tc>
          <w:tcPr>
            <w:tcW w:w="18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332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77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trPr>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1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332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8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69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1159"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静态应变（应力）</w:t>
            </w:r>
          </w:p>
        </w:tc>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《大跨径混凝土桥梁的试验方法》YC4-4/1982</w:t>
            </w:r>
          </w:p>
        </w:tc>
        <w:tc>
          <w:tcPr>
            <w:tcW w:w="836"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op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op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《公路桥梁荷载试验规程》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J21-01-2015</w:t>
            </w:r>
          </w:p>
        </w:tc>
        <w:tc>
          <w:tcPr>
            <w:tcW w:w="836"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《建筑与桥梁结构监测技术规范》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50982-2014</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《公路桥梁施工监控技术规程》JTG/T 3650-01-2022</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动态应变（应力）</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《简支梁试验方法 预应力混凝土梁静载弯曲试验》TB/T 2092-2018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位移</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《公路桥梁荷载试验规程》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《建筑变形测量规范》JGJ8-2016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《建筑施工测量标准》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408-2017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614"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模态参数</w:t>
            </w: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频率</w:t>
            </w: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振型</w:t>
            </w: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trPr>
        <w:tc>
          <w:tcPr>
            <w:tcW w:w="709"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81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696"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614"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模态参数</w:t>
            </w: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阻尼比</w:t>
            </w: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1.5</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索力</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 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《建筑与桥梁结构监测技术规范》GB 50982-2014</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 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rPr>
                <w:rFonts w:ascii="Times New Roman" w:hAnsi="Times New Roman" w:cstheme="minorEastAsia"/>
                <w:color w:val="000000"/>
                <w:sz w:val="20"/>
                <w:szCs w:val="20"/>
              </w:rPr>
            </w:pPr>
            <w:r>
              <w:rPr>
                <w:rFonts w:hint="eastAsia" w:ascii="Times New Roman" w:hAnsi="Times New Roman" w:cstheme="minorEastAsia"/>
                <w:color w:val="000000"/>
                <w:sz w:val="20"/>
                <w:szCs w:val="20"/>
              </w:rPr>
              <w:t>1.6</w:t>
            </w:r>
          </w:p>
        </w:tc>
        <w:tc>
          <w:tcPr>
            <w:tcW w:w="1159" w:type="dxa"/>
            <w:gridSpan w:val="2"/>
            <w:vMerge w:val="restart"/>
            <w:tcBorders>
              <w:tl2br w:val="nil"/>
              <w:tr2bl w:val="nil"/>
            </w:tcBorders>
            <w:shd w:val="clear" w:color="auto" w:fill="auto"/>
            <w:vAlign w:val="center"/>
          </w:tcPr>
          <w:p>
            <w:pPr>
              <w:rPr>
                <w:rFonts w:ascii="Times New Roman" w:hAnsi="Times New Roman" w:cstheme="minorEastAsia"/>
                <w:color w:val="000000"/>
                <w:sz w:val="20"/>
                <w:szCs w:val="20"/>
              </w:rPr>
            </w:pPr>
            <w:r>
              <w:rPr>
                <w:rFonts w:hint="eastAsia" w:ascii="Times New Roman" w:hAnsi="Times New Roman" w:cstheme="minorEastAsia"/>
                <w:color w:val="000000"/>
                <w:sz w:val="20"/>
                <w:szCs w:val="20"/>
              </w:rPr>
              <w:t>承载能力</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lang w:bidi="ar"/>
              </w:rPr>
              <w:t>《简支梁试验方法 预应力混凝土梁静载弯曲试验》TB/T 2092-2018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lang w:bidi="ar"/>
              </w:rPr>
            </w:pPr>
            <w:r>
              <w:rPr>
                <w:rFonts w:hint="eastAsia" w:ascii="Times New Roman" w:hAnsi="Times New Roman" w:cstheme="minorEastAsia"/>
                <w:color w:val="000000"/>
                <w:kern w:val="0"/>
                <w:sz w:val="20"/>
                <w:szCs w:val="20"/>
                <w:lang w:bidi="ar"/>
              </w:rPr>
              <w:t>《公路桥梁荷载试验规程》</w:t>
            </w:r>
          </w:p>
          <w:p>
            <w:pPr>
              <w:widowControl/>
              <w:jc w:val="left"/>
              <w:textAlignment w:val="top"/>
              <w:rPr>
                <w:rFonts w:ascii="Times New Roman" w:hAnsi="Times New Roman" w:cstheme="minorEastAsia"/>
                <w:color w:val="000000"/>
                <w:kern w:val="0"/>
                <w:sz w:val="20"/>
                <w:szCs w:val="20"/>
                <w:lang w:bidi="ar"/>
              </w:rPr>
            </w:pPr>
            <w:r>
              <w:rPr>
                <w:rFonts w:hint="eastAsia" w:ascii="Times New Roman" w:hAnsi="Times New Roman" w:cstheme="minorEastAsia"/>
                <w:color w:val="000000"/>
                <w:kern w:val="0"/>
                <w:sz w:val="20"/>
                <w:szCs w:val="20"/>
                <w:lang w:bidi="ar"/>
              </w:rPr>
              <w:t>JTG/T 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lang w:bidi="ar"/>
              </w:rPr>
              <w:t>《大跨径混凝土桥梁的试验方法》YC4-4/1982</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1.7</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桥梁线形</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《公路桥梁施工监控技术规程》JTG/T 3650-01-2022</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rPr>
                <w:rFonts w:ascii="Times New Roman" w:hAnsi="Times New Roman" w:cstheme="minorEastAsia"/>
                <w:color w:val="000000"/>
                <w:sz w:val="20"/>
                <w:szCs w:val="20"/>
              </w:rPr>
            </w:pPr>
            <w:r>
              <w:rPr>
                <w:rFonts w:hint="eastAsia" w:ascii="Times New Roman" w:hAnsi="Times New Roman" w:cstheme="minorEastAsia"/>
                <w:color w:val="000000"/>
                <w:sz w:val="20"/>
                <w:szCs w:val="20"/>
              </w:rPr>
              <w:t>1.8</w:t>
            </w:r>
          </w:p>
        </w:tc>
        <w:tc>
          <w:tcPr>
            <w:tcW w:w="1159" w:type="dxa"/>
            <w:gridSpan w:val="2"/>
            <w:vMerge w:val="restart"/>
            <w:tcBorders>
              <w:tl2br w:val="nil"/>
              <w:tr2bl w:val="nil"/>
            </w:tcBorders>
            <w:shd w:val="clear" w:color="auto" w:fill="auto"/>
            <w:vAlign w:val="center"/>
          </w:tcPr>
          <w:p>
            <w:pP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动态挠度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《工程测量标准》GB 50026-2020</w:t>
            </w:r>
          </w:p>
        </w:tc>
        <w:tc>
          <w:tcPr>
            <w:tcW w:w="836"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rPr>
            </w:pPr>
          </w:p>
        </w:tc>
        <w:tc>
          <w:tcPr>
            <w:tcW w:w="818" w:type="dxa"/>
            <w:vMerge w:val="continue"/>
            <w:tcBorders>
              <w:top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rPr>
            </w:pPr>
          </w:p>
        </w:tc>
        <w:tc>
          <w:tcPr>
            <w:tcW w:w="696" w:type="dxa"/>
            <w:vMerge w:val="continue"/>
            <w:tcBorders>
              <w:tl2br w:val="nil"/>
              <w:tr2bl w:val="nil"/>
            </w:tcBorders>
            <w:shd w:val="clear" w:color="auto" w:fill="auto"/>
            <w:vAlign w:val="center"/>
          </w:tcPr>
          <w:p>
            <w:pPr>
              <w:widowControl/>
              <w:jc w:val="left"/>
              <w:textAlignment w:val="top"/>
              <w:rPr>
                <w:rFonts w:ascii="Times New Roman" w:hAnsi="Times New Roman"/>
              </w:rPr>
            </w:pPr>
          </w:p>
        </w:tc>
        <w:tc>
          <w:tcPr>
            <w:tcW w:w="1159" w:type="dxa"/>
            <w:gridSpan w:val="2"/>
            <w:vMerge w:val="continue"/>
            <w:tcBorders>
              <w:tl2br w:val="nil"/>
              <w:tr2bl w:val="nil"/>
            </w:tcBorders>
            <w:shd w:val="clear" w:color="auto" w:fill="auto"/>
            <w:vAlign w:val="center"/>
          </w:tcPr>
          <w:p>
            <w:pPr>
              <w:widowControl/>
              <w:jc w:val="left"/>
              <w:textAlignment w:val="top"/>
              <w:rPr>
                <w:rFonts w:ascii="Times New Roman" w:hAnsi="Times New Roman"/>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941"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709"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696" w:type="dxa"/>
            <w:vMerge w:val="continue"/>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1159" w:type="dxa"/>
            <w:gridSpan w:val="2"/>
            <w:vMerge w:val="continue"/>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941"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709"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696" w:type="dxa"/>
            <w:vMerge w:val="continue"/>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1159" w:type="dxa"/>
            <w:gridSpan w:val="2"/>
            <w:vMerge w:val="continue"/>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《简支梁试验方法 预应力混凝土梁静载弯曲试验》TB/T 2092-2018</w:t>
            </w:r>
          </w:p>
        </w:tc>
        <w:tc>
          <w:tcPr>
            <w:tcW w:w="836"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941"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c>
          <w:tcPr>
            <w:tcW w:w="709" w:type="dxa"/>
            <w:tcBorders>
              <w:top w:val="single" w:color="auto" w:sz="4" w:space="0"/>
              <w:bottom w:val="single" w:color="auto" w:sz="4" w:space="0"/>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81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1.9</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静态挠度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836"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《城市桥梁检测与评定技术规范》CJJ/T 233-2015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《建筑变形测量规范》JGJ 8-2016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1.10</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结构尺寸</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轴线偏位</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《公路桥梁施工监控技术规程》JTG/T 3650-01-2022</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竖直度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《建筑变形测量规范》JGJ8-2016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《建筑施工测量标准》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408-2017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w:t>
            </w:r>
          </w:p>
        </w:tc>
        <w:tc>
          <w:tcPr>
            <w:tcW w:w="614"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混凝土强度</w:t>
            </w: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《回弹法检测混凝土抗压强度技术规程》JGJ/T23-2011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《高强混凝土强度检测技术规程》JGJ/T294-2013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《桥梁高强混凝土抗压强度无损检测》JT/T1166-2017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《回弹法检测高强混凝土抗压强度技术规程》DBJ51/T 018-2013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《钻芯法检测混凝土强度技术规程》CECS 03-2007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81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696"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1.13</w:t>
            </w:r>
          </w:p>
        </w:tc>
        <w:tc>
          <w:tcPr>
            <w:tcW w:w="614"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混凝土强度</w:t>
            </w: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p>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回弹</w:t>
            </w:r>
          </w:p>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钻芯综合法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《公路工程超声回弹综合法检测结构混凝土强度技术规程》DB51/T1996-2015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《公路工程超声回弹综合法检测结构混凝土强度技术规程》DB51/T1996-2015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《超声回弹综合法检测混凝土抗压强度技术规程》T/CECS 02-2020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bottom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1.14</w:t>
            </w:r>
          </w:p>
        </w:tc>
        <w:tc>
          <w:tcPr>
            <w:tcW w:w="1159" w:type="dxa"/>
            <w:gridSpan w:val="2"/>
            <w:vMerge w:val="restart"/>
            <w:tcBorders>
              <w:bottom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混凝土碳化深度</w:t>
            </w:r>
          </w:p>
        </w:tc>
        <w:tc>
          <w:tcPr>
            <w:tcW w:w="3321" w:type="dxa"/>
            <w:tcBorders>
              <w:bottom w:val="single" w:color="auto" w:sz="4" w:space="0"/>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《回弹法检测混凝土抗压强度技术规程》JGJ/T23-2011</w:t>
            </w:r>
          </w:p>
        </w:tc>
        <w:tc>
          <w:tcPr>
            <w:tcW w:w="836"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《回弹法检测高强混凝土抗压强度技术规程》DBJ51/T 018-2013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1.15</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钢筋位置及保护层厚度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1.16</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氯离子含量</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left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《混凝土中氯离子含量检测技术规程》JGJ/T322-2013</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818"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隧道主体结构</w:t>
            </w:r>
          </w:p>
        </w:tc>
        <w:tc>
          <w:tcPr>
            <w:tcW w:w="696"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w:t>
            </w:r>
          </w:p>
        </w:tc>
        <w:tc>
          <w:tcPr>
            <w:tcW w:w="1159" w:type="dxa"/>
            <w:gridSpan w:val="2"/>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断面尺寸</w:t>
            </w:r>
          </w:p>
        </w:tc>
        <w:tc>
          <w:tcPr>
            <w:tcW w:w="3321" w:type="dxa"/>
            <w:tcBorders>
              <w:tl2br w:val="nil"/>
              <w:tr2bl w:val="nil"/>
            </w:tcBorders>
            <w:shd w:val="clear" w:color="auto" w:fill="auto"/>
            <w:vAlign w:val="center"/>
          </w:tcPr>
          <w:p>
            <w:pPr>
              <w:widowControl/>
              <w:jc w:val="center"/>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 GB 50026-2020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2.2</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锚杆拉拔力</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《岩土锚杆与喷射混凝土支护工程技术规范》GB 50086-2015</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（锚杆拉拔仪法）</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81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隧道主体结构</w:t>
            </w: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2.3</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衬砌厚度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《铁路隧道衬砌质量无损检测规程》TB 10223-2004</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《铁路隧道工程施工质量验收标准》TB 10417-2018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2.4</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衬砌及背后密实状况</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《铁路隧道衬砌质量无损检测规程》TB 10223-2004</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2.5</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墙面平整度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土建工程》JTG F80/1-2017</w:t>
            </w:r>
          </w:p>
        </w:tc>
        <w:tc>
          <w:tcPr>
            <w:tcW w:w="836"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836"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2.6</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钢筋网格尺寸</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土建工程》JTG F80/1-2017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《铁路隧道工程施工质量验收标准》TB 10417-2018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2.7</w:t>
            </w:r>
          </w:p>
        </w:tc>
        <w:tc>
          <w:tcPr>
            <w:tcW w:w="1159" w:type="dxa"/>
            <w:gridSpan w:val="2"/>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锚杆长度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《锚杆锚固质量无损检测技术规程》 JGJ/T 182-2009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2.8</w:t>
            </w:r>
          </w:p>
        </w:tc>
        <w:tc>
          <w:tcPr>
            <w:tcW w:w="1159" w:type="dxa"/>
            <w:gridSpan w:val="2"/>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锚杆锚固密实度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《锚杆锚固质量无损检测技术规程》 JGJ/T 182-2009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2.9</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管片几何尺寸</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《盾构法隧道施工及验收规范》GB50446-2017</w:t>
            </w:r>
          </w:p>
        </w:tc>
        <w:tc>
          <w:tcPr>
            <w:tcW w:w="836"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《地下铁道工程施工质量验收标准》GB/T50299-2018</w:t>
            </w:r>
          </w:p>
        </w:tc>
        <w:tc>
          <w:tcPr>
            <w:tcW w:w="836"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2.10</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错台</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《盾构法隧道施工及验收规范》GB50446-2017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《地下铁道工程施工质量验收标准》GB/T50299-2018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《城市轨道交通隧道结构养护技术标准》CJJ/T 289-2018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2.11</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椭圆度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《盾构法隧道施工及验收规范》GB50446-2017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《地下铁道工程施工质量验收标准》GB/T50299-2018</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81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隧道主体结构</w:t>
            </w: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2.12</w:t>
            </w:r>
          </w:p>
        </w:tc>
        <w:tc>
          <w:tcPr>
            <w:tcW w:w="614"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w:t>
            </w:r>
          </w:p>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强度</w:t>
            </w:r>
          </w:p>
        </w:tc>
        <w:tc>
          <w:tcPr>
            <w:tcW w:w="545"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 23-2011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回弹-钻芯综合法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 23-2011</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14"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545"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《超声回弹综合法检测混凝土抗压强度技术规程》T/CECS 02-2020</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2.13</w:t>
            </w:r>
          </w:p>
        </w:tc>
        <w:tc>
          <w:tcPr>
            <w:tcW w:w="1159" w:type="dxa"/>
            <w:gridSpan w:val="2"/>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钢筋位置及保护层厚度</w:t>
            </w: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 152-2019</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vAlign w:val="center"/>
          </w:tcPr>
          <w:p>
            <w:pPr>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trPr>
        <w:tc>
          <w:tcPr>
            <w:tcW w:w="709"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818" w:type="dxa"/>
            <w:vMerge w:val="continue"/>
            <w:tcBorders>
              <w:top w:val="single" w:color="auto" w:sz="4" w:space="0"/>
              <w:bottom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159" w:type="dxa"/>
            <w:gridSpan w:val="2"/>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3321"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 50204-2015</w:t>
            </w:r>
          </w:p>
        </w:tc>
        <w:tc>
          <w:tcPr>
            <w:tcW w:w="836"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4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09" w:type="dxa"/>
            <w:tcBorders>
              <w:tl2br w:val="nil"/>
              <w:tr2bl w:val="nil"/>
            </w:tcBorders>
            <w:shd w:val="clear" w:color="auto" w:fill="auto"/>
            <w:vAlign w:val="center"/>
          </w:tcPr>
          <w:p>
            <w:pPr>
              <w:rPr>
                <w:rFonts w:ascii="Times New Roman" w:hAnsi="Times New Roman" w:cstheme="minorEastAsia"/>
                <w:color w:val="000000"/>
                <w:sz w:val="20"/>
                <w:szCs w:val="20"/>
              </w:rPr>
            </w:pPr>
          </w:p>
        </w:tc>
      </w:tr>
    </w:tbl>
    <w:p>
      <w:pPr>
        <w:widowControl/>
        <w:shd w:val="clear" w:color="auto" w:fill="FFFFFF"/>
        <w:wordWrap w:val="0"/>
        <w:spacing w:before="120" w:after="240" w:line="400" w:lineRule="exact"/>
        <w:ind w:right="431"/>
        <w:jc w:val="left"/>
        <w:rPr>
          <w:rFonts w:ascii="Times New Roman" w:hAnsi="Times New Roman" w:cstheme="minorEastAsia"/>
          <w:kern w:val="0"/>
          <w:sz w:val="20"/>
          <w:szCs w:val="20"/>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line="440"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九、桥梁与地下工程检测项目/参数能力表（可选）</w:t>
      </w:r>
    </w:p>
    <w:tbl>
      <w:tblPr>
        <w:tblStyle w:val="7"/>
        <w:tblW w:w="988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2"/>
        <w:gridCol w:w="699"/>
        <w:gridCol w:w="816"/>
        <w:gridCol w:w="678"/>
        <w:gridCol w:w="882"/>
        <w:gridCol w:w="3745"/>
        <w:gridCol w:w="791"/>
        <w:gridCol w:w="977"/>
        <w:gridCol w:w="6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3" w:hRule="atLeast"/>
          <w:tblHeader/>
          <w:jc w:val="center"/>
        </w:trPr>
        <w:tc>
          <w:tcPr>
            <w:tcW w:w="9883" w:type="dxa"/>
            <w:gridSpan w:val="9"/>
            <w:tcBorders>
              <w:top w:val="nil"/>
              <w:left w:val="nil"/>
              <w:bottom w:val="single" w:color="auto" w:sz="4" w:space="0"/>
              <w:right w:val="nil"/>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eastAsia="宋体" w:cs="宋体"/>
                <w:kern w:val="0"/>
                <w:sz w:val="24"/>
                <w:szCs w:val="24"/>
              </w:rPr>
              <w:t>检测机构地址：                              第X页，共X 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jc w:val="center"/>
        </w:trPr>
        <w:tc>
          <w:tcPr>
            <w:tcW w:w="67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6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检测项目</w:t>
            </w:r>
          </w:p>
        </w:tc>
        <w:tc>
          <w:tcPr>
            <w:tcW w:w="237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检测参数</w:t>
            </w:r>
          </w:p>
        </w:tc>
        <w:tc>
          <w:tcPr>
            <w:tcW w:w="37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检测标准</w:t>
            </w:r>
          </w:p>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（方法）</w:t>
            </w:r>
          </w:p>
        </w:tc>
        <w:tc>
          <w:tcPr>
            <w:tcW w:w="176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确认结果</w:t>
            </w:r>
          </w:p>
        </w:tc>
        <w:tc>
          <w:tcPr>
            <w:tcW w:w="62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7" w:hRule="atLeast"/>
          <w:tblHeader/>
          <w:jc w:val="center"/>
        </w:trPr>
        <w:tc>
          <w:tcPr>
            <w:tcW w:w="67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rPr>
                <w:rFonts w:ascii="Times New Roman" w:hAnsi="Times New Roman" w:cstheme="minorEastAsia"/>
                <w:color w:val="000000"/>
                <w:sz w:val="20"/>
                <w:szCs w:val="20"/>
              </w:rPr>
            </w:pPr>
          </w:p>
        </w:tc>
        <w:tc>
          <w:tcPr>
            <w:tcW w:w="69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序号</w:t>
            </w:r>
          </w:p>
        </w:tc>
        <w:tc>
          <w:tcPr>
            <w:tcW w:w="15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名称</w:t>
            </w:r>
          </w:p>
        </w:tc>
        <w:tc>
          <w:tcPr>
            <w:tcW w:w="37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通过</w:t>
            </w:r>
          </w:p>
        </w:tc>
        <w:tc>
          <w:tcPr>
            <w:tcW w:w="9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不通过</w:t>
            </w:r>
          </w:p>
        </w:tc>
        <w:tc>
          <w:tcPr>
            <w:tcW w:w="62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69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w:t>
            </w:r>
          </w:p>
        </w:tc>
        <w:tc>
          <w:tcPr>
            <w:tcW w:w="156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3745" w:type="dxa"/>
            <w:tcBorders>
              <w:top w:val="single" w:color="auto" w:sz="4" w:space="0"/>
              <w:left w:val="single" w:color="auto" w:sz="4" w:space="0"/>
              <w:bottom w:val="single" w:color="auto" w:sz="4" w:space="0"/>
              <w:right w:val="single" w:color="auto" w:sz="4" w:space="0"/>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《建筑工程施工质量验收统一标准》GB50300-2013</w:t>
            </w:r>
          </w:p>
        </w:tc>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op w:val="single" w:color="auto" w:sz="4" w:space="0"/>
              <w:left w:val="single" w:color="auto" w:sz="4" w:space="0"/>
              <w:bottom w:val="single" w:color="auto" w:sz="4" w:space="0"/>
              <w:right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top w:val="single" w:color="auto" w:sz="4" w:space="0"/>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op w:val="single" w:color="auto" w:sz="4" w:space="0"/>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内部缺陷*</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《建筑工程施工质量验收统一标准》GB50300-2013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《超声法检测混凝土缺陷技术规程》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CECS 21:2000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预应力孔道摩阻损失*</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《预应力筋用锚具、夹具和连接器》</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14370-2015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《公路桥梁预应力钢绞线用锚具、夹具和连接器》JT/T 329-2010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有效预应力*</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《预应力筋用锚具、夹具和连接器》</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14370-2015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《公路桥梁预应力钢绞线用锚具、夹具和连接器》JT/T 329-2010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孔道压浆密实性*</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《公路混凝土桥梁预应力施工质量检测评定技术规程》DB35/T 1638-2017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《冲击回波法测试混凝土缺陷技术规程》JGJ/T411-2017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1.6</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风速*</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《建筑与桥梁结构监测技术规范》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50982-2014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restart"/>
            <w:tcBorders>
              <w:top w:val="single" w:color="auto" w:sz="4" w:space="0"/>
              <w:left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桥梁结构与构件*</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温度*</w:t>
            </w: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《建筑与桥梁结构监测技术规范》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50982-2014</w:t>
            </w:r>
          </w:p>
        </w:tc>
        <w:tc>
          <w:tcPr>
            <w:tcW w:w="791"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《大体积混凝土施工标准》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50496-2018</w:t>
            </w:r>
          </w:p>
        </w:tc>
        <w:tc>
          <w:tcPr>
            <w:tcW w:w="791"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《大体积混凝土温度测控技术规范》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51028-2015</w:t>
            </w:r>
          </w:p>
        </w:tc>
        <w:tc>
          <w:tcPr>
            <w:tcW w:w="791"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op w:val="single" w:color="auto" w:sz="4" w:space="0"/>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37"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《混凝土结构工程施工规范》GB50666-2011</w:t>
            </w:r>
          </w:p>
        </w:tc>
        <w:tc>
          <w:tcPr>
            <w:tcW w:w="79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1.8</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加速度*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《公路桥梁承载能力检测评定规程》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J21-2011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《公路桥梁荷载试验规程》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J21-01-2015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1.9</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速度*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《建筑与桥梁结构监测技术规范》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50982-2014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1.10</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冲击性能*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《城市桥梁检测与评定技术规范》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CJJ/T 233-2015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混凝土电阻率*</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《公路桥梁承载能力检测评定规程》JTG/TJ21-2011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1.12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钢筋锈蚀状况*</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left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1.13</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FF"/>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699"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隧道主体结构*</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3745" w:type="dxa"/>
            <w:vMerge w:val="restart"/>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内部缺陷*</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《铁路隧道衬砌质量无损检测规程》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10223-2004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隧道主体结构*</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衬砌内钢筋间距*</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《混凝土中钢筋检测技术标准》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仰拱厚度*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渗漏水*</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 xml:space="preserve">《铁路隧道监控量测技术规程》 </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Q/CR 9218-2015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2.6</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钢筋锈蚀状况*</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2.7</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jc w:val="left"/>
              <w:rPr>
                <w:rFonts w:ascii="Times New Roman" w:hAnsi="Times New Roman" w:cstheme="minorEastAsia"/>
                <w:color w:val="0000FF"/>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w:t>
            </w:r>
          </w:p>
        </w:tc>
        <w:tc>
          <w:tcPr>
            <w:tcW w:w="699"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桥梁及附属物*</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桥面系外观质量*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桥梁上部外观质量*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桥梁下部外观质量*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桥梁及附属物*</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桥梁附属设施外观质量*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3.5</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restart"/>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699"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桥梁支座*</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kern w:val="0"/>
                <w:sz w:val="20"/>
                <w:szCs w:val="20"/>
              </w:rPr>
            </w:pPr>
          </w:p>
        </w:tc>
        <w:tc>
          <w:tcPr>
            <w:tcW w:w="699"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81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1560" w:type="dxa"/>
            <w:gridSpan w:val="2"/>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《铁路桥梁橡胶支座》TB/T2331-2020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kern w:val="0"/>
                <w:sz w:val="20"/>
                <w:szCs w:val="20"/>
              </w:rPr>
            </w:pPr>
          </w:p>
        </w:tc>
        <w:tc>
          <w:tcPr>
            <w:tcW w:w="699"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816" w:type="dxa"/>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1560" w:type="dxa"/>
            <w:gridSpan w:val="2"/>
            <w:vMerge w:val="continue"/>
            <w:tcBorders>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《公路桥梁多级水平力盆式支座》JT/T872-2013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《建筑隔震橡胶支座》JG/T118-2018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第5部分：建筑隔震弹性滑板支座》GB/T 20688.5-2014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《桥梁球型支座》GB/T17955-2009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《建筑钢结构球型支座》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32836-2016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《公路桥梁铅芯隔震橡胶支座》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822-2011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《公路桥梁高阻尼隔震橡胶支座》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842-2012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《公路桥梁钢铰板式橡胶支座》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外观：《桥梁双曲面球型减隔震支座》JT/T927-2014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《公路桥梁板式橡胶支座》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《公路梁式桥梁变刚度支座技术规程》DB51/T2596-2019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《公路桥梁多级水平力球型支座》</w:t>
            </w:r>
          </w:p>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JT/T 873-2013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《公路桥梁多级水平力盆式支座》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桥梁支座*</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内在质量*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《硫化橡胶或热塑性橡胶硬度的测定（10IRHD～100IRHD）》GB/T6031-2017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《硫化橡胶或热塑性橡胶 拉伸应力应变性能的测定》GB/T528-2009</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《硫化橡胶或热塑性橡胶 耐臭氧龟裂 静态拉伸试验》GB/T7762-2014</w:t>
            </w: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《硫化橡胶或热塑性橡胶 热空气加速老化和耐热试验》GB/T3512-2014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竖向压缩变形*</w:t>
            </w:r>
          </w:p>
        </w:tc>
        <w:tc>
          <w:tcPr>
            <w:tcW w:w="3745" w:type="dxa"/>
            <w:vMerge w:val="restart"/>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竖向压缩刚度《橡胶支座第1部分 隔震橡胶支座试验方法》GB/T20688.1-2007</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jc w:val="left"/>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第5部分：建筑隔震弹性滑板支座》GB/T 20688.5-2014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jc w:val="left"/>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《公路桥梁铅芯隔震橡胶支座》JT/T 822-2011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jc w:val="left"/>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《公路桥梁铅芯隔震橡胶支座》JT/T822-2011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竖向刚度：《公路桥梁铅芯隔震橡胶支座》JT/T822-2011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压缩位移：《橡胶支座第1部分 隔震橡胶支座试验方法》GB/T20688.1-2007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压缩变形量：《公路桥梁铅芯隔震橡胶支座》JT/T822-2011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竖向压缩刚度（竖向刚度）：《建筑隔震橡胶支座》JG/T118-2018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压缩位移（压缩变形量）：《建筑隔震橡胶支座》JG/T118-2018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《公路桥梁钢铰板式橡胶支座》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抗压弹性模量*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极限抗压强度*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桥梁支座*</w:t>
            </w: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4.6</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盆环径向变形*</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抗剪弹性模量*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4.8</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抗剪粘结性能*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4.9</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抗剪老化*</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4.10</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承载力*</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竖向承载力：《合成材料调高盆式支座》JT/T 851-2013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《公路桥梁摩擦摆式减隔震支座》JT/T 852-2013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《公路桥梁多级水平力盆式支座》JT/T 872-2013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《建筑钢结构球型支座》GB/T 32836-2016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《桥梁球型支座》GB/T17955-2009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《铁路桥梁球型支座》TB/T3320-2013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《桥梁双曲面球型减隔震支座》JT/T927-2014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《公路梁式桥梁变刚度支座技术规程》DB51/T2596-2019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《建筑钢结构球型支座》GB/T 32836-2016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水平承载力：《公路桥梁盆式支座》JT/T391-2019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《桥梁双曲面球型减隔震支座》JT/T927-2014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《城镇桥梁球形钢支座》CJ/T 374-2011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《漫水桥梁耐水支座应用技术规程》DB51/T 2843-2021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桥梁支座*</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摩擦系数*</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《桥梁球型支座》GB/T17955-2009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《铁路桥梁球型支座》TB/T3320-2013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《城镇桥梁球形钢支座》CJ/T 374-2011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1"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《漫水桥梁耐水支座应用技术规程》DB51/T 2843-2021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5"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《建筑钢结构球型支座》GB/T 32836-2016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《公路桥梁多级水平力球型支座》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873-2013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《公路桥梁多级水平力盆式支座》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《公路桥梁摩擦摆式减隔震支座》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852-2013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《合成材料调高盆式支座》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851-2013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转动性能*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《公路桥梁盆式支座》JT/T391-2019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《桥梁球型支座》GB/T17955-2009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6"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 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《城市轨道交通桥梁盆式支座》CJ/T464-2014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《公路梁式桥梁变刚度支座技术规程》DB51/T2596-2019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《桥梁球型支座》GB/T 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《城市轨道交通桥梁球型钢支座》</w:t>
            </w:r>
          </w:p>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CJ/T 482-2015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《公路桥梁高阻尼隔震橡胶支座》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842-2012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桥梁支座*</w:t>
            </w:r>
          </w:p>
        </w:tc>
        <w:tc>
          <w:tcPr>
            <w:tcW w:w="816"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4.12</w:t>
            </w:r>
          </w:p>
        </w:tc>
        <w:tc>
          <w:tcPr>
            <w:tcW w:w="1560" w:type="dxa"/>
            <w:gridSpan w:val="2"/>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转动性能*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《公路桥梁多级水平力球型支座》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873-2013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《公路桥梁多级水平力盆式支座》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872-2013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《公路桥梁摩擦摆式减隔震支座》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852-2013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《合成材料调高盆式支座》</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JT/T 851-2013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4.13</w:t>
            </w:r>
          </w:p>
        </w:tc>
        <w:tc>
          <w:tcPr>
            <w:tcW w:w="1560" w:type="dxa"/>
            <w:gridSpan w:val="2"/>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尺寸偏差*</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《桥梁球型支座》GB/T 17955-2009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《建筑钢结构球型支座》GB/T 32836-2016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4.14</w:t>
            </w:r>
          </w:p>
        </w:tc>
        <w:tc>
          <w:tcPr>
            <w:tcW w:w="1560" w:type="dxa"/>
            <w:gridSpan w:val="2"/>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转角试验*</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《橡胶支座 第4部分：普通橡胶支座》GB/T20688.4-2007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《公路桥梁板式橡胶支座》JT/T4-2019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4.15</w:t>
            </w:r>
          </w:p>
        </w:tc>
        <w:tc>
          <w:tcPr>
            <w:tcW w:w="1560" w:type="dxa"/>
            <w:gridSpan w:val="2"/>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3745" w:type="dxa"/>
            <w:tcBorders>
              <w:tl2br w:val="nil"/>
              <w:tr2bl w:val="nil"/>
            </w:tcBorders>
            <w:shd w:val="clear" w:color="auto" w:fill="auto"/>
            <w:vAlign w:val="center"/>
          </w:tcPr>
          <w:p>
            <w:pPr>
              <w:widowControl/>
              <w:jc w:val="left"/>
              <w:textAlignment w:val="center"/>
              <w:rPr>
                <w:rFonts w:ascii="Times New Roman" w:hAnsi="Times New Roman" w:cstheme="minorEastAsia"/>
                <w:color w:val="0000FF"/>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699"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桥梁伸缩装置*</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《单元式多向变位梳形板桥梁伸缩装置》JT/T723-2008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《桥梁阻尼减振多向变位梳齿板伸缩装置》JT/T1064-2016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《公路桥梁板式橡胶伸缩装置》JT/T 1269-2019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FF0000"/>
                <w:sz w:val="20"/>
                <w:szCs w:val="20"/>
              </w:rPr>
            </w:pPr>
            <w:r>
              <w:rPr>
                <w:rFonts w:hint="eastAsia" w:ascii="Times New Roman" w:hAnsi="Times New Roman" w:cstheme="minorEastAsia"/>
                <w:color w:val="000000" w:themeColor="text1"/>
                <w:kern w:val="0"/>
                <w:sz w:val="20"/>
                <w:szCs w:val="20"/>
                <w14:textFill>
                  <w14:solidFill>
                    <w14:schemeClr w14:val="tx1"/>
                  </w14:solidFill>
                </w14:textFill>
              </w:rPr>
              <w:t>《公路桥梁梳齿板伸缩装置 第3部分：整体锚固式伸缩装置》JT/T1270.3-2019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《桥梁橡胶降噪伸缩装置》GB/T 38387-2019</w:t>
            </w:r>
          </w:p>
        </w:tc>
        <w:tc>
          <w:tcPr>
            <w:tcW w:w="791"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bottom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《桥梁用磁吸式防撞护栏伸缩装置》T/TMAC 005-2017</w:t>
            </w:r>
          </w:p>
        </w:tc>
        <w:tc>
          <w:tcPr>
            <w:tcW w:w="791"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op w:val="single" w:color="auto" w:sz="4" w:space="0"/>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《桥梁用磁力降噪多向变位梳齿板伸缩装置》T/TMAC 006-2017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桥梁伸缩装置*</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尺寸偏差*</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《单元式多向变位梳形板桥梁伸缩装置》JT/T723-2008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《桥梁阻尼减振多向变位梳齿板伸缩装置》JT/T1064-2016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《公路桥梁梳齿板伸缩装置 第3部分：整体锚固式伸缩装置》JT/T1270.3-2019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5.3</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焊缝尺寸*</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《钢结构焊接规范》GB 50661-2011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焊缝探伤*</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《焊缝无损检测超声检测技术、检测等级和评定》GB/T11345-2013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《焊缝无损检测 射线检测 第1部分：X和伽玛射线的胶片技术》GB/T3323.1-2019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《焊缝无损检测 焊缝磁粉检测 验收等级》GB/T 26952-2011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《焊缝无损检测 焊缝磁粉检测 验收等级》GB/T 26953-2011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《无损检测 渗透检测方法》</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JB/T 9218-2015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涂层附着力*</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《公路桥梁钢结构防腐涂装技术条件》JT/T722-2008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《色漆和清漆 划格试验》GB/T9286-2021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《色漆和清漆 拉开法附着力试验》GB/T5210-2006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《热喷涂 金属和其他无机覆盖层 锌、铝及其合金》GB/T9793-2012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5.6</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涂层厚度*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《公路桥梁钢结构防腐涂装技术条件》JT/T722-2008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《色漆和清漆 漆膜厚度的测定》GB/T13452.2-2008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橡胶密封带夹持性能*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《单元式多向变位梳形板桥梁伸缩装置》JT/T723-2008</w:t>
            </w: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桥梁伸缩装置*</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5.8</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装配公差*</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5.9</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变形性能*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5.10</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防水性能*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《公路桥梁聚氨酯填充式伸缩装置》JT/T1039-2016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5.11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承载性能*</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《公路桥梁伸缩装置》JT/T327-2016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《桥梁橡胶降噪伸缩装置》</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38387-2019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5.12</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themeColor="text1"/>
                <w:sz w:val="20"/>
                <w:szCs w:val="20"/>
                <w14:textFill>
                  <w14:solidFill>
                    <w14:schemeClr w14:val="tx1"/>
                  </w14:solidFill>
                </w14:textFill>
              </w:rPr>
            </w:pPr>
            <w:r>
              <w:rPr>
                <w:rFonts w:hint="eastAsia" w:ascii="Times New Roman" w:hAnsi="Times New Roman" w:cstheme="minorEastAsia"/>
                <w:color w:val="000000" w:themeColor="text1"/>
                <w:kern w:val="0"/>
                <w:sz w:val="20"/>
                <w:szCs w:val="20"/>
                <w14:textFill>
                  <w14:solidFill>
                    <w14:schemeClr w14:val="tx1"/>
                  </w14:solidFill>
                </w14:textFill>
              </w:rPr>
              <w:t>其它*</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FF"/>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w:t>
            </w:r>
          </w:p>
        </w:tc>
        <w:tc>
          <w:tcPr>
            <w:tcW w:w="699" w:type="dxa"/>
            <w:vMerge w:val="restart"/>
            <w:tcBorders>
              <w:top w:val="single" w:color="auto" w:sz="4" w:space="0"/>
              <w:bottom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隧道环境*</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照度*</w:t>
            </w:r>
          </w:p>
        </w:tc>
        <w:tc>
          <w:tcPr>
            <w:tcW w:w="3745"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《照明测量方法》GB/T 5700-2008</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6.2</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噪声*</w:t>
            </w:r>
          </w:p>
        </w:tc>
        <w:tc>
          <w:tcPr>
            <w:tcW w:w="3745"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《环境噪声监测技术规范 噪声测量值修正》 HJ 706-2014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6.3</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风速*</w:t>
            </w:r>
          </w:p>
        </w:tc>
        <w:tc>
          <w:tcPr>
            <w:tcW w:w="3745"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《隧道环境检测设备 第4部分：风速风向检测器》GB/T 26944.4-2011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6.4</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一氧化碳浓度*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《隧道环境检测设备 第2部分：一氧化碳检测器》GB/T 26944.2-2011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6.5</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二氧化碳浓度*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 xml:space="preserve">《长途客车内空气质量检测方法》 </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GB/T 28370-2012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6.6</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二氧化硫浓度*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《密闭空间直读式仪器气体检测规范》GBZ/T 206-2007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6.7</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氧浓度*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《密闭空间直读式仪器气体检测规范》GBZ/T 206-2007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6.8</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一氧化氮浓度*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《密闭空间直读式仪器气体检测规范》GBZ/T 206-2007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6.9</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二氧化氮浓度*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《密闭空间直读式仪器气体检测规范》GBZ/T 206-2007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6.10</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瓦斯浓度*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 xml:space="preserve">《铁路瓦斯隧道技术规范》 </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10120-2019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w:t>
            </w:r>
          </w:p>
        </w:tc>
        <w:tc>
          <w:tcPr>
            <w:tcW w:w="699" w:type="dxa"/>
            <w:vMerge w:val="restart"/>
            <w:tcBorders>
              <w:top w:val="single" w:color="auto" w:sz="4" w:space="0"/>
              <w:tl2br w:val="nil"/>
              <w:tr2bl w:val="nil"/>
            </w:tcBorders>
            <w:shd w:val="clear" w:color="auto" w:fill="auto"/>
            <w:vAlign w:val="center"/>
          </w:tcPr>
          <w:p>
            <w:pPr>
              <w:widowControl/>
              <w:jc w:val="center"/>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隧道环境*</w:t>
            </w: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6.11</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硫化氢浓度*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《密闭空间直读式仪器气体检测规范》GBZ/T 206-2007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6.12</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烟尘浓度*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《地面气象观测规范 气象能见度》GB/T 35223-2017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center"/>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6.13</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w:t>
            </w:r>
          </w:p>
        </w:tc>
        <w:tc>
          <w:tcPr>
            <w:tcW w:w="699"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人行天桥及</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地下通道*</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自振频率*</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《公路桥梁荷载试验规程》JTG/TJ21-01-2015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《城市桥梁检测与评定技术规范》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CJJ/T 233-2015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7.2</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桥面线形*</w:t>
            </w:r>
          </w:p>
        </w:tc>
        <w:tc>
          <w:tcPr>
            <w:tcW w:w="3745"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地基承载力*</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《建筑地基基础设计规范》GB50007-2011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《建筑地基检测技术规范》JGJ340-2015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《建筑地基处理技术规范》JGJ79-2012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《四川省建筑地基基础检测技术规程》DBJ51/014-2021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变形缝质量*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防水层的缝宽和搭接长度*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 50026-2020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7.6</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尺寸*</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《工程测量标准》GB50026-2020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栏杆水平推力*</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《公路桥梁承载能力检测评定规程》JTG/T J21-2011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《公路桥梁荷载试验规程》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J21-01-2015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《城市桥梁检测与评定技术规范》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CJJ/T 233-2015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7.8</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699"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综合管廊主体结构*</w:t>
            </w: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8.1</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断面尺寸*</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 GB 50026-2020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衬砌厚度*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《铁路隧道衬砌质量无损检测规程》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10223-2004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8.3</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衬砌密实性*</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《铁路隧道衬砌质量无损检测规程》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10223-2004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8.4</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墙面平整度*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《公路隧道施工技术规范》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JTG/T 3660-2020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衬砌内钢筋间距*</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《混凝土中钢筋检测技术标准》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《铁路隧道衬砌质量无损检测规程》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10223-2004</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《铁路隧道工程施工质量验收标准》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TB 10417-2018</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《混凝土结构工程施工质量验收规范》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8.6</w:t>
            </w:r>
          </w:p>
        </w:tc>
        <w:tc>
          <w:tcPr>
            <w:tcW w:w="678"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混凝土强度*</w:t>
            </w: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《铁路工程结构混凝土强度检测规程》（TB 10426-2019）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 23-2011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回弹-钻芯综合法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 23-2011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 384-2016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《超声回弹综合法检测混凝土抗压强度技术规程》T/CECS 02-2020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综合管廊主体结构*</w:t>
            </w: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钢筋保护层厚度*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《混凝土中钢筋检测技术标准》</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JGJ/T 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《公路工程质量检验评定标准 第一册 土建工程》 JTG F80/1-2017</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《混凝土结构工程施工质量验收规范》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GB 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8.8</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钢筋锈蚀状况*</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8.9</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restart"/>
            <w:tcBorders>
              <w:top w:val="single" w:color="auto" w:sz="4" w:space="0"/>
              <w:bottom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699" w:type="dxa"/>
            <w:vMerge w:val="restart"/>
            <w:tcBorders>
              <w:top w:val="single" w:color="auto" w:sz="4" w:space="0"/>
              <w:bottom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涵洞主体结构*</w:t>
            </w: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9.1</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外观质量*</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9.2</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地基承载力*</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《建筑地基基础设计规范》GB50007-2011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《建筑地基检测技术规范》JGJ340-2015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《建筑地基处理技术规范》JGJ79-2012</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《公路桥涵地基与基础设计规范》</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 3363-2019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《四川省建筑地基基础检测技术规程》DBJ51/014-2021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9.3</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回填土压实度*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《公路路基路面现场测试规程》</w:t>
            </w:r>
          </w:p>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JTG 3450-2019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9.4</w:t>
            </w:r>
          </w:p>
        </w:tc>
        <w:tc>
          <w:tcPr>
            <w:tcW w:w="678"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混凝土强度*</w:t>
            </w: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《回弹法检测混凝土抗压强度技术规程》JGJ/T23-2011</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《公路工程超声回弹综合法检测结构混凝土强度技术规程》DB51/T1996-2015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《高强混凝土强度检测技术规程》JGJ/T294-2013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涵洞主体结构*</w:t>
            </w:r>
          </w:p>
        </w:tc>
        <w:tc>
          <w:tcPr>
            <w:tcW w:w="816" w:type="dxa"/>
            <w:vMerge w:val="restart"/>
            <w:tcBorders>
              <w:top w:val="single" w:color="auto" w:sz="4" w:space="0"/>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9.4</w:t>
            </w:r>
          </w:p>
        </w:tc>
        <w:tc>
          <w:tcPr>
            <w:tcW w:w="678"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混凝土强度*</w:t>
            </w: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回弹-钻芯综合法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《钻芯法检测混凝土强度技术规程》JGJ/T384-2016</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《超声回弹综合法检测混凝土抗压强度技术规程》T/CECS 02-2020</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《公路工程超声回弹综合法检测结构混凝土强度技术规程》DB51/T1996-2015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678"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82" w:type="dxa"/>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9.5</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钢筋保护层厚度*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9.6</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断面尺寸*</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《工程测量标准》GB50026-2020</w:t>
            </w:r>
          </w:p>
        </w:tc>
        <w:tc>
          <w:tcPr>
            <w:tcW w:w="791"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restart"/>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vMerge w:val="continue"/>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9.7</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接缝宽度*</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2"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restart"/>
            <w:tcBorders>
              <w:top w:val="single" w:color="auto" w:sz="4" w:space="0"/>
              <w:tl2br w:val="nil"/>
              <w:tr2bl w:val="nil"/>
            </w:tcBorders>
            <w:shd w:val="clear" w:color="auto" w:fill="auto"/>
            <w:vAlign w:val="center"/>
          </w:tcPr>
          <w:p>
            <w:pPr>
              <w:widowControl/>
              <w:ind w:firstLine="200" w:firstLineChars="100"/>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w:t>
            </w:r>
          </w:p>
        </w:tc>
        <w:tc>
          <w:tcPr>
            <w:tcW w:w="699" w:type="dxa"/>
            <w:vMerge w:val="restart"/>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涵洞主体结构*</w:t>
            </w: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9.8</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错台*</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《混凝土结构工程施工质量验收规范》GB50204-2015</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4"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《混凝土结构现场检测技术标准》GB/T50784-2013</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restart"/>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9.9</w:t>
            </w:r>
          </w:p>
        </w:tc>
        <w:tc>
          <w:tcPr>
            <w:tcW w:w="1560" w:type="dxa"/>
            <w:gridSpan w:val="2"/>
            <w:vMerge w:val="restart"/>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钢筋锈蚀状况*</w:t>
            </w: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《建筑结构检测技术标准》GB/T50344-2019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vMerge w:val="continue"/>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vMerge w:val="continue"/>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vAlign w:val="center"/>
          </w:tcPr>
          <w:p>
            <w:pPr>
              <w:widowControl/>
              <w:jc w:val="left"/>
              <w:textAlignment w:val="top"/>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《混凝土中钢筋检测技术标准》JGJ/T152-2019</w:t>
            </w: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7" w:hRule="atLeast"/>
          <w:jc w:val="center"/>
        </w:trPr>
        <w:tc>
          <w:tcPr>
            <w:tcW w:w="672"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699" w:type="dxa"/>
            <w:vMerge w:val="continue"/>
            <w:tcBorders>
              <w:top w:val="single" w:color="auto" w:sz="4" w:space="0"/>
              <w:bottom w:val="single" w:color="auto" w:sz="4" w:space="0"/>
              <w:tl2br w:val="nil"/>
              <w:tr2bl w:val="nil"/>
            </w:tcBorders>
            <w:shd w:val="clear" w:color="auto" w:fill="auto"/>
            <w:vAlign w:val="center"/>
          </w:tcPr>
          <w:p>
            <w:pPr>
              <w:jc w:val="left"/>
              <w:rPr>
                <w:rFonts w:ascii="Times New Roman" w:hAnsi="Times New Roman" w:cstheme="minorEastAsia"/>
                <w:color w:val="000000"/>
                <w:sz w:val="20"/>
                <w:szCs w:val="20"/>
              </w:rPr>
            </w:pPr>
          </w:p>
        </w:tc>
        <w:tc>
          <w:tcPr>
            <w:tcW w:w="816" w:type="dxa"/>
            <w:tcBorders>
              <w:tl2br w:val="nil"/>
              <w:tr2bl w:val="nil"/>
            </w:tcBorders>
            <w:shd w:val="clear" w:color="auto" w:fill="auto"/>
            <w:vAlign w:val="center"/>
          </w:tcPr>
          <w:p>
            <w:pPr>
              <w:widowControl/>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9.10</w:t>
            </w:r>
          </w:p>
        </w:tc>
        <w:tc>
          <w:tcPr>
            <w:tcW w:w="1560" w:type="dxa"/>
            <w:gridSpan w:val="2"/>
            <w:tcBorders>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其它*</w:t>
            </w:r>
          </w:p>
        </w:tc>
        <w:tc>
          <w:tcPr>
            <w:tcW w:w="3745" w:type="dxa"/>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tcPr>
          <w:p>
            <w:pPr>
              <w:jc w:val="left"/>
              <w:rPr>
                <w:rFonts w:ascii="Times New Roman" w:hAnsi="Times New Roman" w:cstheme="minorEastAsia"/>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jc w:val="center"/>
        </w:trPr>
        <w:tc>
          <w:tcPr>
            <w:tcW w:w="672"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10</w:t>
            </w:r>
          </w:p>
        </w:tc>
        <w:tc>
          <w:tcPr>
            <w:tcW w:w="699" w:type="dxa"/>
            <w:tcBorders>
              <w:top w:val="single" w:color="auto" w:sz="4" w:space="0"/>
              <w:tl2br w:val="nil"/>
              <w:tr2bl w:val="nil"/>
            </w:tcBorders>
            <w:shd w:val="clear" w:color="auto" w:fill="auto"/>
            <w:vAlign w:val="center"/>
          </w:tcPr>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其</w:t>
            </w:r>
          </w:p>
          <w:p>
            <w:pPr>
              <w:widowControl/>
              <w:jc w:val="left"/>
              <w:textAlignment w:val="center"/>
              <w:rPr>
                <w:rFonts w:ascii="Times New Roman" w:hAnsi="Times New Roman" w:cstheme="minorEastAsia"/>
                <w:color w:val="000000"/>
                <w:kern w:val="0"/>
                <w:sz w:val="20"/>
                <w:szCs w:val="20"/>
              </w:rPr>
            </w:pPr>
            <w:r>
              <w:rPr>
                <w:rFonts w:hint="eastAsia" w:ascii="Times New Roman" w:hAnsi="Times New Roman" w:cstheme="minorEastAsia"/>
                <w:color w:val="000000"/>
                <w:kern w:val="0"/>
                <w:sz w:val="20"/>
                <w:szCs w:val="20"/>
              </w:rPr>
              <w:t>它</w:t>
            </w:r>
          </w:p>
          <w:p>
            <w:pPr>
              <w:widowControl/>
              <w:jc w:val="left"/>
              <w:textAlignment w:val="center"/>
              <w:rPr>
                <w:rFonts w:ascii="Times New Roman" w:hAnsi="Times New Roman" w:cstheme="minorEastAsia"/>
                <w:color w:val="000000"/>
                <w:sz w:val="20"/>
                <w:szCs w:val="20"/>
              </w:rPr>
            </w:pPr>
            <w:r>
              <w:rPr>
                <w:rFonts w:hint="eastAsia" w:ascii="Times New Roman" w:hAnsi="Times New Roman" w:cstheme="minorEastAsia"/>
                <w:color w:val="000000"/>
                <w:kern w:val="0"/>
                <w:sz w:val="20"/>
                <w:szCs w:val="20"/>
              </w:rPr>
              <w:t>*</w:t>
            </w:r>
          </w:p>
        </w:tc>
        <w:tc>
          <w:tcPr>
            <w:tcW w:w="816" w:type="dxa"/>
            <w:tcBorders>
              <w:tl2br w:val="nil"/>
              <w:tr2bl w:val="nil"/>
            </w:tcBorders>
            <w:shd w:val="clear" w:color="auto" w:fill="auto"/>
            <w:vAlign w:val="center"/>
          </w:tcPr>
          <w:p>
            <w:pPr>
              <w:rPr>
                <w:rFonts w:ascii="Times New Roman" w:hAnsi="Times New Roman" w:cstheme="minorEastAsia"/>
                <w:color w:val="000000"/>
                <w:sz w:val="20"/>
                <w:szCs w:val="20"/>
              </w:rPr>
            </w:pPr>
          </w:p>
        </w:tc>
        <w:tc>
          <w:tcPr>
            <w:tcW w:w="1560" w:type="dxa"/>
            <w:gridSpan w:val="2"/>
            <w:tcBorders>
              <w:tl2br w:val="nil"/>
              <w:tr2bl w:val="nil"/>
            </w:tcBorders>
            <w:shd w:val="clear" w:color="auto" w:fill="auto"/>
            <w:vAlign w:val="center"/>
          </w:tcPr>
          <w:p>
            <w:pPr>
              <w:jc w:val="left"/>
              <w:rPr>
                <w:rFonts w:ascii="Times New Roman" w:hAnsi="Times New Roman" w:cstheme="minorEastAsia"/>
                <w:color w:val="000000"/>
                <w:sz w:val="20"/>
                <w:szCs w:val="20"/>
              </w:rPr>
            </w:pPr>
          </w:p>
        </w:tc>
        <w:tc>
          <w:tcPr>
            <w:tcW w:w="3745"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791"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977" w:type="dxa"/>
            <w:tcBorders>
              <w:tl2br w:val="nil"/>
              <w:tr2bl w:val="nil"/>
            </w:tcBorders>
            <w:shd w:val="clear" w:color="auto" w:fill="auto"/>
          </w:tcPr>
          <w:p>
            <w:pPr>
              <w:jc w:val="left"/>
              <w:rPr>
                <w:rFonts w:ascii="Times New Roman" w:hAnsi="Times New Roman" w:cstheme="minorEastAsia"/>
                <w:color w:val="000000"/>
                <w:sz w:val="20"/>
                <w:szCs w:val="20"/>
              </w:rPr>
            </w:pPr>
          </w:p>
        </w:tc>
        <w:tc>
          <w:tcPr>
            <w:tcW w:w="623" w:type="dxa"/>
            <w:tcBorders>
              <w:tl2br w:val="nil"/>
              <w:tr2bl w:val="nil"/>
            </w:tcBorders>
            <w:shd w:val="clear" w:color="auto" w:fill="auto"/>
            <w:noWrap/>
            <w:vAlign w:val="center"/>
          </w:tcPr>
          <w:p>
            <w:pPr>
              <w:rPr>
                <w:rFonts w:ascii="Times New Roman" w:hAnsi="Times New Roman" w:cstheme="minorEastAsia"/>
                <w:color w:val="000000"/>
                <w:sz w:val="20"/>
                <w:szCs w:val="20"/>
              </w:rPr>
            </w:pPr>
          </w:p>
        </w:tc>
      </w:tr>
    </w:tbl>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4"/>
          <w:szCs w:val="24"/>
        </w:rPr>
      </w:pPr>
    </w:p>
    <w:p>
      <w:pPr>
        <w:widowControl/>
        <w:shd w:val="clear" w:color="auto" w:fill="FFFFFF"/>
        <w:wordWrap w:val="0"/>
        <w:spacing w:before="120" w:after="240" w:line="400" w:lineRule="exact"/>
        <w:ind w:right="431"/>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 xml:space="preserve">检测机构法定代表人或被授权人（适用时）签名：         </w:t>
      </w:r>
    </w:p>
    <w:p>
      <w:pPr>
        <w:widowControl/>
        <w:shd w:val="clear" w:color="auto" w:fill="FFFFFF"/>
        <w:wordWrap w:val="0"/>
        <w:spacing w:before="120" w:after="240" w:line="400" w:lineRule="exact"/>
        <w:ind w:right="431"/>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评审组长签名：</w:t>
      </w:r>
    </w:p>
    <w:p>
      <w:pPr>
        <w:widowControl/>
        <w:shd w:val="clear" w:color="auto" w:fill="FFFFFF"/>
        <w:wordWrap w:val="0"/>
        <w:spacing w:before="120" w:after="240" w:line="400" w:lineRule="exact"/>
        <w:ind w:right="431"/>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评审人员签名：</w:t>
      </w:r>
    </w:p>
    <w:p>
      <w:pPr>
        <w:widowControl/>
        <w:shd w:val="clear" w:color="auto" w:fill="FFFFFF"/>
        <w:wordWrap w:val="0"/>
        <w:snapToGrid w:val="0"/>
        <w:spacing w:before="120" w:line="300" w:lineRule="atLeast"/>
        <w:ind w:right="-336"/>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表：检测项目/参数技术能力表（示例）</w:t>
      </w:r>
    </w:p>
    <w:p>
      <w:pPr>
        <w:widowControl/>
        <w:shd w:val="clear" w:color="auto" w:fill="FFFFFF"/>
        <w:wordWrap w:val="0"/>
        <w:snapToGrid w:val="0"/>
        <w:spacing w:before="120" w:line="300" w:lineRule="atLeast"/>
        <w:ind w:right="-336"/>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注1：带“*”的检测项目/参数为本资质可选项目。</w:t>
      </w:r>
    </w:p>
    <w:p>
      <w:pPr>
        <w:widowControl/>
        <w:shd w:val="clear" w:color="auto" w:fill="FFFFFF"/>
        <w:wordWrap w:val="0"/>
        <w:snapToGrid w:val="0"/>
        <w:spacing w:before="120" w:line="300" w:lineRule="atLeast"/>
        <w:ind w:right="-336"/>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注2：通过的打“</w:t>
      </w:r>
      <w:r>
        <w:rPr>
          <w:rFonts w:hint="eastAsia" w:ascii="Times New Roman" w:hAnsi="Times New Roman" w:eastAsia="宋体" w:cs="宋体"/>
          <w:kern w:val="0"/>
          <w:sz w:val="24"/>
          <w:szCs w:val="24"/>
        </w:rPr>
        <w:sym w:font="Wingdings" w:char="F0FC"/>
      </w:r>
      <w:r>
        <w:rPr>
          <w:rFonts w:hint="eastAsia" w:ascii="Times New Roman" w:hAnsi="Times New Roman" w:eastAsia="宋体" w:cs="宋体"/>
          <w:kern w:val="0"/>
          <w:sz w:val="24"/>
          <w:szCs w:val="24"/>
        </w:rPr>
        <w:t>”、不通过的打“×”并说明理由。</w:t>
      </w:r>
    </w:p>
    <w:p>
      <w:pPr>
        <w:widowControl/>
        <w:shd w:val="clear" w:color="auto" w:fill="FFFFFF"/>
        <w:wordWrap w:val="0"/>
        <w:snapToGrid w:val="0"/>
        <w:spacing w:before="120" w:line="300" w:lineRule="atLeast"/>
        <w:ind w:right="-336"/>
        <w:jc w:val="left"/>
        <w:rPr>
          <w:rFonts w:ascii="Times New Roman" w:hAnsi="Times New Roman" w:eastAsia="宋体" w:cs="宋体"/>
          <w:kern w:val="0"/>
          <w:sz w:val="24"/>
          <w:szCs w:val="24"/>
        </w:rPr>
      </w:pPr>
      <w:r>
        <w:rPr>
          <w:rFonts w:hint="eastAsia" w:ascii="Times New Roman" w:hAnsi="Times New Roman" w:eastAsia="宋体" w:cs="宋体"/>
          <w:kern w:val="0"/>
          <w:sz w:val="24"/>
          <w:szCs w:val="24"/>
        </w:rPr>
        <w:t>注3：其它为建设工程质量验收规范涉及到的项目参数。</w:t>
      </w:r>
    </w:p>
    <w:p>
      <w:pPr>
        <w:jc w:val="left"/>
        <w:rPr>
          <w:rFonts w:ascii="黑体" w:hAnsi="黑体" w:eastAsia="黑体"/>
          <w:sz w:val="32"/>
          <w:szCs w:val="32"/>
        </w:rPr>
      </w:pPr>
      <w:r>
        <w:rPr>
          <w:rFonts w:hint="eastAsia" w:ascii="Times New Roman" w:hAnsi="Times New Roman" w:eastAsia="宋体" w:cs="宋体"/>
          <w:kern w:val="0"/>
          <w:sz w:val="15"/>
          <w:szCs w:val="15"/>
        </w:rPr>
        <w:br w:type="page"/>
      </w:r>
      <w:r>
        <w:rPr>
          <w:rFonts w:hint="eastAsia" w:ascii="黑体" w:hAnsi="黑体" w:eastAsia="黑体"/>
          <w:sz w:val="32"/>
          <w:szCs w:val="32"/>
        </w:rPr>
        <w:t>附表</w:t>
      </w:r>
      <w:r>
        <w:rPr>
          <w:rFonts w:ascii="Times New Roman" w:hAnsi="Times New Roman" w:eastAsia="黑体" w:cs="Times New Roman"/>
          <w:sz w:val="32"/>
          <w:szCs w:val="32"/>
        </w:rPr>
        <w:t>2</w:t>
      </w:r>
    </w:p>
    <w:p>
      <w:pPr>
        <w:widowControl/>
        <w:shd w:val="clear" w:color="auto" w:fill="FFFFFF"/>
        <w:wordWrap w:val="0"/>
        <w:snapToGrid w:val="0"/>
        <w:spacing w:line="543" w:lineRule="atLeast"/>
        <w:ind w:right="-336"/>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报告批准人汇总表</w:t>
      </w:r>
    </w:p>
    <w:p>
      <w:pPr>
        <w:widowControl/>
        <w:shd w:val="clear" w:color="auto" w:fill="FFFFFF"/>
        <w:wordWrap w:val="0"/>
        <w:snapToGrid w:val="0"/>
        <w:spacing w:line="300" w:lineRule="atLeast"/>
        <w:ind w:left="-567" w:leftChars="-270" w:right="-625"/>
        <w:jc w:val="left"/>
        <w:rPr>
          <w:rFonts w:ascii="Times New Roman" w:hAnsi="Times New Roman" w:cs="宋体"/>
          <w:color w:val="000000"/>
          <w:szCs w:val="21"/>
        </w:rPr>
      </w:pPr>
      <w:r>
        <w:rPr>
          <w:rFonts w:hint="eastAsia" w:ascii="Times New Roman" w:hAnsi="Times New Roman" w:eastAsia="宋体" w:cs="宋体"/>
          <w:kern w:val="0"/>
          <w:sz w:val="24"/>
          <w:szCs w:val="24"/>
        </w:rPr>
        <w:t xml:space="preserve">检测机构地址：                                           </w:t>
      </w:r>
      <w:r>
        <w:rPr>
          <w:rFonts w:hint="eastAsia" w:ascii="Times New Roman" w:hAnsi="Times New Roman" w:cs="宋体"/>
          <w:color w:val="000000"/>
          <w:szCs w:val="21"/>
        </w:rPr>
        <w:t>第 X 页，共X 页</w:t>
      </w:r>
    </w:p>
    <w:p>
      <w:pPr>
        <w:widowControl/>
        <w:shd w:val="clear" w:color="auto" w:fill="FFFFFF"/>
        <w:wordWrap w:val="0"/>
        <w:snapToGrid w:val="0"/>
        <w:spacing w:line="300" w:lineRule="atLeast"/>
        <w:ind w:left="-567" w:leftChars="-270" w:right="-625"/>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 xml:space="preserve">                       </w:t>
      </w:r>
    </w:p>
    <w:tbl>
      <w:tblPr>
        <w:tblStyle w:val="7"/>
        <w:tblpPr w:leftFromText="180" w:rightFromText="180" w:vertAnchor="text" w:horzAnchor="page" w:tblpXSpec="center" w:tblpY="377"/>
        <w:tblOverlap w:val="never"/>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04"/>
        <w:gridCol w:w="1320"/>
        <w:gridCol w:w="1268"/>
        <w:gridCol w:w="1367"/>
        <w:gridCol w:w="1651"/>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序号</w:t>
            </w:r>
          </w:p>
        </w:tc>
        <w:tc>
          <w:tcPr>
            <w:tcW w:w="2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姓名</w:t>
            </w:r>
          </w:p>
        </w:tc>
        <w:tc>
          <w:tcPr>
            <w:tcW w:w="1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职务</w:t>
            </w:r>
            <w:r>
              <w:rPr>
                <w:rFonts w:ascii="Times New Roman" w:hAnsi="Times New Roman" w:eastAsia="宋体" w:cs="Times New Roman"/>
              </w:rPr>
              <w:t>/</w:t>
            </w:r>
            <w:r>
              <w:rPr>
                <w:rFonts w:hint="eastAsia" w:ascii="Times New Roman" w:hAnsi="Times New Roman" w:eastAsia="宋体" w:cs="宋体"/>
              </w:rPr>
              <w:t>职称</w:t>
            </w:r>
          </w:p>
        </w:tc>
        <w:tc>
          <w:tcPr>
            <w:tcW w:w="13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身份证号码</w:t>
            </w:r>
          </w:p>
        </w:tc>
        <w:tc>
          <w:tcPr>
            <w:tcW w:w="16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授权签字领域</w:t>
            </w:r>
          </w:p>
        </w:tc>
        <w:tc>
          <w:tcPr>
            <w:tcW w:w="1133"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宋体"/>
              </w:rPr>
            </w:pPr>
            <w:r>
              <w:rPr>
                <w:rFonts w:hint="eastAsia" w:ascii="Times New Roman" w:hAnsi="Times New Roman" w:eastAsia="宋体" w:cs="宋体"/>
              </w:rPr>
              <w:t>对应检测场所地址</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正体</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r>
              <w:rPr>
                <w:rFonts w:hint="eastAsia" w:ascii="Times New Roman" w:hAnsi="Times New Roman" w:eastAsia="宋体" w:cs="宋体"/>
              </w:rPr>
              <w:t>签名</w:t>
            </w:r>
          </w:p>
        </w:tc>
        <w:tc>
          <w:tcPr>
            <w:tcW w:w="12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36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6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65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color w:val="000000"/>
                <w:kern w:val="0"/>
                <w:szCs w:val="21"/>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color w:val="000000"/>
                <w:kern w:val="0"/>
                <w:szCs w:val="21"/>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宋体"/>
                <w:color w:val="000000"/>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2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cs="宋体"/>
                <w:color w:val="000000"/>
                <w:szCs w:val="21"/>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s="宋体"/>
                <w:color w:val="000000"/>
                <w:szCs w:val="21"/>
              </w:rPr>
            </w:pPr>
          </w:p>
        </w:tc>
        <w:tc>
          <w:tcPr>
            <w:tcW w:w="1651"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rPr>
            </w:pPr>
          </w:p>
        </w:tc>
      </w:tr>
    </w:tbl>
    <w:p>
      <w:pPr>
        <w:widowControl/>
        <w:shd w:val="clear" w:color="auto" w:fill="FFFFFF"/>
        <w:wordWrap w:val="0"/>
        <w:spacing w:before="120" w:after="240" w:line="543" w:lineRule="atLeast"/>
        <w:ind w:right="433"/>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 xml:space="preserve">检测机构法定代表人或被授权人（适用时）签名：          </w:t>
      </w:r>
    </w:p>
    <w:p>
      <w:pPr>
        <w:widowControl/>
        <w:shd w:val="clear" w:color="auto" w:fill="FFFFFF"/>
        <w:wordWrap w:val="0"/>
        <w:spacing w:before="120" w:after="240" w:line="543" w:lineRule="atLeast"/>
        <w:ind w:right="433"/>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评审组长签名：</w:t>
      </w:r>
    </w:p>
    <w:p>
      <w:pPr>
        <w:widowControl/>
        <w:shd w:val="clear" w:color="auto" w:fill="FFFFFF"/>
        <w:wordWrap w:val="0"/>
        <w:spacing w:before="120" w:after="240" w:line="543" w:lineRule="atLeast"/>
        <w:ind w:right="433"/>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评审人员签名：</w:t>
      </w: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napToGrid w:val="0"/>
        <w:spacing w:line="300" w:lineRule="atLeast"/>
        <w:ind w:right="-336"/>
        <w:jc w:val="left"/>
        <w:rPr>
          <w:rFonts w:ascii="Times New Roman" w:hAnsi="Times New Roman" w:eastAsia="宋体" w:cs="宋体"/>
          <w:b/>
          <w:bCs/>
          <w:kern w:val="0"/>
          <w:sz w:val="28"/>
          <w:szCs w:val="28"/>
        </w:rPr>
      </w:pPr>
    </w:p>
    <w:p>
      <w:pPr>
        <w:widowControl/>
        <w:shd w:val="clear" w:color="auto" w:fill="FFFFFF"/>
        <w:wordWrap w:val="0"/>
        <w:spacing w:line="420" w:lineRule="auto"/>
        <w:jc w:val="left"/>
        <w:rPr>
          <w:rFonts w:hint="eastAsia" w:ascii="Times New Roman" w:hAnsi="Times New Roman" w:eastAsia="宋体" w:cs="宋体"/>
          <w:kern w:val="0"/>
          <w:sz w:val="20"/>
          <w:szCs w:val="20"/>
        </w:rPr>
      </w:pPr>
      <w:r>
        <w:rPr>
          <w:rFonts w:hint="eastAsia" w:ascii="黑体" w:hAnsi="黑体" w:eastAsia="黑体"/>
          <w:sz w:val="32"/>
          <w:szCs w:val="32"/>
        </w:rPr>
        <w:t>附表</w:t>
      </w:r>
      <w:r>
        <w:rPr>
          <w:rFonts w:hint="eastAsia" w:ascii="Times New Roman" w:hAnsi="Times New Roman" w:eastAsia="黑体" w:cs="Times New Roman"/>
          <w:sz w:val="32"/>
          <w:szCs w:val="32"/>
        </w:rPr>
        <w:t>3</w:t>
      </w:r>
    </w:p>
    <w:p>
      <w:pPr>
        <w:widowControl/>
        <w:shd w:val="clear" w:color="auto" w:fill="FFFFFF"/>
        <w:wordWrap w:val="0"/>
        <w:spacing w:line="543"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不符合项汇总表</w:t>
      </w:r>
    </w:p>
    <w:p>
      <w:pPr>
        <w:widowControl/>
        <w:shd w:val="clear" w:color="auto" w:fill="FFFFFF"/>
        <w:wordWrap w:val="0"/>
        <w:spacing w:line="543" w:lineRule="atLeast"/>
        <w:jc w:val="center"/>
        <w:rPr>
          <w:rFonts w:ascii="Times New Roman" w:hAnsi="Times New Roman" w:eastAsia="宋体" w:cs="宋体"/>
          <w:kern w:val="0"/>
          <w:sz w:val="20"/>
          <w:szCs w:val="20"/>
        </w:rPr>
      </w:pPr>
      <w:r>
        <w:rPr>
          <w:rFonts w:hint="eastAsia" w:ascii="Times New Roman" w:hAnsi="Times New Roman" w:eastAsia="创艺简标宋" w:cs="宋体"/>
          <w:kern w:val="0"/>
          <w:sz w:val="28"/>
          <w:szCs w:val="28"/>
        </w:rPr>
        <w:t> </w:t>
      </w:r>
    </w:p>
    <w:tbl>
      <w:tblPr>
        <w:tblStyle w:val="7"/>
        <w:tblW w:w="0" w:type="auto"/>
        <w:jc w:val="center"/>
        <w:tblLayout w:type="autofit"/>
        <w:tblCellMar>
          <w:top w:w="0" w:type="dxa"/>
          <w:left w:w="0" w:type="dxa"/>
          <w:bottom w:w="0" w:type="dxa"/>
          <w:right w:w="0" w:type="dxa"/>
        </w:tblCellMar>
      </w:tblPr>
      <w:tblGrid>
        <w:gridCol w:w="728"/>
        <w:gridCol w:w="1072"/>
        <w:gridCol w:w="3270"/>
        <w:gridCol w:w="2205"/>
        <w:gridCol w:w="1247"/>
      </w:tblGrid>
      <w:tr>
        <w:tblPrEx>
          <w:tblCellMar>
            <w:top w:w="0" w:type="dxa"/>
            <w:left w:w="0" w:type="dxa"/>
            <w:bottom w:w="0" w:type="dxa"/>
            <w:right w:w="0" w:type="dxa"/>
          </w:tblCellMar>
        </w:tblPrEx>
        <w:trPr>
          <w:trHeight w:val="557" w:hRule="atLeast"/>
          <w:tblHeader/>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序号</w:t>
            </w:r>
          </w:p>
        </w:tc>
        <w:tc>
          <w:tcPr>
            <w:tcW w:w="10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条款号</w:t>
            </w:r>
          </w:p>
        </w:tc>
        <w:tc>
          <w:tcPr>
            <w:tcW w:w="32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评审发现问题描述</w:t>
            </w:r>
          </w:p>
        </w:tc>
        <w:tc>
          <w:tcPr>
            <w:tcW w:w="22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不符合</w:t>
            </w:r>
          </w:p>
        </w:tc>
        <w:tc>
          <w:tcPr>
            <w:tcW w:w="12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26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备注</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400" w:lineRule="exact"/>
              <w:rPr>
                <w:rFonts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宋体"/>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left"/>
              <w:rPr>
                <w:rFonts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10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center"/>
              <w:rPr>
                <w:rFonts w:ascii="Times New Roman" w:hAnsi="Times New Roman" w:eastAsia="仿宋" w:cs="Times New Roman"/>
                <w:bCs/>
                <w:szCs w:val="21"/>
              </w:rPr>
            </w:pP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jc w:val="left"/>
              <w:rPr>
                <w:rFonts w:ascii="Times New Roman" w:hAnsi="Times New Roman" w:eastAsia="仿宋" w:cs="Times New Roman"/>
                <w:bCs/>
                <w:szCs w:val="21"/>
              </w:rPr>
            </w:pP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p>
        </w:tc>
      </w:tr>
      <w:tr>
        <w:tblPrEx>
          <w:tblCellMar>
            <w:top w:w="0" w:type="dxa"/>
            <w:left w:w="0" w:type="dxa"/>
            <w:bottom w:w="0" w:type="dxa"/>
            <w:right w:w="0" w:type="dxa"/>
          </w:tblCellMar>
        </w:tblPrEx>
        <w:trPr>
          <w:trHeight w:val="680"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c>
          <w:tcPr>
            <w:tcW w:w="1072"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c>
          <w:tcPr>
            <w:tcW w:w="32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left"/>
              <w:rPr>
                <w:rFonts w:ascii="Times New Roman" w:hAnsi="Times New Roman" w:eastAsia="宋体" w:cs="宋体"/>
                <w:kern w:val="0"/>
                <w:szCs w:val="21"/>
              </w:rPr>
            </w:pPr>
            <w:r>
              <w:rPr>
                <w:rFonts w:ascii="Times New Roman" w:hAnsi="Times New Roman" w:eastAsia="宋体" w:cs="Arial"/>
                <w:b/>
                <w:bCs/>
                <w:kern w:val="0"/>
                <w:szCs w:val="21"/>
                <w:lang w:val="sq-AL"/>
              </w:rPr>
              <w:t> </w:t>
            </w:r>
          </w:p>
        </w:tc>
        <w:tc>
          <w:tcPr>
            <w:tcW w:w="22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c>
          <w:tcPr>
            <w:tcW w:w="124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6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r>
    </w:tbl>
    <w:p>
      <w:pPr>
        <w:widowControl/>
        <w:shd w:val="clear" w:color="auto" w:fill="FFFFFF"/>
        <w:wordWrap w:val="0"/>
        <w:spacing w:before="120" w:after="240" w:line="543" w:lineRule="atLeast"/>
        <w:ind w:right="433"/>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检测机构法定代表人或被授权人（适用时）签名：         </w:t>
      </w:r>
    </w:p>
    <w:p>
      <w:pPr>
        <w:widowControl/>
        <w:shd w:val="clear" w:color="auto" w:fill="FFFFFF"/>
        <w:wordWrap w:val="0"/>
        <w:spacing w:before="120" w:after="240" w:line="543" w:lineRule="atLeast"/>
        <w:ind w:right="433"/>
        <w:jc w:val="left"/>
        <w:rPr>
          <w:rFonts w:ascii="Times New Roman" w:hAnsi="Times New Roman" w:eastAsia="宋体" w:cs="宋体"/>
          <w:kern w:val="0"/>
          <w:sz w:val="20"/>
          <w:szCs w:val="20"/>
        </w:rPr>
      </w:pPr>
      <w:r>
        <w:rPr>
          <w:rFonts w:hint="eastAsia" w:ascii="Times New Roman" w:hAnsi="Times New Roman" w:eastAsia="宋体" w:cs="宋体"/>
          <w:kern w:val="0"/>
          <w:sz w:val="24"/>
          <w:szCs w:val="24"/>
        </w:rPr>
        <w:t>评审组长签名：</w:t>
      </w:r>
      <w:r>
        <w:rPr>
          <w:rFonts w:hint="eastAsia" w:ascii="Times New Roman" w:hAnsi="Times New Roman" w:eastAsia="创艺简标宋" w:cs="宋体"/>
          <w:kern w:val="0"/>
          <w:sz w:val="28"/>
          <w:szCs w:val="28"/>
        </w:rPr>
        <w:t> </w:t>
      </w:r>
    </w:p>
    <w:p>
      <w:pPr>
        <w:widowControl/>
        <w:shd w:val="clear" w:color="auto" w:fill="FFFFFF"/>
        <w:wordWrap w:val="0"/>
        <w:spacing w:before="120" w:after="240" w:line="543" w:lineRule="atLeast"/>
        <w:ind w:right="433"/>
        <w:jc w:val="left"/>
        <w:rPr>
          <w:rFonts w:ascii="Times New Roman" w:hAnsi="Times New Roman" w:eastAsia="宋体" w:cs="宋体"/>
          <w:kern w:val="0"/>
          <w:sz w:val="24"/>
          <w:szCs w:val="24"/>
        </w:rPr>
        <w:sectPr>
          <w:headerReference r:id="rId3" w:type="default"/>
          <w:pgSz w:w="11906" w:h="16838"/>
          <w:pgMar w:top="1383" w:right="1689" w:bottom="1383" w:left="1689" w:header="851" w:footer="992" w:gutter="0"/>
          <w:cols w:space="425" w:num="1"/>
          <w:docGrid w:type="lines" w:linePitch="312" w:charSpace="0"/>
        </w:sectPr>
      </w:pPr>
      <w:r>
        <w:rPr>
          <w:rFonts w:hint="eastAsia" w:ascii="Times New Roman" w:hAnsi="Times New Roman" w:eastAsia="宋体" w:cs="宋体"/>
          <w:kern w:val="0"/>
          <w:sz w:val="24"/>
          <w:szCs w:val="24"/>
        </w:rPr>
        <w:t>评审专家签名：</w:t>
      </w:r>
    </w:p>
    <w:p>
      <w:pPr>
        <w:widowControl/>
        <w:shd w:val="clear" w:color="auto" w:fill="FFFFFF"/>
        <w:wordWrap w:val="0"/>
        <w:snapToGrid w:val="0"/>
        <w:spacing w:line="360" w:lineRule="atLeast"/>
        <w:jc w:val="left"/>
        <w:rPr>
          <w:rFonts w:ascii="Times New Roman" w:hAnsi="Times New Roman" w:eastAsia="宋体" w:cs="宋体"/>
          <w:kern w:val="0"/>
          <w:sz w:val="20"/>
          <w:szCs w:val="20"/>
        </w:rPr>
      </w:pPr>
      <w:r>
        <w:rPr>
          <w:rFonts w:hint="eastAsia" w:ascii="黑体" w:hAnsi="黑体" w:eastAsia="黑体"/>
          <w:sz w:val="32"/>
          <w:szCs w:val="32"/>
        </w:rPr>
        <w:t>附表</w:t>
      </w:r>
      <w:r>
        <w:rPr>
          <w:rFonts w:hint="eastAsia" w:ascii="Times New Roman" w:hAnsi="Times New Roman" w:eastAsia="黑体" w:cs="Times New Roman"/>
          <w:sz w:val="32"/>
          <w:szCs w:val="32"/>
        </w:rPr>
        <w:t>4</w:t>
      </w:r>
    </w:p>
    <w:p>
      <w:pPr>
        <w:widowControl/>
        <w:shd w:val="clear" w:color="auto" w:fill="FFFFFF"/>
        <w:wordWrap w:val="0"/>
        <w:spacing w:line="543"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评审组人员名单</w:t>
      </w:r>
    </w:p>
    <w:p>
      <w:pPr>
        <w:pStyle w:val="2"/>
      </w:pPr>
    </w:p>
    <w:tbl>
      <w:tblPr>
        <w:tblStyle w:val="7"/>
        <w:tblW w:w="10057" w:type="dxa"/>
        <w:jc w:val="center"/>
        <w:tblLayout w:type="autofit"/>
        <w:tblCellMar>
          <w:top w:w="0" w:type="dxa"/>
          <w:left w:w="0" w:type="dxa"/>
          <w:bottom w:w="0" w:type="dxa"/>
          <w:right w:w="0" w:type="dxa"/>
        </w:tblCellMar>
      </w:tblPr>
      <w:tblGrid>
        <w:gridCol w:w="1160"/>
        <w:gridCol w:w="2865"/>
        <w:gridCol w:w="1307"/>
        <w:gridCol w:w="1283"/>
        <w:gridCol w:w="1283"/>
        <w:gridCol w:w="1119"/>
        <w:gridCol w:w="1040"/>
      </w:tblGrid>
      <w:tr>
        <w:tblPrEx>
          <w:tblCellMar>
            <w:top w:w="0" w:type="dxa"/>
            <w:left w:w="0" w:type="dxa"/>
            <w:bottom w:w="0" w:type="dxa"/>
            <w:right w:w="0" w:type="dxa"/>
          </w:tblCellMar>
        </w:tblPrEx>
        <w:trPr>
          <w:trHeight w:val="541" w:hRule="atLeast"/>
          <w:jc w:val="center"/>
        </w:trPr>
        <w:tc>
          <w:tcPr>
            <w:tcW w:w="1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p>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姓</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名</w:t>
            </w:r>
          </w:p>
        </w:tc>
        <w:tc>
          <w:tcPr>
            <w:tcW w:w="28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单</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位</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名</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称</w:t>
            </w:r>
          </w:p>
        </w:tc>
        <w:tc>
          <w:tcPr>
            <w:tcW w:w="13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评审专业</w:t>
            </w:r>
          </w:p>
        </w:tc>
        <w:tc>
          <w:tcPr>
            <w:tcW w:w="12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评审内容</w:t>
            </w:r>
          </w:p>
        </w:tc>
        <w:tc>
          <w:tcPr>
            <w:tcW w:w="128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联系方式</w:t>
            </w:r>
          </w:p>
        </w:tc>
        <w:tc>
          <w:tcPr>
            <w:tcW w:w="111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签字</w:t>
            </w:r>
          </w:p>
        </w:tc>
        <w:tc>
          <w:tcPr>
            <w:tcW w:w="10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备注</w:t>
            </w:r>
          </w:p>
        </w:tc>
      </w:tr>
      <w:tr>
        <w:tblPrEx>
          <w:tblCellMar>
            <w:top w:w="0" w:type="dxa"/>
            <w:left w:w="0" w:type="dxa"/>
            <w:bottom w:w="0" w:type="dxa"/>
            <w:right w:w="0" w:type="dxa"/>
          </w:tblCellMar>
        </w:tblPrEx>
        <w:trPr>
          <w:trHeight w:val="549" w:hRule="atLeast"/>
          <w:jc w:val="center"/>
        </w:trPr>
        <w:tc>
          <w:tcPr>
            <w:tcW w:w="1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2865"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00" w:lineRule="exact"/>
              <w:ind w:right="-335"/>
              <w:rPr>
                <w:rFonts w:ascii="Times New Roman" w:hAnsi="Times New Roman" w:eastAsia="黑体" w:cs="宋体"/>
                <w:kern w:val="0"/>
                <w:sz w:val="24"/>
                <w:szCs w:val="24"/>
              </w:rPr>
            </w:pP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1283"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00" w:lineRule="exact"/>
              <w:ind w:right="-335"/>
              <w:rPr>
                <w:rFonts w:ascii="Times New Roman" w:hAnsi="Times New Roman" w:eastAsia="黑体" w:cs="宋体"/>
                <w:kern w:val="0"/>
                <w:sz w:val="24"/>
                <w:szCs w:val="24"/>
              </w:rPr>
            </w:pPr>
          </w:p>
        </w:tc>
        <w:tc>
          <w:tcPr>
            <w:tcW w:w="1283"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00" w:lineRule="exact"/>
              <w:ind w:right="-335"/>
              <w:rPr>
                <w:rFonts w:ascii="Times New Roman" w:hAnsi="Times New Roman" w:eastAsia="黑体" w:cs="宋体"/>
                <w:kern w:val="0"/>
                <w:sz w:val="24"/>
                <w:szCs w:val="24"/>
              </w:rPr>
            </w:pPr>
          </w:p>
        </w:tc>
        <w:tc>
          <w:tcPr>
            <w:tcW w:w="1119"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p>
        </w:tc>
        <w:tc>
          <w:tcPr>
            <w:tcW w:w="104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p>
        </w:tc>
      </w:tr>
      <w:tr>
        <w:tblPrEx>
          <w:tblCellMar>
            <w:top w:w="0" w:type="dxa"/>
            <w:left w:w="0" w:type="dxa"/>
            <w:bottom w:w="0" w:type="dxa"/>
            <w:right w:w="0" w:type="dxa"/>
          </w:tblCellMar>
        </w:tblPrEx>
        <w:trPr>
          <w:trHeight w:val="549" w:hRule="atLeast"/>
          <w:jc w:val="center"/>
        </w:trPr>
        <w:tc>
          <w:tcPr>
            <w:tcW w:w="1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28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13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12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00" w:lineRule="exact"/>
              <w:ind w:right="-335"/>
              <w:rPr>
                <w:rFonts w:ascii="Times New Roman" w:hAnsi="Times New Roman" w:eastAsia="黑体" w:cs="宋体"/>
                <w:kern w:val="0"/>
                <w:sz w:val="24"/>
                <w:szCs w:val="24"/>
              </w:rPr>
            </w:pPr>
          </w:p>
        </w:tc>
        <w:tc>
          <w:tcPr>
            <w:tcW w:w="1119"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p>
        </w:tc>
        <w:tc>
          <w:tcPr>
            <w:tcW w:w="104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p>
        </w:tc>
      </w:tr>
      <w:tr>
        <w:tblPrEx>
          <w:tblCellMar>
            <w:top w:w="0" w:type="dxa"/>
            <w:left w:w="0" w:type="dxa"/>
            <w:bottom w:w="0" w:type="dxa"/>
            <w:right w:w="0" w:type="dxa"/>
          </w:tblCellMar>
        </w:tblPrEx>
        <w:trPr>
          <w:trHeight w:val="569" w:hRule="atLeast"/>
          <w:jc w:val="center"/>
        </w:trPr>
        <w:tc>
          <w:tcPr>
            <w:tcW w:w="116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c>
          <w:tcPr>
            <w:tcW w:w="2865"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c>
          <w:tcPr>
            <w:tcW w:w="1307"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c>
          <w:tcPr>
            <w:tcW w:w="1283"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p>
        </w:tc>
        <w:tc>
          <w:tcPr>
            <w:tcW w:w="1283"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c>
          <w:tcPr>
            <w:tcW w:w="1119"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c>
          <w:tcPr>
            <w:tcW w:w="104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tc>
      </w:tr>
    </w:tbl>
    <w:p>
      <w:pPr>
        <w:widowControl/>
        <w:shd w:val="clear" w:color="auto" w:fill="FFFFFF"/>
        <w:wordWrap w:val="0"/>
        <w:spacing w:before="120" w:line="543" w:lineRule="atLeast"/>
        <w:jc w:val="left"/>
        <w:rPr>
          <w:rFonts w:ascii="Times New Roman" w:hAnsi="Times New Roman" w:eastAsia="宋体" w:cs="宋体"/>
          <w:kern w:val="0"/>
          <w:sz w:val="20"/>
          <w:szCs w:val="20"/>
        </w:rPr>
      </w:pPr>
      <w:r>
        <w:rPr>
          <w:rFonts w:ascii="Times New Roman" w:hAnsi="Times New Roman" w:eastAsia="宋体" w:cs="宋体"/>
          <w:kern w:val="0"/>
          <w:sz w:val="24"/>
          <w:szCs w:val="24"/>
        </w:rPr>
        <w:br w:type="page"/>
      </w:r>
      <w:r>
        <w:rPr>
          <w:rFonts w:hint="eastAsia" w:ascii="黑体" w:hAnsi="黑体" w:eastAsia="黑体"/>
          <w:sz w:val="32"/>
          <w:szCs w:val="32"/>
        </w:rPr>
        <w:t>附表</w:t>
      </w:r>
      <w:r>
        <w:rPr>
          <w:rFonts w:hint="eastAsia" w:ascii="Times New Roman" w:hAnsi="Times New Roman" w:eastAsia="黑体" w:cs="Times New Roman"/>
          <w:sz w:val="32"/>
          <w:szCs w:val="32"/>
        </w:rPr>
        <w:t>5</w:t>
      </w:r>
    </w:p>
    <w:p>
      <w:pPr>
        <w:widowControl/>
        <w:shd w:val="clear" w:color="auto" w:fill="FFFFFF"/>
        <w:wordWrap w:val="0"/>
        <w:spacing w:line="543" w:lineRule="atLeast"/>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整改完成记录、评审组确认意见表</w:t>
      </w:r>
    </w:p>
    <w:p>
      <w:pPr>
        <w:widowControl/>
        <w:shd w:val="clear" w:color="auto" w:fill="FFFFFF"/>
        <w:wordWrap w:val="0"/>
        <w:spacing w:line="543" w:lineRule="atLeast"/>
        <w:jc w:val="center"/>
        <w:rPr>
          <w:rFonts w:ascii="Times New Roman" w:hAnsi="Times New Roman" w:eastAsia="宋体" w:cs="宋体"/>
          <w:kern w:val="0"/>
          <w:sz w:val="20"/>
          <w:szCs w:val="20"/>
        </w:rPr>
      </w:pPr>
    </w:p>
    <w:tbl>
      <w:tblPr>
        <w:tblStyle w:val="7"/>
        <w:tblW w:w="0" w:type="auto"/>
        <w:jc w:val="center"/>
        <w:tblLayout w:type="autofit"/>
        <w:tblCellMar>
          <w:top w:w="0" w:type="dxa"/>
          <w:left w:w="0" w:type="dxa"/>
          <w:bottom w:w="0" w:type="dxa"/>
          <w:right w:w="0" w:type="dxa"/>
        </w:tblCellMar>
      </w:tblPr>
      <w:tblGrid>
        <w:gridCol w:w="1419"/>
        <w:gridCol w:w="7103"/>
      </w:tblGrid>
      <w:tr>
        <w:tblPrEx>
          <w:tblCellMar>
            <w:top w:w="0" w:type="dxa"/>
            <w:left w:w="0" w:type="dxa"/>
            <w:bottom w:w="0" w:type="dxa"/>
            <w:right w:w="0" w:type="dxa"/>
          </w:tblCellMar>
        </w:tblPrEx>
        <w:trPr>
          <w:jc w:val="center"/>
        </w:trPr>
        <w:tc>
          <w:tcPr>
            <w:tcW w:w="14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需整改</w:t>
            </w:r>
          </w:p>
          <w:p>
            <w:pPr>
              <w:widowControl/>
              <w:snapToGrid w:val="0"/>
              <w:spacing w:line="30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条款号</w:t>
            </w:r>
          </w:p>
        </w:tc>
        <w:tc>
          <w:tcPr>
            <w:tcW w:w="71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ascii="Times New Roman" w:hAnsi="Times New Roman" w:eastAsia="宋体" w:cs="宋体"/>
                <w:kern w:val="0"/>
                <w:szCs w:val="21"/>
              </w:rPr>
            </w:pPr>
            <w:r>
              <w:rPr>
                <w:rFonts w:hint="eastAsia" w:ascii="Times New Roman" w:hAnsi="Times New Roman" w:eastAsia="宋体" w:cs="宋体"/>
                <w:kern w:val="0"/>
                <w:szCs w:val="21"/>
              </w:rPr>
              <w:t>完</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成</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整</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改</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情</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况</w:t>
            </w:r>
          </w:p>
        </w:tc>
      </w:tr>
      <w:tr>
        <w:tblPrEx>
          <w:tblCellMar>
            <w:top w:w="0" w:type="dxa"/>
            <w:left w:w="0" w:type="dxa"/>
            <w:bottom w:w="0" w:type="dxa"/>
            <w:right w:w="0" w:type="dxa"/>
          </w:tblCellMar>
        </w:tblPrEx>
        <w:trPr>
          <w:trHeight w:val="8074" w:hRule="atLeast"/>
          <w:jc w:val="center"/>
        </w:trPr>
        <w:tc>
          <w:tcPr>
            <w:tcW w:w="141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30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c>
          <w:tcPr>
            <w:tcW w:w="71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jc w:val="center"/>
              <w:rPr>
                <w:rFonts w:ascii="Times New Roman" w:hAnsi="Times New Roman" w:eastAsia="宋体" w:cs="宋体"/>
                <w:kern w:val="0"/>
                <w:szCs w:val="21"/>
              </w:rPr>
            </w:pPr>
            <w:r>
              <w:rPr>
                <w:rFonts w:ascii="Times New Roman" w:hAnsi="Times New Roman" w:eastAsia="宋体" w:cs="宋体"/>
                <w:kern w:val="0"/>
                <w:szCs w:val="21"/>
              </w:rPr>
              <w:t> </w:t>
            </w:r>
          </w:p>
        </w:tc>
      </w:tr>
      <w:tr>
        <w:tblPrEx>
          <w:tblCellMar>
            <w:top w:w="0" w:type="dxa"/>
            <w:left w:w="0" w:type="dxa"/>
            <w:bottom w:w="0" w:type="dxa"/>
            <w:right w:w="0" w:type="dxa"/>
          </w:tblCellMar>
        </w:tblPrEx>
        <w:trPr>
          <w:trHeight w:val="2860" w:hRule="atLeast"/>
          <w:jc w:val="center"/>
        </w:trPr>
        <w:tc>
          <w:tcPr>
            <w:tcW w:w="852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spacing w:line="440" w:lineRule="atLeast"/>
              <w:ind w:right="-336"/>
              <w:jc w:val="left"/>
              <w:rPr>
                <w:rFonts w:ascii="Times New Roman" w:hAnsi="Times New Roman" w:eastAsia="宋体" w:cs="宋体"/>
                <w:kern w:val="0"/>
                <w:szCs w:val="21"/>
              </w:rPr>
            </w:pPr>
            <w:r>
              <w:rPr>
                <w:rFonts w:hint="eastAsia" w:ascii="Times New Roman" w:hAnsi="Times New Roman" w:eastAsia="宋体" w:cs="宋体"/>
                <w:kern w:val="0"/>
                <w:szCs w:val="21"/>
              </w:rPr>
              <w:t>评审组对整改完成情况的确认意见：</w:t>
            </w:r>
          </w:p>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ind w:right="-336"/>
              <w:jc w:val="left"/>
              <w:rPr>
                <w:rFonts w:ascii="Times New Roman" w:hAnsi="Times New Roman" w:eastAsia="宋体" w:cs="宋体"/>
                <w:kern w:val="0"/>
                <w:szCs w:val="21"/>
              </w:rPr>
            </w:pPr>
            <w:r>
              <w:rPr>
                <w:rFonts w:ascii="Times New Roman" w:hAnsi="Times New Roman" w:eastAsia="宋体" w:cs="宋体"/>
                <w:kern w:val="0"/>
                <w:szCs w:val="21"/>
              </w:rPr>
              <w:t> </w:t>
            </w:r>
          </w:p>
          <w:p>
            <w:pPr>
              <w:widowControl/>
              <w:snapToGrid w:val="0"/>
              <w:spacing w:line="440" w:lineRule="atLeast"/>
              <w:ind w:right="-336" w:firstLine="210" w:firstLineChars="100"/>
              <w:jc w:val="left"/>
              <w:rPr>
                <w:rFonts w:ascii="Times New Roman" w:hAnsi="Times New Roman" w:eastAsia="宋体" w:cs="宋体"/>
                <w:kern w:val="0"/>
                <w:szCs w:val="21"/>
              </w:rPr>
            </w:pPr>
            <w:r>
              <w:rPr>
                <w:rFonts w:hint="eastAsia" w:ascii="Times New Roman" w:hAnsi="Times New Roman" w:eastAsia="宋体" w:cs="宋体"/>
                <w:kern w:val="0"/>
                <w:szCs w:val="21"/>
              </w:rPr>
              <w:t>评审组成员签字：</w:t>
            </w:r>
            <w:r>
              <w:rPr>
                <w:rFonts w:ascii="Times New Roman" w:hAnsi="Times New Roman" w:eastAsia="宋体" w:cs="宋体"/>
                <w:kern w:val="0"/>
                <w:szCs w:val="21"/>
              </w:rPr>
              <w:t xml:space="preserve">                 </w:t>
            </w:r>
            <w:r>
              <w:rPr>
                <w:rFonts w:hint="eastAsia" w:ascii="Times New Roman" w:hAnsi="Times New Roman" w:eastAsia="宋体" w:cs="宋体"/>
                <w:kern w:val="0"/>
                <w:szCs w:val="21"/>
              </w:rPr>
              <w:t>日期：    年  月  日</w:t>
            </w:r>
          </w:p>
        </w:tc>
      </w:tr>
    </w:tbl>
    <w:p>
      <w:pPr>
        <w:widowControl/>
        <w:shd w:val="clear" w:color="auto" w:fill="FFFFFF"/>
        <w:spacing w:line="543" w:lineRule="atLeast"/>
        <w:jc w:val="left"/>
        <w:rPr>
          <w:rFonts w:hint="eastAsia" w:ascii="黑体" w:hAnsi="黑体" w:eastAsia="黑体"/>
          <w:sz w:val="32"/>
          <w:szCs w:val="32"/>
        </w:rPr>
      </w:pPr>
    </w:p>
    <w:p>
      <w:pPr>
        <w:widowControl/>
        <w:shd w:val="clear" w:color="auto" w:fill="FFFFFF"/>
        <w:spacing w:line="543" w:lineRule="atLeast"/>
        <w:jc w:val="left"/>
        <w:rPr>
          <w:rFonts w:ascii="Times New Roman" w:hAnsi="Times New Roman" w:eastAsia="宋体" w:cs="宋体"/>
          <w:kern w:val="0"/>
          <w:sz w:val="20"/>
          <w:szCs w:val="20"/>
        </w:rPr>
      </w:pPr>
      <w:r>
        <w:rPr>
          <w:rFonts w:hint="eastAsia" w:ascii="黑体" w:hAnsi="黑体" w:eastAsia="黑体"/>
          <w:sz w:val="32"/>
          <w:szCs w:val="32"/>
        </w:rPr>
        <w:t>附表</w:t>
      </w:r>
      <w:r>
        <w:rPr>
          <w:rFonts w:hint="eastAsia" w:ascii="Times New Roman" w:hAnsi="Times New Roman" w:eastAsia="黑体" w:cs="Times New Roman"/>
          <w:sz w:val="32"/>
          <w:szCs w:val="32"/>
        </w:rPr>
        <w:t>6</w:t>
      </w:r>
    </w:p>
    <w:p>
      <w:pPr>
        <w:widowControl/>
        <w:shd w:val="clear" w:color="auto" w:fill="FFFFFF"/>
        <w:wordWrap w:val="0"/>
        <w:spacing w:before="120" w:after="120" w:line="543" w:lineRule="atLeast"/>
        <w:jc w:val="center"/>
        <w:rPr>
          <w:rFonts w:ascii="Times New Roman" w:hAnsi="Times New Roman" w:eastAsia="宋体" w:cs="宋体"/>
          <w:kern w:val="0"/>
          <w:sz w:val="28"/>
          <w:szCs w:val="28"/>
        </w:rPr>
      </w:pPr>
      <w:r>
        <w:rPr>
          <w:rFonts w:hint="eastAsia" w:ascii="Times New Roman" w:hAnsi="Times New Roman" w:eastAsia="宋体" w:cs="宋体"/>
          <w:kern w:val="0"/>
          <w:sz w:val="28"/>
          <w:szCs w:val="28"/>
        </w:rPr>
        <w:t>检测机构资质现场评审签到表</w:t>
      </w:r>
    </w:p>
    <w:tbl>
      <w:tblPr>
        <w:tblStyle w:val="7"/>
        <w:tblW w:w="0" w:type="auto"/>
        <w:jc w:val="center"/>
        <w:tblLayout w:type="autofit"/>
        <w:tblCellMar>
          <w:top w:w="0" w:type="dxa"/>
          <w:left w:w="0" w:type="dxa"/>
          <w:bottom w:w="0" w:type="dxa"/>
          <w:right w:w="0" w:type="dxa"/>
        </w:tblCellMar>
      </w:tblPr>
      <w:tblGrid>
        <w:gridCol w:w="1678"/>
        <w:gridCol w:w="557"/>
        <w:gridCol w:w="798"/>
        <w:gridCol w:w="1402"/>
        <w:gridCol w:w="1262"/>
        <w:gridCol w:w="147"/>
        <w:gridCol w:w="1356"/>
        <w:gridCol w:w="1382"/>
      </w:tblGrid>
      <w:tr>
        <w:tblPrEx>
          <w:tblCellMar>
            <w:top w:w="0" w:type="dxa"/>
            <w:left w:w="0" w:type="dxa"/>
            <w:bottom w:w="0" w:type="dxa"/>
            <w:right w:w="0" w:type="dxa"/>
          </w:tblCellMar>
        </w:tblPrEx>
        <w:trPr>
          <w:trHeight w:val="482" w:hRule="atLeast"/>
          <w:jc w:val="center"/>
        </w:trPr>
        <w:tc>
          <w:tcPr>
            <w:tcW w:w="2235" w:type="dxa"/>
            <w:gridSpan w:val="2"/>
            <w:tcBorders>
              <w:top w:val="double" w:color="auto" w:sz="4" w:space="0"/>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检测机构名称</w:t>
            </w:r>
          </w:p>
        </w:tc>
        <w:tc>
          <w:tcPr>
            <w:tcW w:w="6287" w:type="dxa"/>
            <w:gridSpan w:val="6"/>
            <w:tcBorders>
              <w:top w:val="double" w:color="auto" w:sz="4" w:space="0"/>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ascii="Times New Roman" w:hAnsi="Times New Roman" w:eastAsia="宋体" w:cs="宋体"/>
                <w:kern w:val="0"/>
                <w:sz w:val="16"/>
                <w:szCs w:val="16"/>
              </w:rPr>
            </w:pPr>
            <w:r>
              <w:rPr>
                <w:rFonts w:ascii="Times New Roman" w:hAnsi="Times New Roman" w:eastAsia="宋体" w:cs="宋体"/>
                <w:kern w:val="0"/>
                <w:sz w:val="24"/>
                <w:szCs w:val="24"/>
              </w:rPr>
              <w:t> </w:t>
            </w:r>
          </w:p>
        </w:tc>
      </w:tr>
      <w:tr>
        <w:tblPrEx>
          <w:tblCellMar>
            <w:top w:w="0" w:type="dxa"/>
            <w:left w:w="0" w:type="dxa"/>
            <w:bottom w:w="0" w:type="dxa"/>
            <w:right w:w="0" w:type="dxa"/>
          </w:tblCellMar>
        </w:tblPrEx>
        <w:trPr>
          <w:trHeight w:val="482" w:hRule="atLeast"/>
          <w:jc w:val="center"/>
        </w:trPr>
        <w:tc>
          <w:tcPr>
            <w:tcW w:w="2235" w:type="dxa"/>
            <w:gridSpan w:val="2"/>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会议名称</w:t>
            </w:r>
          </w:p>
        </w:tc>
        <w:tc>
          <w:tcPr>
            <w:tcW w:w="6287" w:type="dxa"/>
            <w:gridSpan w:val="6"/>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ascii="Times New Roman" w:hAnsi="Times New Roman" w:eastAsia="宋体" w:cs="宋体"/>
                <w:kern w:val="0"/>
                <w:sz w:val="16"/>
                <w:szCs w:val="16"/>
              </w:rPr>
            </w:pPr>
            <w:r>
              <w:rPr>
                <w:rFonts w:hint="eastAsia" w:ascii="Times New Roman" w:hAnsi="Times New Roman" w:eastAsia="宋体" w:cs="宋体"/>
                <w:kern w:val="0"/>
                <w:sz w:val="24"/>
                <w:szCs w:val="24"/>
              </w:rPr>
              <w:t>□首次会议</w:t>
            </w:r>
            <w:r>
              <w:rPr>
                <w:rFonts w:ascii="Times New Roman" w:hAnsi="Times New Roman" w:eastAsia="宋体" w:cs="宋体"/>
                <w:kern w:val="0"/>
                <w:sz w:val="24"/>
                <w:szCs w:val="24"/>
              </w:rPr>
              <w:t>   </w:t>
            </w:r>
            <w:r>
              <w:rPr>
                <w:rFonts w:hint="eastAsia" w:ascii="Times New Roman" w:hAnsi="Times New Roman" w:eastAsia="宋体" w:cs="宋体"/>
                <w:kern w:val="0"/>
                <w:sz w:val="24"/>
                <w:szCs w:val="24"/>
              </w:rPr>
              <w:t xml:space="preserve">     □末次会议</w:t>
            </w:r>
            <w:r>
              <w:rPr>
                <w:rFonts w:ascii="Times New Roman" w:hAnsi="Times New Roman" w:eastAsia="宋体" w:cs="宋体"/>
                <w:kern w:val="0"/>
                <w:sz w:val="24"/>
                <w:szCs w:val="24"/>
              </w:rPr>
              <w:t> </w:t>
            </w:r>
          </w:p>
        </w:tc>
      </w:tr>
      <w:tr>
        <w:tblPrEx>
          <w:tblCellMar>
            <w:top w:w="0" w:type="dxa"/>
            <w:left w:w="0" w:type="dxa"/>
            <w:bottom w:w="0" w:type="dxa"/>
            <w:right w:w="0" w:type="dxa"/>
          </w:tblCellMar>
        </w:tblPrEx>
        <w:trPr>
          <w:trHeight w:val="482" w:hRule="atLeast"/>
          <w:jc w:val="center"/>
        </w:trPr>
        <w:tc>
          <w:tcPr>
            <w:tcW w:w="2235" w:type="dxa"/>
            <w:gridSpan w:val="2"/>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会议时间</w:t>
            </w:r>
          </w:p>
        </w:tc>
        <w:tc>
          <w:tcPr>
            <w:tcW w:w="21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宋体"/>
                <w:kern w:val="0"/>
                <w:sz w:val="16"/>
                <w:szCs w:val="16"/>
              </w:rPr>
            </w:pPr>
            <w:r>
              <w:rPr>
                <w:rFonts w:ascii="Times New Roman" w:hAnsi="Times New Roman" w:eastAsia="宋体" w:cs="宋体"/>
                <w:kern w:val="0"/>
                <w:sz w:val="24"/>
                <w:szCs w:val="24"/>
              </w:rPr>
              <w:t xml:space="preserve">  </w:t>
            </w:r>
          </w:p>
        </w:tc>
        <w:tc>
          <w:tcPr>
            <w:tcW w:w="126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宋体"/>
                <w:kern w:val="0"/>
                <w:sz w:val="16"/>
                <w:szCs w:val="16"/>
              </w:rPr>
            </w:pPr>
            <w:r>
              <w:rPr>
                <w:rFonts w:hint="eastAsia" w:ascii="Times New Roman" w:hAnsi="Times New Roman" w:eastAsia="宋体" w:cs="宋体"/>
                <w:kern w:val="0"/>
                <w:sz w:val="24"/>
                <w:szCs w:val="24"/>
              </w:rPr>
              <w:t>会议地点</w:t>
            </w:r>
          </w:p>
        </w:tc>
        <w:tc>
          <w:tcPr>
            <w:tcW w:w="2885" w:type="dxa"/>
            <w:gridSpan w:val="3"/>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left"/>
              <w:rPr>
                <w:rFonts w:ascii="Times New Roman" w:hAnsi="Times New Roman" w:eastAsia="宋体" w:cs="宋体"/>
                <w:kern w:val="0"/>
                <w:sz w:val="16"/>
                <w:szCs w:val="16"/>
              </w:rPr>
            </w:pPr>
            <w:r>
              <w:rPr>
                <w:rFonts w:ascii="Times New Roman" w:hAnsi="Times New Roman" w:eastAsia="宋体" w:cs="宋体"/>
                <w:kern w:val="0"/>
                <w:sz w:val="24"/>
                <w:szCs w:val="24"/>
              </w:rPr>
              <w:t> </w:t>
            </w: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检测机构人员</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职务</w:t>
            </w: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职务</w:t>
            </w: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职务</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评审组人员</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评审职务</w:t>
            </w: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评审职务</w:t>
            </w: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评审职务</w:t>
            </w: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1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5"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409" w:type="dxa"/>
            <w:gridSpan w:val="2"/>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1382" w:type="dxa"/>
            <w:tcBorders>
              <w:top w:val="nil"/>
              <w:left w:val="nil"/>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8522" w:type="dxa"/>
            <w:gridSpan w:val="8"/>
            <w:tcBorders>
              <w:top w:val="nil"/>
              <w:left w:val="double" w:color="auto" w:sz="4"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列席人员</w:t>
            </w: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签名</w:t>
            </w: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单位</w:t>
            </w: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r>
              <w:rPr>
                <w:rFonts w:hint="eastAsia" w:ascii="Times New Roman" w:hAnsi="Times New Roman" w:eastAsia="宋体" w:cs="宋体"/>
                <w:kern w:val="0"/>
                <w:sz w:val="24"/>
                <w:szCs w:val="24"/>
              </w:rPr>
              <w:t>职务</w:t>
            </w:r>
            <w:r>
              <w:rPr>
                <w:rFonts w:ascii="Times New Roman" w:hAnsi="Times New Roman" w:eastAsia="宋体" w:cs="宋体"/>
                <w:kern w:val="0"/>
                <w:sz w:val="24"/>
                <w:szCs w:val="24"/>
              </w:rPr>
              <w:t>/</w:t>
            </w:r>
            <w:r>
              <w:rPr>
                <w:rFonts w:hint="eastAsia" w:ascii="Times New Roman" w:hAnsi="Times New Roman" w:eastAsia="宋体" w:cs="宋体"/>
                <w:kern w:val="0"/>
                <w:sz w:val="24"/>
                <w:szCs w:val="24"/>
              </w:rPr>
              <w:t>职称</w:t>
            </w: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4166" w:type="dxa"/>
            <w:gridSpan w:val="5"/>
            <w:tcBorders>
              <w:top w:val="nil"/>
              <w:left w:val="nil"/>
              <w:bottom w:val="single" w:color="auto" w:sz="8" w:space="0"/>
              <w:right w:val="nil"/>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2678" w:type="dxa"/>
            <w:gridSpan w:val="2"/>
            <w:tcBorders>
              <w:top w:val="nil"/>
              <w:left w:val="single" w:color="auto" w:sz="8" w:space="0"/>
              <w:bottom w:val="single" w:color="auto" w:sz="8"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r>
        <w:tblPrEx>
          <w:tblCellMar>
            <w:top w:w="0" w:type="dxa"/>
            <w:left w:w="0" w:type="dxa"/>
            <w:bottom w:w="0" w:type="dxa"/>
            <w:right w:w="0" w:type="dxa"/>
          </w:tblCellMar>
        </w:tblPrEx>
        <w:trPr>
          <w:trHeight w:val="482" w:hRule="atLeast"/>
          <w:jc w:val="center"/>
        </w:trPr>
        <w:tc>
          <w:tcPr>
            <w:tcW w:w="1678" w:type="dxa"/>
            <w:tcBorders>
              <w:top w:val="nil"/>
              <w:left w:val="double" w:color="auto" w:sz="4" w:space="0"/>
              <w:bottom w:val="double" w:color="auto" w:sz="4"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4166" w:type="dxa"/>
            <w:gridSpan w:val="5"/>
            <w:tcBorders>
              <w:top w:val="nil"/>
              <w:left w:val="nil"/>
              <w:bottom w:val="double" w:color="auto" w:sz="4" w:space="0"/>
              <w:right w:val="nil"/>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c>
          <w:tcPr>
            <w:tcW w:w="2678" w:type="dxa"/>
            <w:gridSpan w:val="2"/>
            <w:tcBorders>
              <w:top w:val="nil"/>
              <w:left w:val="single" w:color="auto" w:sz="8" w:space="0"/>
              <w:bottom w:val="double" w:color="auto" w:sz="4" w:space="0"/>
              <w:right w:val="double" w:color="auto" w:sz="4" w:space="0"/>
            </w:tcBorders>
            <w:tcMar>
              <w:top w:w="0" w:type="dxa"/>
              <w:left w:w="108" w:type="dxa"/>
              <w:bottom w:w="0" w:type="dxa"/>
              <w:right w:w="108" w:type="dxa"/>
            </w:tcMar>
            <w:vAlign w:val="center"/>
          </w:tcPr>
          <w:p>
            <w:pPr>
              <w:widowControl/>
              <w:jc w:val="center"/>
              <w:rPr>
                <w:rFonts w:ascii="Times New Roman" w:hAnsi="Times New Roman" w:eastAsia="宋体" w:cs="宋体"/>
                <w:kern w:val="0"/>
                <w:sz w:val="16"/>
                <w:szCs w:val="16"/>
              </w:rPr>
            </w:pPr>
          </w:p>
        </w:tc>
      </w:tr>
    </w:tbl>
    <w:p>
      <w:pPr>
        <w:pStyle w:val="2"/>
        <w:rPr>
          <w:rFonts w:hint="eastAsia"/>
          <w:color w:val="000000"/>
          <w:szCs w:val="21"/>
        </w:rPr>
      </w:pPr>
    </w:p>
    <w:sectPr>
      <w:headerReference r:id="rId4" w:type="default"/>
      <w:footerReference r:id="rId5" w:type="default"/>
      <w:pgSz w:w="11906" w:h="16838"/>
      <w:pgMar w:top="1157" w:right="1009" w:bottom="986" w:left="1236"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0000000000000000000"/>
    <w:charset w:val="86"/>
    <w:family w:val="modern"/>
    <w:pitch w:val="default"/>
    <w:sig w:usb0="00000000" w:usb1="00000000" w:usb2="0000001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MS Mincho">
    <w:altName w:val="方正书宋_GBK"/>
    <w:panose1 w:val="02020609040205080304"/>
    <w:charset w:val="80"/>
    <w:family w:val="modern"/>
    <w:pitch w:val="default"/>
    <w:sig w:usb0="00000000" w:usb1="00000000" w:usb2="08000012" w:usb3="00000000" w:csb0="0002009F" w:csb1="00000000"/>
  </w:font>
  <w:font w:name="等线 Light">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Wingdings 2">
    <w:panose1 w:val="05020102010507070707"/>
    <w:charset w:val="00"/>
    <w:family w:val="auto"/>
    <w:pitch w:val="default"/>
    <w:sig w:usb0="00000000" w:usb1="00000000" w:usb2="00000000" w:usb3="00000000" w:csb0="8000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等线 Light">
    <w:altName w:val="思源宋体 CN"/>
    <w:panose1 w:val="00000000000000000000"/>
    <w:charset w:val="00"/>
    <w:family w:val="auto"/>
    <w:pitch w:val="default"/>
    <w:sig w:usb0="00000000" w:usb1="00000000" w:usb2="00000000" w:usb3="00000000" w:csb0="00000000" w:csb1="00000000"/>
  </w:font>
  <w:font w:name="思源宋体 CN">
    <w:panose1 w:val="02020400000000000000"/>
    <w:charset w:val="80"/>
    <w:family w:val="auto"/>
    <w:pitch w:val="default"/>
    <w:sig w:usb0="A00002BF" w:usb1="6ADFFDFE" w:usb2="00000016" w:usb3="00000000" w:csb0="40020001" w:csb1="D1D60000"/>
  </w:font>
  <w:font w:name="等线">
    <w:altName w:val="思源宋体 CN"/>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- 43 -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4"/>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- 43 -</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wordWrap w:val="0"/>
      <w:snapToGrid w:val="0"/>
      <w:spacing w:before="120" w:line="300" w:lineRule="atLeast"/>
      <w:ind w:right="-33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F99B7"/>
    <w:multiLevelType w:val="singleLevel"/>
    <w:tmpl w:val="522F99B7"/>
    <w:lvl w:ilvl="0" w:tentative="0">
      <w:start w:val="1"/>
      <w:numFmt w:val="chineseCounting"/>
      <w:suff w:val="nothing"/>
      <w:lvlText w:val="（%1）"/>
      <w:lvlJc w:val="left"/>
      <w:pPr>
        <w:ind w:left="-430"/>
      </w:pPr>
      <w:rPr>
        <w:rFonts w:hint="eastAsia"/>
      </w:rPr>
    </w:lvl>
  </w:abstractNum>
  <w:abstractNum w:abstractNumId="1">
    <w:nsid w:val="602B621B"/>
    <w:multiLevelType w:val="singleLevel"/>
    <w:tmpl w:val="602B621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61"/>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kZWQ5MGJhYjdiNjMwYmIwNWJkNWZjZGIwYjM3MTkifQ=="/>
  </w:docVars>
  <w:rsids>
    <w:rsidRoot w:val="00A23908"/>
    <w:rsid w:val="00026A58"/>
    <w:rsid w:val="0004156B"/>
    <w:rsid w:val="00052D06"/>
    <w:rsid w:val="00054806"/>
    <w:rsid w:val="00056E0E"/>
    <w:rsid w:val="00061007"/>
    <w:rsid w:val="000A0380"/>
    <w:rsid w:val="000A743B"/>
    <w:rsid w:val="000B2F85"/>
    <w:rsid w:val="000D1CF9"/>
    <w:rsid w:val="000E25AA"/>
    <w:rsid w:val="000E4B3D"/>
    <w:rsid w:val="000E5B6C"/>
    <w:rsid w:val="000F1FF7"/>
    <w:rsid w:val="000F2257"/>
    <w:rsid w:val="000F5B05"/>
    <w:rsid w:val="00110D89"/>
    <w:rsid w:val="001304FF"/>
    <w:rsid w:val="00140A3A"/>
    <w:rsid w:val="001830C8"/>
    <w:rsid w:val="001A6788"/>
    <w:rsid w:val="001B1CAC"/>
    <w:rsid w:val="001B6911"/>
    <w:rsid w:val="001B70A7"/>
    <w:rsid w:val="001D7C47"/>
    <w:rsid w:val="00221D8C"/>
    <w:rsid w:val="002504D5"/>
    <w:rsid w:val="002675D8"/>
    <w:rsid w:val="00267773"/>
    <w:rsid w:val="002B2F75"/>
    <w:rsid w:val="002B5DCC"/>
    <w:rsid w:val="002B720C"/>
    <w:rsid w:val="002C5D94"/>
    <w:rsid w:val="002D1CB6"/>
    <w:rsid w:val="002D39BE"/>
    <w:rsid w:val="00310568"/>
    <w:rsid w:val="0032079B"/>
    <w:rsid w:val="00333850"/>
    <w:rsid w:val="0033637D"/>
    <w:rsid w:val="0034050B"/>
    <w:rsid w:val="003415A3"/>
    <w:rsid w:val="0034780F"/>
    <w:rsid w:val="003703C8"/>
    <w:rsid w:val="00370512"/>
    <w:rsid w:val="00380A8A"/>
    <w:rsid w:val="00393135"/>
    <w:rsid w:val="003D129F"/>
    <w:rsid w:val="003D4E8D"/>
    <w:rsid w:val="004164D4"/>
    <w:rsid w:val="00434A2D"/>
    <w:rsid w:val="004658F5"/>
    <w:rsid w:val="00475E1E"/>
    <w:rsid w:val="00490A01"/>
    <w:rsid w:val="00491C69"/>
    <w:rsid w:val="004B5978"/>
    <w:rsid w:val="004B610C"/>
    <w:rsid w:val="004B63FB"/>
    <w:rsid w:val="00500230"/>
    <w:rsid w:val="00503FD1"/>
    <w:rsid w:val="00567FE5"/>
    <w:rsid w:val="005709B8"/>
    <w:rsid w:val="0057730A"/>
    <w:rsid w:val="005807A2"/>
    <w:rsid w:val="005820FC"/>
    <w:rsid w:val="00586AC2"/>
    <w:rsid w:val="005E7675"/>
    <w:rsid w:val="0061101E"/>
    <w:rsid w:val="00640C4A"/>
    <w:rsid w:val="006642E0"/>
    <w:rsid w:val="006765EC"/>
    <w:rsid w:val="00677284"/>
    <w:rsid w:val="00680600"/>
    <w:rsid w:val="00693349"/>
    <w:rsid w:val="006A14D1"/>
    <w:rsid w:val="006A6C6A"/>
    <w:rsid w:val="006C1016"/>
    <w:rsid w:val="006D2809"/>
    <w:rsid w:val="006D297C"/>
    <w:rsid w:val="006D6863"/>
    <w:rsid w:val="006F7223"/>
    <w:rsid w:val="00711646"/>
    <w:rsid w:val="007146F8"/>
    <w:rsid w:val="0073470F"/>
    <w:rsid w:val="00763622"/>
    <w:rsid w:val="00763AF3"/>
    <w:rsid w:val="00774AC7"/>
    <w:rsid w:val="0077728C"/>
    <w:rsid w:val="0078546C"/>
    <w:rsid w:val="007B6954"/>
    <w:rsid w:val="007C7FA3"/>
    <w:rsid w:val="007F630B"/>
    <w:rsid w:val="008148F0"/>
    <w:rsid w:val="008207B0"/>
    <w:rsid w:val="008309A9"/>
    <w:rsid w:val="00837F45"/>
    <w:rsid w:val="00847DE1"/>
    <w:rsid w:val="00852E80"/>
    <w:rsid w:val="00860AAA"/>
    <w:rsid w:val="008628CB"/>
    <w:rsid w:val="008A01AC"/>
    <w:rsid w:val="008A75AA"/>
    <w:rsid w:val="008A7FE1"/>
    <w:rsid w:val="008B7035"/>
    <w:rsid w:val="008C27E6"/>
    <w:rsid w:val="008D460D"/>
    <w:rsid w:val="008D79C7"/>
    <w:rsid w:val="00921D01"/>
    <w:rsid w:val="00925394"/>
    <w:rsid w:val="009264A1"/>
    <w:rsid w:val="009300C5"/>
    <w:rsid w:val="009445AB"/>
    <w:rsid w:val="0097262B"/>
    <w:rsid w:val="00975011"/>
    <w:rsid w:val="009838F2"/>
    <w:rsid w:val="0098788F"/>
    <w:rsid w:val="009906DA"/>
    <w:rsid w:val="0099507D"/>
    <w:rsid w:val="009B6C4D"/>
    <w:rsid w:val="009E260E"/>
    <w:rsid w:val="00A05C4C"/>
    <w:rsid w:val="00A1120B"/>
    <w:rsid w:val="00A13095"/>
    <w:rsid w:val="00A21B09"/>
    <w:rsid w:val="00A23908"/>
    <w:rsid w:val="00A32829"/>
    <w:rsid w:val="00A73D94"/>
    <w:rsid w:val="00A814BF"/>
    <w:rsid w:val="00A83E2A"/>
    <w:rsid w:val="00A84108"/>
    <w:rsid w:val="00A91C0C"/>
    <w:rsid w:val="00AA113F"/>
    <w:rsid w:val="00AB2FC1"/>
    <w:rsid w:val="00AC1190"/>
    <w:rsid w:val="00AC1C8A"/>
    <w:rsid w:val="00AD1258"/>
    <w:rsid w:val="00AF289A"/>
    <w:rsid w:val="00B20381"/>
    <w:rsid w:val="00B23EB5"/>
    <w:rsid w:val="00B61DF0"/>
    <w:rsid w:val="00B75496"/>
    <w:rsid w:val="00B767A1"/>
    <w:rsid w:val="00B85192"/>
    <w:rsid w:val="00BA0603"/>
    <w:rsid w:val="00BC7B87"/>
    <w:rsid w:val="00BD7851"/>
    <w:rsid w:val="00C1354C"/>
    <w:rsid w:val="00C13B1E"/>
    <w:rsid w:val="00C25F7A"/>
    <w:rsid w:val="00C61FE5"/>
    <w:rsid w:val="00C80E9D"/>
    <w:rsid w:val="00CA7998"/>
    <w:rsid w:val="00CE058F"/>
    <w:rsid w:val="00CE6814"/>
    <w:rsid w:val="00D02EDC"/>
    <w:rsid w:val="00D37737"/>
    <w:rsid w:val="00D52BCE"/>
    <w:rsid w:val="00D66DEF"/>
    <w:rsid w:val="00D8060D"/>
    <w:rsid w:val="00D93C3C"/>
    <w:rsid w:val="00DA6D0D"/>
    <w:rsid w:val="00DB51FE"/>
    <w:rsid w:val="00DC21A6"/>
    <w:rsid w:val="00DC4923"/>
    <w:rsid w:val="00DC581E"/>
    <w:rsid w:val="00DC6C7E"/>
    <w:rsid w:val="00DD1414"/>
    <w:rsid w:val="00DE7863"/>
    <w:rsid w:val="00E00201"/>
    <w:rsid w:val="00E06727"/>
    <w:rsid w:val="00E22AC6"/>
    <w:rsid w:val="00E40280"/>
    <w:rsid w:val="00E51E4F"/>
    <w:rsid w:val="00E53B27"/>
    <w:rsid w:val="00EB4DB6"/>
    <w:rsid w:val="00EE3680"/>
    <w:rsid w:val="00EE38F4"/>
    <w:rsid w:val="00EE5570"/>
    <w:rsid w:val="00EF2187"/>
    <w:rsid w:val="00F04A8D"/>
    <w:rsid w:val="00F14F71"/>
    <w:rsid w:val="00F36307"/>
    <w:rsid w:val="00F64E15"/>
    <w:rsid w:val="00F672BD"/>
    <w:rsid w:val="00F905BA"/>
    <w:rsid w:val="00FA7596"/>
    <w:rsid w:val="00FB470B"/>
    <w:rsid w:val="00FC7FB7"/>
    <w:rsid w:val="00FF10D2"/>
    <w:rsid w:val="05401284"/>
    <w:rsid w:val="05AD7DDA"/>
    <w:rsid w:val="060A2B37"/>
    <w:rsid w:val="06D47C2C"/>
    <w:rsid w:val="0797572E"/>
    <w:rsid w:val="08291936"/>
    <w:rsid w:val="08AD42AE"/>
    <w:rsid w:val="0B131551"/>
    <w:rsid w:val="0D695E3B"/>
    <w:rsid w:val="0E071657"/>
    <w:rsid w:val="0E2844A2"/>
    <w:rsid w:val="0FBF0E36"/>
    <w:rsid w:val="112C7EAA"/>
    <w:rsid w:val="11803328"/>
    <w:rsid w:val="165F2A2B"/>
    <w:rsid w:val="17824C23"/>
    <w:rsid w:val="18493992"/>
    <w:rsid w:val="19573E8D"/>
    <w:rsid w:val="1B0205B5"/>
    <w:rsid w:val="1BF82D17"/>
    <w:rsid w:val="1F9A7E38"/>
    <w:rsid w:val="1FFB3609"/>
    <w:rsid w:val="204406C9"/>
    <w:rsid w:val="210E0C9E"/>
    <w:rsid w:val="211C7E96"/>
    <w:rsid w:val="234D779D"/>
    <w:rsid w:val="251349FC"/>
    <w:rsid w:val="2809201F"/>
    <w:rsid w:val="280E605F"/>
    <w:rsid w:val="29781528"/>
    <w:rsid w:val="2AFA3427"/>
    <w:rsid w:val="2B4B2C63"/>
    <w:rsid w:val="30093CDB"/>
    <w:rsid w:val="309C4B4F"/>
    <w:rsid w:val="30A44515"/>
    <w:rsid w:val="31175F84"/>
    <w:rsid w:val="33521DBE"/>
    <w:rsid w:val="34F30AB6"/>
    <w:rsid w:val="380D1174"/>
    <w:rsid w:val="38871C41"/>
    <w:rsid w:val="38DD0264"/>
    <w:rsid w:val="39A16D33"/>
    <w:rsid w:val="3AAE1DAD"/>
    <w:rsid w:val="3C6E172F"/>
    <w:rsid w:val="3E135D25"/>
    <w:rsid w:val="3FB578AE"/>
    <w:rsid w:val="40980764"/>
    <w:rsid w:val="48943389"/>
    <w:rsid w:val="4982625B"/>
    <w:rsid w:val="4B79288D"/>
    <w:rsid w:val="4B985ABC"/>
    <w:rsid w:val="4F8F64BC"/>
    <w:rsid w:val="4FCE08BE"/>
    <w:rsid w:val="5328012C"/>
    <w:rsid w:val="54644C28"/>
    <w:rsid w:val="54890487"/>
    <w:rsid w:val="5546549D"/>
    <w:rsid w:val="58D565A1"/>
    <w:rsid w:val="5AC049CF"/>
    <w:rsid w:val="5B1D06C1"/>
    <w:rsid w:val="5B670635"/>
    <w:rsid w:val="5C0C1787"/>
    <w:rsid w:val="5C8F0D72"/>
    <w:rsid w:val="5D5E6B65"/>
    <w:rsid w:val="5D9F0F2C"/>
    <w:rsid w:val="5E435999"/>
    <w:rsid w:val="5EB39729"/>
    <w:rsid w:val="60546C35"/>
    <w:rsid w:val="61102401"/>
    <w:rsid w:val="62305F47"/>
    <w:rsid w:val="626479E1"/>
    <w:rsid w:val="65006754"/>
    <w:rsid w:val="651E09E4"/>
    <w:rsid w:val="6A9F53AD"/>
    <w:rsid w:val="6DD644F6"/>
    <w:rsid w:val="6E3FFF2B"/>
    <w:rsid w:val="6E9FF98D"/>
    <w:rsid w:val="6F410095"/>
    <w:rsid w:val="6F855B26"/>
    <w:rsid w:val="708C231C"/>
    <w:rsid w:val="70A80911"/>
    <w:rsid w:val="73FF93B7"/>
    <w:rsid w:val="748E5B2A"/>
    <w:rsid w:val="75BA37E7"/>
    <w:rsid w:val="77DFE331"/>
    <w:rsid w:val="77F1D494"/>
    <w:rsid w:val="7819395D"/>
    <w:rsid w:val="785C0783"/>
    <w:rsid w:val="7CC8359C"/>
    <w:rsid w:val="7DD6409E"/>
    <w:rsid w:val="7E413EB6"/>
    <w:rsid w:val="CFDBC1C4"/>
    <w:rsid w:val="F3F72C12"/>
    <w:rsid w:val="FDFB6B27"/>
    <w:rsid w:val="FFDF2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djustRightInd w:val="0"/>
      <w:snapToGrid w:val="0"/>
      <w:spacing w:line="400" w:lineRule="atLeast"/>
    </w:pPr>
    <w:rPr>
      <w:kern w:val="0"/>
    </w:rPr>
  </w:style>
  <w:style w:type="paragraph" w:styleId="3">
    <w:name w:val="Plain Text"/>
    <w:basedOn w:val="1"/>
    <w:qFormat/>
    <w:uiPriority w:val="0"/>
    <w:rPr>
      <w:rFonts w:ascii="宋体" w:hAnsi="Courier New" w:eastAsia="楷体_GB2312"/>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rFonts w:ascii="Times New Roman" w:hAnsi="Times New Roman" w:eastAsia="宋体" w:cs="Times New Roman"/>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Char Char Char Char Char1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paragraph" w:customStyle="1" w:styleId="15">
    <w:name w:val="_Style 31"/>
    <w:basedOn w:val="1"/>
    <w:next w:val="13"/>
    <w:qFormat/>
    <w:uiPriority w:val="34"/>
    <w:pPr>
      <w:overflowPunct w:val="0"/>
      <w:topLinePunct/>
      <w:ind w:firstLine="420"/>
    </w:pPr>
    <w:rPr>
      <w:rFonts w:ascii="Times New Roman" w:hAnsi="Times New Roman"/>
      <w:szCs w:val="32"/>
    </w:rPr>
  </w:style>
  <w:style w:type="character" w:customStyle="1" w:styleId="16">
    <w:name w:val="font11"/>
    <w:basedOn w:val="9"/>
    <w:qFormat/>
    <w:uiPriority w:val="0"/>
    <w:rPr>
      <w:rFonts w:hint="eastAsia" w:ascii="宋体" w:hAnsi="宋体" w:eastAsia="宋体" w:cs="宋体"/>
      <w:color w:val="000000"/>
      <w:sz w:val="20"/>
      <w:szCs w:val="20"/>
      <w:u w:val="none"/>
    </w:rPr>
  </w:style>
  <w:style w:type="character" w:customStyle="1" w:styleId="17">
    <w:name w:val="font21"/>
    <w:basedOn w:val="9"/>
    <w:qFormat/>
    <w:uiPriority w:val="0"/>
    <w:rPr>
      <w:rFonts w:hint="eastAsia" w:ascii="宋体" w:hAnsi="宋体" w:eastAsia="宋体" w:cs="宋体"/>
      <w:color w:val="FF0000"/>
      <w:sz w:val="20"/>
      <w:szCs w:val="20"/>
      <w:u w:val="none"/>
    </w:rPr>
  </w:style>
  <w:style w:type="character" w:customStyle="1" w:styleId="18">
    <w:name w:val="font41"/>
    <w:basedOn w:val="9"/>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3797</Words>
  <Characters>21645</Characters>
  <Lines>180</Lines>
  <Paragraphs>50</Paragraphs>
  <TotalTime>21</TotalTime>
  <ScaleCrop>false</ScaleCrop>
  <LinksUpToDate>false</LinksUpToDate>
  <CharactersWithSpaces>25392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2023-10-07T09:04:00Z</dcterms:created>
  <dc:creator>建研智慧01</dc:creator>
  <cp:lastModifiedBy>guest</cp:lastModifiedBy>
  <cp:lastPrinted>2024-01-03T17:21:00Z</cp:lastPrinted>
  <dcterms:modified xsi:type="dcterms:W3CDTF">2024-01-04T09:31:46Z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C4EE9C577296448086A559CC0FB5EFBF_12</vt:lpwstr>
  </property>
</Properties>
</file>