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ascii="宋体" w:hAnsi="宋体" w:eastAsia="宋体" w:cs="宋体"/>
          <w:b/>
          <w:bCs/>
          <w:color w:val="000000"/>
          <w:spacing w:val="0"/>
          <w:w w:val="100"/>
          <w:position w:val="0"/>
          <w:sz w:val="32"/>
          <w:szCs w:val="32"/>
          <w:u w:val="none"/>
          <w:shd w:val="clear" w:color="auto" w:fill="auto"/>
          <w:lang w:val="zh-TW" w:eastAsia="zh-TW" w:bidi="zh-TW"/>
        </w:rPr>
      </w:pPr>
      <w:r>
        <w:rPr>
          <w:rFonts w:ascii="宋体" w:hAnsi="宋体" w:eastAsia="宋体" w:cs="宋体"/>
          <w:b/>
          <w:bCs/>
          <w:color w:val="000000"/>
          <w:spacing w:val="0"/>
          <w:w w:val="100"/>
          <w:position w:val="0"/>
          <w:sz w:val="32"/>
          <w:szCs w:val="32"/>
          <w:u w:val="none"/>
          <w:shd w:val="clear" w:color="auto" w:fill="auto"/>
          <w:lang w:val="zh-TW" w:eastAsia="zh-TW" w:bidi="zh-TW"/>
        </w:rPr>
        <w:t>附件</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ascii="宋体" w:hAnsi="宋体" w:eastAsia="宋体" w:cs="宋体"/>
          <w:color w:val="000000"/>
          <w:spacing w:val="0"/>
          <w:w w:val="100"/>
          <w:position w:val="0"/>
          <w:sz w:val="24"/>
          <w:szCs w:val="24"/>
          <w:u w:val="none"/>
          <w:shd w:val="clear" w:color="auto" w:fill="auto"/>
          <w:lang w:val="zh-TW" w:eastAsia="zh-TW" w:bidi="zh-TW"/>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48"/>
          <w:szCs w:val="48"/>
          <w:u w:val="none"/>
          <w:shd w:val="clear" w:color="auto" w:fill="auto"/>
          <w:lang w:val="zh-TW" w:eastAsia="zh-TW" w:bidi="zh-TW"/>
        </w:rPr>
      </w:pPr>
      <w:r>
        <w:rPr>
          <w:rFonts w:hint="eastAsia" w:ascii="宋体" w:hAnsi="宋体" w:eastAsia="宋体" w:cs="宋体"/>
          <w:b/>
          <w:bCs/>
          <w:color w:val="000000"/>
          <w:spacing w:val="0"/>
          <w:w w:val="100"/>
          <w:position w:val="0"/>
          <w:sz w:val="48"/>
          <w:szCs w:val="48"/>
          <w:u w:val="none"/>
          <w:shd w:val="clear" w:color="auto" w:fill="auto"/>
          <w:lang w:val="zh-TW" w:eastAsia="zh-TW" w:bidi="zh-TW"/>
        </w:rPr>
        <w:t>省级相关职能部门重点任务分工</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4"/>
          <w:szCs w:val="24"/>
          <w:u w:val="none"/>
          <w:shd w:val="clear" w:color="auto" w:fill="auto"/>
          <w:lang w:val="zh-TW" w:eastAsia="zh-TW" w:bidi="zh-TW"/>
        </w:rPr>
      </w:pPr>
    </w:p>
    <w:tbl>
      <w:tblPr>
        <w:tblStyle w:val="2"/>
        <w:tblW w:w="4575" w:type="pct"/>
        <w:jc w:val="center"/>
        <w:tblLayout w:type="autofit"/>
        <w:tblCellMar>
          <w:top w:w="0" w:type="dxa"/>
          <w:left w:w="10" w:type="dxa"/>
          <w:bottom w:w="0" w:type="dxa"/>
          <w:right w:w="10" w:type="dxa"/>
        </w:tblCellMar>
      </w:tblPr>
      <w:tblGrid>
        <w:gridCol w:w="892"/>
        <w:gridCol w:w="9531"/>
        <w:gridCol w:w="2367"/>
      </w:tblGrid>
      <w:tr>
        <w:tblPrEx>
          <w:tblCellMar>
            <w:top w:w="0" w:type="dxa"/>
            <w:left w:w="10" w:type="dxa"/>
            <w:bottom w:w="0" w:type="dxa"/>
            <w:right w:w="10" w:type="dxa"/>
          </w:tblCellMar>
        </w:tblPrEx>
        <w:trPr>
          <w:trHeight w:val="706" w:hRule="exact"/>
          <w:jc w:val="center"/>
        </w:trPr>
        <w:tc>
          <w:tcPr>
            <w:tcW w:w="349" w:type="pc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序号</w:t>
            </w:r>
          </w:p>
        </w:tc>
        <w:tc>
          <w:tcPr>
            <w:tcW w:w="3725" w:type="pc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任</w:t>
            </w:r>
            <w:r>
              <w:rPr>
                <w:rFonts w:hint="eastAsia" w:ascii="仿宋" w:hAnsi="仿宋" w:eastAsia="仿宋" w:cs="仿宋"/>
                <w:b/>
                <w:bCs/>
                <w:color w:val="000000"/>
                <w:spacing w:val="0"/>
                <w:w w:val="100"/>
                <w:position w:val="0"/>
                <w:sz w:val="32"/>
                <w:szCs w:val="32"/>
                <w:u w:val="none"/>
                <w:shd w:val="clear" w:color="auto" w:fill="auto"/>
                <w:lang w:val="zh-TW" w:eastAsia="zh-CN" w:bidi="zh-TW"/>
              </w:rPr>
              <w:t>　　</w:t>
            </w:r>
            <w:r>
              <w:rPr>
                <w:rFonts w:hint="eastAsia" w:ascii="仿宋" w:hAnsi="仿宋" w:eastAsia="仿宋" w:cs="仿宋"/>
                <w:b/>
                <w:bCs/>
                <w:color w:val="000000"/>
                <w:spacing w:val="0"/>
                <w:w w:val="100"/>
                <w:position w:val="0"/>
                <w:sz w:val="32"/>
                <w:szCs w:val="32"/>
                <w:u w:val="none"/>
                <w:shd w:val="clear" w:color="auto" w:fill="auto"/>
                <w:lang w:val="zh-TW" w:eastAsia="zh-TW" w:bidi="zh-TW"/>
              </w:rPr>
              <w:t>务</w:t>
            </w:r>
          </w:p>
        </w:tc>
        <w:tc>
          <w:tcPr>
            <w:tcW w:w="925" w:type="pct"/>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牵头部门</w:t>
            </w:r>
          </w:p>
        </w:tc>
      </w:tr>
      <w:tr>
        <w:tblPrEx>
          <w:tblCellMar>
            <w:top w:w="0" w:type="dxa"/>
            <w:left w:w="10" w:type="dxa"/>
            <w:bottom w:w="0" w:type="dxa"/>
            <w:right w:w="10" w:type="dxa"/>
          </w:tblCellMar>
        </w:tblPrEx>
        <w:trPr>
          <w:trHeight w:val="1418" w:hRule="exact"/>
          <w:jc w:val="center"/>
        </w:trPr>
        <w:tc>
          <w:tcPr>
            <w:tcW w:w="349" w:type="pc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1</w:t>
            </w:r>
          </w:p>
        </w:tc>
        <w:tc>
          <w:tcPr>
            <w:tcW w:w="3725" w:type="pc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3" w:lineRule="exact"/>
              <w:ind w:left="0" w:leftChars="0" w:right="0" w:rightChars="0" w:firstLine="0" w:firstLineChars="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协调督导各地制定智能建造与新型建筑工业协同发展规划、年度计划和目标任务，按照本实施意见要求落实智能建造和新型建筑工业化的相关项目建设。</w:t>
            </w:r>
          </w:p>
        </w:tc>
        <w:tc>
          <w:tcPr>
            <w:tcW w:w="925" w:type="pct"/>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省发改委</w:t>
            </w:r>
          </w:p>
        </w:tc>
      </w:tr>
      <w:tr>
        <w:tblPrEx>
          <w:tblCellMar>
            <w:top w:w="0" w:type="dxa"/>
            <w:left w:w="10" w:type="dxa"/>
            <w:bottom w:w="0" w:type="dxa"/>
            <w:right w:w="10" w:type="dxa"/>
          </w:tblCellMar>
        </w:tblPrEx>
        <w:trPr>
          <w:trHeight w:val="1411" w:hRule="exact"/>
          <w:jc w:val="center"/>
        </w:trPr>
        <w:tc>
          <w:tcPr>
            <w:tcW w:w="349" w:type="pc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2</w:t>
            </w:r>
          </w:p>
        </w:tc>
        <w:tc>
          <w:tcPr>
            <w:tcW w:w="3725" w:type="pc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2" w:lineRule="exact"/>
              <w:ind w:left="0" w:leftChars="0" w:right="0" w:rightChars="0" w:firstLine="0" w:firstLineChars="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指导开设建筑类专业的相关院校对接行业、产业需求，优化专业人才培养方案。指导有条件的院校开设装配式建筑相关课程，为装配式建筑培养专门人才。围绕国家战略需求，加大对新型建筑相关领域科研项目立项建设的支持力度，重点布局新型建筑相关领域科研平台建设。</w:t>
            </w:r>
          </w:p>
        </w:tc>
        <w:tc>
          <w:tcPr>
            <w:tcW w:w="925" w:type="pct"/>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省教育厅</w:t>
            </w:r>
          </w:p>
        </w:tc>
      </w:tr>
      <w:tr>
        <w:tblPrEx>
          <w:tblCellMar>
            <w:top w:w="0" w:type="dxa"/>
            <w:left w:w="10" w:type="dxa"/>
            <w:bottom w:w="0" w:type="dxa"/>
            <w:right w:w="10" w:type="dxa"/>
          </w:tblCellMar>
        </w:tblPrEx>
        <w:trPr>
          <w:trHeight w:val="1426" w:hRule="exact"/>
          <w:jc w:val="center"/>
        </w:trPr>
        <w:tc>
          <w:tcPr>
            <w:tcW w:w="349" w:type="pc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3</w:t>
            </w:r>
          </w:p>
        </w:tc>
        <w:tc>
          <w:tcPr>
            <w:tcW w:w="3725" w:type="pct"/>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2" w:lineRule="exact"/>
              <w:ind w:left="0" w:leftChars="0" w:right="0" w:rightChars="0" w:firstLine="0" w:firstLineChars="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以需求为导向，以项目为引领，支持绿色建筑关键技术科技创新，重点围绕低能耗装配式住宅、新型建筑材料、建筑施工工艺、宜居城市建设、地下工程、智能家居等方面，引导开展技术攻关，力争突破一批绿色建筑关键技术，提升绿色建筑技术创新水平。</w:t>
            </w:r>
          </w:p>
        </w:tc>
        <w:tc>
          <w:tcPr>
            <w:tcW w:w="925" w:type="pct"/>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省科技厅</w:t>
            </w:r>
          </w:p>
        </w:tc>
      </w:tr>
      <w:tr>
        <w:tblPrEx>
          <w:tblCellMar>
            <w:top w:w="0" w:type="dxa"/>
            <w:left w:w="10" w:type="dxa"/>
            <w:bottom w:w="0" w:type="dxa"/>
            <w:right w:w="10" w:type="dxa"/>
          </w:tblCellMar>
        </w:tblPrEx>
        <w:trPr>
          <w:trHeight w:val="1440" w:hRule="exact"/>
          <w:jc w:val="center"/>
        </w:trPr>
        <w:tc>
          <w:tcPr>
            <w:tcW w:w="349" w:type="pct"/>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4</w:t>
            </w:r>
          </w:p>
        </w:tc>
        <w:tc>
          <w:tcPr>
            <w:tcW w:w="3725" w:type="pct"/>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312" w:lineRule="exact"/>
              <w:ind w:left="0" w:leftChars="0" w:right="0" w:rightChars="0" w:firstLine="0" w:firstLineChars="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鼓励和支持建筑行业开展两化融合、参与国家两化融合管理体系贯标，支持和引导有条件的企业发展工业互联网，鼓励企业上平台用平台，提升建筑行业数字化网络化智能化水平。支持部品构件生产企业进行重大技术改造和创新，促进软件、数据、服务、信息等资源开放共享。</w:t>
            </w:r>
          </w:p>
        </w:tc>
        <w:tc>
          <w:tcPr>
            <w:tcW w:w="925" w:type="pc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leftChars="0" w:right="0" w:rightChars="0" w:firstLine="0" w:firstLineChars="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省工信厅</w:t>
            </w:r>
          </w:p>
        </w:tc>
      </w:tr>
    </w:tbl>
    <w:p>
      <w:pPr>
        <w:widowControl w:val="0"/>
        <w:shd w:val="clear" w:color="auto" w:fill="auto"/>
        <w:spacing w:line="1" w:lineRule="exact"/>
        <w:rPr>
          <w:rFonts w:hint="eastAsia" w:ascii="仿宋" w:hAnsi="仿宋" w:eastAsia="仿宋" w:cs="仿宋"/>
          <w:sz w:val="28"/>
          <w:szCs w:val="28"/>
        </w:rPr>
      </w:pPr>
      <w:r>
        <w:rPr>
          <w:rFonts w:hint="eastAsia" w:ascii="仿宋" w:hAnsi="仿宋" w:eastAsia="仿宋" w:cs="仿宋"/>
          <w:sz w:val="28"/>
          <w:szCs w:val="28"/>
        </w:rPr>
        <w:br w:type="page"/>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86"/>
        <w:gridCol w:w="9573"/>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4"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序号</w:t>
            </w:r>
          </w:p>
        </w:tc>
        <w:tc>
          <w:tcPr>
            <w:tcW w:w="9573" w:type="dxa"/>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任</w:t>
            </w:r>
            <w:r>
              <w:rPr>
                <w:rFonts w:hint="eastAsia" w:ascii="仿宋" w:hAnsi="仿宋" w:eastAsia="仿宋" w:cs="仿宋"/>
                <w:b/>
                <w:bCs/>
                <w:color w:val="000000"/>
                <w:spacing w:val="0"/>
                <w:w w:val="100"/>
                <w:position w:val="0"/>
                <w:sz w:val="32"/>
                <w:szCs w:val="32"/>
                <w:u w:val="none"/>
                <w:shd w:val="clear" w:color="auto" w:fill="auto"/>
                <w:lang w:val="zh-TW" w:eastAsia="zh-CN" w:bidi="zh-TW"/>
              </w:rPr>
              <w:t>　　</w:t>
            </w:r>
            <w:r>
              <w:rPr>
                <w:rFonts w:hint="eastAsia" w:ascii="仿宋" w:hAnsi="仿宋" w:eastAsia="仿宋" w:cs="仿宋"/>
                <w:b/>
                <w:bCs/>
                <w:color w:val="000000"/>
                <w:spacing w:val="0"/>
                <w:w w:val="100"/>
                <w:position w:val="0"/>
                <w:sz w:val="32"/>
                <w:szCs w:val="32"/>
                <w:u w:val="none"/>
                <w:shd w:val="clear" w:color="auto" w:fill="auto"/>
                <w:lang w:val="zh-TW" w:eastAsia="zh-TW" w:bidi="zh-TW"/>
              </w:rPr>
              <w:t>务</w:t>
            </w:r>
          </w:p>
        </w:tc>
        <w:tc>
          <w:tcPr>
            <w:tcW w:w="2372" w:type="dxa"/>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61"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5</w:t>
            </w:r>
          </w:p>
        </w:tc>
        <w:tc>
          <w:tcPr>
            <w:tcW w:w="9573" w:type="dxa"/>
            <w:shd w:val="clear" w:color="auto" w:fill="FFFFFF"/>
            <w:vAlign w:val="center"/>
          </w:tcPr>
          <w:p>
            <w:pPr>
              <w:keepNext w:val="0"/>
              <w:keepLines w:val="0"/>
              <w:widowControl w:val="0"/>
              <w:shd w:val="clear" w:color="auto" w:fill="auto"/>
              <w:bidi w:val="0"/>
              <w:spacing w:before="0" w:after="0" w:line="317"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各级政府要建立支持建筑智能化、工业化发展的资金投入机制，用好现有专项资金，研究创新资金投入方式，充分发挥财政资金的引导作用，调动社会资本参与的积极性，加快推动智能建造与新型建筑工业化协同发展。</w:t>
            </w:r>
          </w:p>
        </w:tc>
        <w:tc>
          <w:tcPr>
            <w:tcW w:w="2372" w:type="dxa"/>
            <w:shd w:val="clear" w:color="auto" w:fill="FFFFFF"/>
            <w:vAlign w:val="center"/>
          </w:tcPr>
          <w:p>
            <w:pPr>
              <w:keepNext w:val="0"/>
              <w:keepLines w:val="0"/>
              <w:widowControl w:val="0"/>
              <w:shd w:val="clear" w:color="auto" w:fill="auto"/>
              <w:bidi w:val="0"/>
              <w:spacing w:before="0" w:after="0" w:line="302"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省住建厅</w:t>
            </w:r>
          </w:p>
          <w:p>
            <w:pPr>
              <w:keepNext w:val="0"/>
              <w:keepLines w:val="0"/>
              <w:widowControl w:val="0"/>
              <w:shd w:val="clear" w:color="auto" w:fill="auto"/>
              <w:bidi w:val="0"/>
              <w:spacing w:before="0" w:after="0" w:line="302"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988"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360"/>
              <w:jc w:val="left"/>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6</w:t>
            </w:r>
          </w:p>
        </w:tc>
        <w:tc>
          <w:tcPr>
            <w:tcW w:w="9573" w:type="dxa"/>
            <w:shd w:val="clear" w:color="auto" w:fill="FFFFFF"/>
            <w:vAlign w:val="center"/>
          </w:tcPr>
          <w:p>
            <w:pPr>
              <w:keepNext w:val="0"/>
              <w:keepLines w:val="0"/>
              <w:widowControl w:val="0"/>
              <w:shd w:val="clear" w:color="auto" w:fill="auto"/>
              <w:bidi w:val="0"/>
              <w:spacing w:before="0" w:after="0" w:line="315"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对用人单位引进符合《陕西省突出贡献人才和引进高层次人才高级职称考核认定办法》的智能建造高层次人才直接考核认定高级职称。组织全省智能建造人才参加人社部门每年举办的智能建造领域的高级研修班，支持智能建造人才参与博士后、留学回国人员资助等中央、省级人才项目。落实好现有各项人才政策，协助做好适应新型建筑工业化专业技术人才培养，将工程建设领域技能人才培训纳入全省职业技能培训计划。</w:t>
            </w:r>
          </w:p>
        </w:tc>
        <w:tc>
          <w:tcPr>
            <w:tcW w:w="2372" w:type="dxa"/>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省人社厅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60"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360"/>
              <w:jc w:val="left"/>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7</w:t>
            </w:r>
          </w:p>
        </w:tc>
        <w:tc>
          <w:tcPr>
            <w:tcW w:w="9573" w:type="dxa"/>
            <w:shd w:val="clear" w:color="auto" w:fill="FFFFFF"/>
            <w:vAlign w:val="center"/>
          </w:tcPr>
          <w:p>
            <w:pPr>
              <w:keepNext w:val="0"/>
              <w:keepLines w:val="0"/>
              <w:widowControl w:val="0"/>
              <w:shd w:val="clear" w:color="auto" w:fill="auto"/>
              <w:bidi w:val="0"/>
              <w:spacing w:before="0" w:after="0" w:line="317"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指导各地做好智能建造与新型建筑工业化协同发展的专项规划、年度计划，优先合理安排用地。</w:t>
            </w:r>
          </w:p>
        </w:tc>
        <w:tc>
          <w:tcPr>
            <w:tcW w:w="2372" w:type="dxa"/>
            <w:shd w:val="clear" w:color="auto" w:fill="FFFFFF"/>
            <w:vAlign w:val="center"/>
          </w:tcPr>
          <w:p>
            <w:pPr>
              <w:keepNext w:val="0"/>
              <w:keepLines w:val="0"/>
              <w:widowControl w:val="0"/>
              <w:shd w:val="clear" w:color="auto" w:fill="auto"/>
              <w:bidi w:val="0"/>
              <w:spacing w:before="0" w:after="0" w:line="317"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省自然资源厅</w:t>
            </w:r>
          </w:p>
          <w:p>
            <w:pPr>
              <w:keepNext w:val="0"/>
              <w:keepLines w:val="0"/>
              <w:widowControl w:val="0"/>
              <w:shd w:val="clear" w:color="auto" w:fill="auto"/>
              <w:bidi w:val="0"/>
              <w:spacing w:before="0" w:after="0" w:line="317"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030"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360"/>
              <w:jc w:val="left"/>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8</w:t>
            </w:r>
          </w:p>
        </w:tc>
        <w:tc>
          <w:tcPr>
            <w:tcW w:w="9573" w:type="dxa"/>
            <w:shd w:val="clear" w:color="auto" w:fill="FFFFFF"/>
            <w:vAlign w:val="center"/>
          </w:tcPr>
          <w:p>
            <w:pPr>
              <w:keepNext w:val="0"/>
              <w:keepLines w:val="0"/>
              <w:widowControl w:val="0"/>
              <w:shd w:val="clear" w:color="auto" w:fill="auto"/>
              <w:bidi w:val="0"/>
              <w:spacing w:before="0" w:after="0" w:line="324"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指导各地开展智能建筑和新型建筑工业化生产基地、工程项目相关环保审批服务工作。</w:t>
            </w:r>
          </w:p>
        </w:tc>
        <w:tc>
          <w:tcPr>
            <w:tcW w:w="2372" w:type="dxa"/>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77"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360"/>
              <w:jc w:val="left"/>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9</w:t>
            </w:r>
          </w:p>
        </w:tc>
        <w:tc>
          <w:tcPr>
            <w:tcW w:w="9573" w:type="dxa"/>
            <w:shd w:val="clear" w:color="auto" w:fill="FFFFFF"/>
            <w:vAlign w:val="center"/>
          </w:tcPr>
          <w:p>
            <w:pPr>
              <w:keepNext w:val="0"/>
              <w:keepLines w:val="0"/>
              <w:widowControl w:val="0"/>
              <w:shd w:val="clear" w:color="auto" w:fill="auto"/>
              <w:bidi w:val="0"/>
              <w:spacing w:before="0" w:after="0" w:line="315"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会同相关部门制定具体实施意见，搭建建筑产业互联网平台，督导各地各部门制定专项规划、年度计划和目标任务并组织实施。做好建筑工业化企业主体、示范基地、产业工人培育发展工作，支持企业开展战略合作和兼并重组，培育打造一批新型建筑工业化产业联盟。负责装配式建筑、住宅全装修项目设计、施工、监理、验收等市场监管工作，完善适应绿色建筑、装配式建筑、住宅全装修等建筑工业化技术标准体系。</w:t>
            </w:r>
          </w:p>
        </w:tc>
        <w:tc>
          <w:tcPr>
            <w:tcW w:w="2372" w:type="dxa"/>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省住建厅</w:t>
            </w:r>
          </w:p>
        </w:tc>
      </w:tr>
    </w:tbl>
    <w:p>
      <w:pPr>
        <w:widowControl w:val="0"/>
        <w:shd w:val="clear" w:color="auto" w:fill="auto"/>
        <w:spacing w:line="1" w:lineRule="exact"/>
        <w:rPr>
          <w:rFonts w:hint="eastAsia" w:ascii="仿宋" w:hAnsi="仿宋" w:eastAsia="仿宋" w:cs="仿宋"/>
          <w:sz w:val="28"/>
          <w:szCs w:val="28"/>
        </w:rPr>
      </w:pPr>
      <w:r>
        <w:rPr>
          <w:rFonts w:hint="eastAsia" w:ascii="仿宋" w:hAnsi="仿宋" w:eastAsia="仿宋" w:cs="仿宋"/>
          <w:sz w:val="28"/>
          <w:szCs w:val="28"/>
        </w:rPr>
        <w:br w:type="page"/>
      </w:r>
    </w:p>
    <w:tbl>
      <w:tblPr>
        <w:tblStyle w:val="2"/>
        <w:tblW w:w="0" w:type="auto"/>
        <w:jc w:val="center"/>
        <w:tblLayout w:type="fixed"/>
        <w:tblCellMar>
          <w:top w:w="0" w:type="dxa"/>
          <w:left w:w="10" w:type="dxa"/>
          <w:bottom w:w="0" w:type="dxa"/>
          <w:right w:w="10" w:type="dxa"/>
        </w:tblCellMar>
      </w:tblPr>
      <w:tblGrid>
        <w:gridCol w:w="871"/>
        <w:gridCol w:w="9367"/>
        <w:gridCol w:w="2563"/>
      </w:tblGrid>
      <w:tr>
        <w:tblPrEx>
          <w:tblCellMar>
            <w:top w:w="0" w:type="dxa"/>
            <w:left w:w="10" w:type="dxa"/>
            <w:bottom w:w="0" w:type="dxa"/>
            <w:right w:w="10" w:type="dxa"/>
          </w:tblCellMar>
        </w:tblPrEx>
        <w:trPr>
          <w:trHeight w:val="691"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序号</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任</w:t>
            </w:r>
            <w:r>
              <w:rPr>
                <w:rFonts w:hint="eastAsia" w:ascii="仿宋" w:hAnsi="仿宋" w:eastAsia="仿宋" w:cs="仿宋"/>
                <w:b/>
                <w:bCs/>
                <w:color w:val="000000"/>
                <w:spacing w:val="0"/>
                <w:w w:val="100"/>
                <w:position w:val="0"/>
                <w:sz w:val="32"/>
                <w:szCs w:val="32"/>
                <w:u w:val="none"/>
                <w:shd w:val="clear" w:color="auto" w:fill="auto"/>
                <w:lang w:val="zh-TW" w:eastAsia="zh-CN" w:bidi="zh-TW"/>
              </w:rPr>
              <w:t>　　</w:t>
            </w:r>
            <w:r>
              <w:rPr>
                <w:rFonts w:hint="eastAsia" w:ascii="仿宋" w:hAnsi="仿宋" w:eastAsia="仿宋" w:cs="仿宋"/>
                <w:b/>
                <w:bCs/>
                <w:color w:val="000000"/>
                <w:spacing w:val="0"/>
                <w:w w:val="100"/>
                <w:position w:val="0"/>
                <w:sz w:val="32"/>
                <w:szCs w:val="32"/>
                <w:u w:val="none"/>
                <w:shd w:val="clear" w:color="auto" w:fill="auto"/>
                <w:lang w:val="zh-TW" w:eastAsia="zh-TW" w:bidi="zh-TW"/>
              </w:rPr>
              <w:t>务</w:t>
            </w:r>
          </w:p>
        </w:tc>
        <w:tc>
          <w:tcPr>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牵头部门</w:t>
            </w:r>
          </w:p>
        </w:tc>
      </w:tr>
      <w:tr>
        <w:tblPrEx>
          <w:tblCellMar>
            <w:top w:w="0" w:type="dxa"/>
            <w:left w:w="10" w:type="dxa"/>
            <w:bottom w:w="0" w:type="dxa"/>
            <w:right w:w="10" w:type="dxa"/>
          </w:tblCellMar>
        </w:tblPrEx>
        <w:trPr>
          <w:trHeight w:val="4395"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10</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5"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推进钢结构桥梁建设标准设计、装配化施工，持续创建钢结构桥梁建设示范项目，优先推广箱涵通道装配式技术。推广采用设计施工（含制造、安装）总承包等方式发包桥梁上部建造任务，提高钢结构桥梁建设专业水平。积极应用自动化、智能化的制造、焊接、涂装和质量检测技术，提高钢结构桥梁质量。具备条件的高速公路项目，鼓励服务区、收费站等沿线房屋设施采用装配式建造。鼓励发包单位在招投标条件中明确要求采用</w:t>
            </w:r>
            <w:r>
              <w:rPr>
                <w:rFonts w:hint="eastAsia" w:ascii="仿宋" w:hAnsi="仿宋" w:eastAsia="仿宋" w:cs="仿宋"/>
                <w:color w:val="000000"/>
                <w:spacing w:val="0"/>
                <w:w w:val="100"/>
                <w:position w:val="0"/>
                <w:sz w:val="28"/>
                <w:szCs w:val="28"/>
                <w:u w:val="none"/>
                <w:shd w:val="clear" w:color="auto" w:fill="auto"/>
                <w:lang w:val="en-US" w:eastAsia="en-US" w:bidi="en-US"/>
              </w:rPr>
              <w:t>BIM</w:t>
            </w:r>
            <w:r>
              <w:rPr>
                <w:rFonts w:hint="eastAsia" w:ascii="仿宋" w:hAnsi="仿宋" w:eastAsia="仿宋" w:cs="仿宋"/>
                <w:color w:val="000000"/>
                <w:spacing w:val="0"/>
                <w:w w:val="100"/>
                <w:position w:val="0"/>
                <w:sz w:val="28"/>
                <w:szCs w:val="28"/>
                <w:u w:val="none"/>
                <w:shd w:val="clear" w:color="auto" w:fill="auto"/>
                <w:lang w:val="zh-TW" w:eastAsia="zh-TW" w:bidi="zh-TW"/>
              </w:rPr>
              <w:t>技术，初步设计鼓励同时提交</w:t>
            </w:r>
            <w:r>
              <w:rPr>
                <w:rFonts w:hint="eastAsia" w:ascii="仿宋" w:hAnsi="仿宋" w:eastAsia="仿宋" w:cs="仿宋"/>
                <w:color w:val="000000"/>
                <w:spacing w:val="0"/>
                <w:w w:val="100"/>
                <w:position w:val="0"/>
                <w:sz w:val="28"/>
                <w:szCs w:val="28"/>
                <w:u w:val="none"/>
                <w:shd w:val="clear" w:color="auto" w:fill="auto"/>
                <w:lang w:val="en-US" w:eastAsia="en-US" w:bidi="en-US"/>
              </w:rPr>
              <w:t>BIM</w:t>
            </w:r>
            <w:r>
              <w:rPr>
                <w:rFonts w:hint="eastAsia" w:ascii="仿宋" w:hAnsi="仿宋" w:eastAsia="仿宋" w:cs="仿宋"/>
                <w:color w:val="000000"/>
                <w:spacing w:val="0"/>
                <w:w w:val="100"/>
                <w:position w:val="0"/>
                <w:sz w:val="28"/>
                <w:szCs w:val="28"/>
                <w:u w:val="none"/>
                <w:shd w:val="clear" w:color="auto" w:fill="auto"/>
                <w:lang w:val="zh-TW" w:eastAsia="zh-TW" w:bidi="zh-TW"/>
              </w:rPr>
              <w:t>数据形式表述的总体设计方案，技术复杂的大桥、地质水文条件复杂的隧道等工程鼓励提交</w:t>
            </w:r>
            <w:r>
              <w:rPr>
                <w:rFonts w:hint="eastAsia" w:ascii="仿宋" w:hAnsi="仿宋" w:eastAsia="仿宋" w:cs="仿宋"/>
                <w:color w:val="000000"/>
                <w:spacing w:val="0"/>
                <w:w w:val="100"/>
                <w:position w:val="0"/>
                <w:sz w:val="28"/>
                <w:szCs w:val="28"/>
                <w:u w:val="none"/>
                <w:shd w:val="clear" w:color="auto" w:fill="auto"/>
                <w:lang w:val="en-US" w:eastAsia="en-US" w:bidi="en-US"/>
              </w:rPr>
              <w:t>BIM</w:t>
            </w:r>
            <w:r>
              <w:rPr>
                <w:rFonts w:hint="eastAsia" w:ascii="仿宋" w:hAnsi="仿宋" w:eastAsia="仿宋" w:cs="仿宋"/>
                <w:color w:val="000000"/>
                <w:spacing w:val="0"/>
                <w:w w:val="100"/>
                <w:position w:val="0"/>
                <w:sz w:val="28"/>
                <w:szCs w:val="28"/>
                <w:u w:val="none"/>
                <w:shd w:val="clear" w:color="auto" w:fill="auto"/>
                <w:lang w:val="zh-TW" w:eastAsia="zh-TW" w:bidi="zh-TW"/>
              </w:rPr>
              <w:t>数据表述的总体布置及关键结构方案。改进技术复杂的大桥、隧道等工程项目各参建单位的技术交流方式，压缩管理层次。全力提升隧道机械化施工、钢结构工厂化施工、桥梁装配化施工的比重，推动矿渣、废旧轮胎等工业废料的综合利用，加强隧道等设施节能设计，服务区、收费站等房屋设施因地制宜采用自然采光、自然通风。协助做好装配式建筑预制部品构件物流公路运输畅通服务工作。</w:t>
            </w:r>
          </w:p>
        </w:tc>
        <w:tc>
          <w:tcPr>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省交通运输厅</w:t>
            </w:r>
          </w:p>
        </w:tc>
      </w:tr>
      <w:tr>
        <w:tblPrEx>
          <w:tblCellMar>
            <w:top w:w="0" w:type="dxa"/>
            <w:left w:w="10" w:type="dxa"/>
            <w:bottom w:w="0" w:type="dxa"/>
            <w:right w:w="10" w:type="dxa"/>
          </w:tblCellMar>
        </w:tblPrEx>
        <w:trPr>
          <w:trHeight w:val="1483" w:hRule="exact"/>
          <w:jc w:val="center"/>
        </w:trPr>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11</w:t>
            </w:r>
          </w:p>
        </w:tc>
        <w:tc>
          <w:tcPr>
            <w:tcBorders>
              <w:top w:val="single" w:color="auto" w:sz="4" w:space="0"/>
              <w:left w:val="single" w:color="auto" w:sz="4" w:space="0"/>
            </w:tcBorders>
            <w:shd w:val="clear" w:color="auto" w:fill="FFFFFF"/>
            <w:vAlign w:val="center"/>
          </w:tcPr>
          <w:p>
            <w:pPr>
              <w:keepNext w:val="0"/>
              <w:keepLines w:val="0"/>
              <w:widowControl w:val="0"/>
              <w:shd w:val="clear" w:color="auto" w:fill="auto"/>
              <w:bidi w:val="0"/>
              <w:spacing w:before="0" w:after="0" w:line="313"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指导各地做好智能建筑和新型建筑工业化生产基地、工程项目相关水土保持审批服务及节水设施建设等工作，并负责推进水利工程领域适应新型建筑工业化发展的相关工作。</w:t>
            </w:r>
          </w:p>
        </w:tc>
        <w:tc>
          <w:tcPr>
            <w:tcBorders>
              <w:top w:val="single" w:color="auto" w:sz="4" w:space="0"/>
              <w:left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省水利厅</w:t>
            </w:r>
          </w:p>
        </w:tc>
      </w:tr>
      <w:tr>
        <w:tblPrEx>
          <w:tblCellMar>
            <w:top w:w="0" w:type="dxa"/>
            <w:left w:w="10" w:type="dxa"/>
            <w:bottom w:w="0" w:type="dxa"/>
            <w:right w:w="10" w:type="dxa"/>
          </w:tblCellMar>
        </w:tblPrEx>
        <w:trPr>
          <w:trHeight w:val="1505" w:hRule="exact"/>
          <w:jc w:val="center"/>
        </w:trPr>
        <w:tc>
          <w:tcPr>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default" w:ascii="仿宋" w:hAnsi="仿宋" w:eastAsia="仿宋" w:cs="仿宋"/>
                <w:i w:val="0"/>
                <w:iCs w:val="0"/>
                <w:color w:val="000000"/>
                <w:spacing w:val="0"/>
                <w:w w:val="100"/>
                <w:position w:val="0"/>
                <w:sz w:val="28"/>
                <w:szCs w:val="28"/>
                <w:u w:val="none"/>
                <w:shd w:val="clear" w:color="auto" w:fill="auto"/>
                <w:lang w:val="en-US" w:eastAsia="zh-CN" w:bidi="zh-TW"/>
              </w:rPr>
            </w:pPr>
            <w:r>
              <w:rPr>
                <w:rFonts w:hint="eastAsia" w:ascii="仿宋" w:hAnsi="仿宋" w:eastAsia="仿宋" w:cs="仿宋"/>
                <w:i w:val="0"/>
                <w:iCs w:val="0"/>
                <w:color w:val="000000"/>
                <w:spacing w:val="0"/>
                <w:w w:val="100"/>
                <w:position w:val="0"/>
                <w:sz w:val="28"/>
                <w:szCs w:val="28"/>
                <w:u w:val="none"/>
                <w:shd w:val="clear" w:color="auto" w:fill="auto"/>
                <w:lang w:val="en-US" w:eastAsia="zh-CN" w:bidi="zh-TW"/>
              </w:rPr>
              <w:t>12</w:t>
            </w:r>
          </w:p>
        </w:tc>
        <w:tc>
          <w:tcPr>
            <w:tcBorders>
              <w:top w:val="single" w:color="auto" w:sz="4" w:space="0"/>
              <w:left w:val="single" w:color="auto" w:sz="4" w:space="0"/>
              <w:bottom w:val="single" w:color="auto" w:sz="4" w:space="0"/>
            </w:tcBorders>
            <w:shd w:val="clear" w:color="auto" w:fill="FFFFFF"/>
            <w:vAlign w:val="center"/>
          </w:tcPr>
          <w:p>
            <w:pPr>
              <w:keepNext w:val="0"/>
              <w:keepLines w:val="0"/>
              <w:widowControl w:val="0"/>
              <w:shd w:val="clear" w:color="auto" w:fill="auto"/>
              <w:bidi w:val="0"/>
              <w:spacing w:before="0" w:after="0" w:line="317"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加强税收宣传，优化纳税服务，推动企业购置使用智能建造重大技术装备税收优惠政策的落实，使购置使用智能建造重大技术装备的企业能够按照规定享受企业所得税、进口税收等优惠政策。</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hd w:val="clear" w:color="auto" w:fill="auto"/>
              <w:bidi w:val="0"/>
              <w:spacing w:before="0" w:after="0" w:line="320"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国家税务总局</w:t>
            </w:r>
          </w:p>
          <w:p>
            <w:pPr>
              <w:keepNext w:val="0"/>
              <w:keepLines w:val="0"/>
              <w:widowControl w:val="0"/>
              <w:shd w:val="clear" w:color="auto" w:fill="auto"/>
              <w:bidi w:val="0"/>
              <w:spacing w:before="0" w:after="0" w:line="320"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陕西省税务局</w:t>
            </w:r>
          </w:p>
          <w:p>
            <w:pPr>
              <w:keepNext w:val="0"/>
              <w:keepLines w:val="0"/>
              <w:widowControl w:val="0"/>
              <w:shd w:val="clear" w:color="auto" w:fill="auto"/>
              <w:bidi w:val="0"/>
              <w:spacing w:before="0" w:after="0" w:line="320"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西安海关</w:t>
            </w:r>
          </w:p>
        </w:tc>
      </w:tr>
    </w:tbl>
    <w:p>
      <w:pPr>
        <w:widowControl w:val="0"/>
        <w:shd w:val="clear" w:color="auto" w:fill="auto"/>
        <w:spacing w:line="1" w:lineRule="exact"/>
        <w:rPr>
          <w:rFonts w:hint="eastAsia" w:ascii="仿宋" w:hAnsi="仿宋" w:eastAsia="仿宋" w:cs="仿宋"/>
          <w:sz w:val="28"/>
          <w:szCs w:val="28"/>
        </w:rPr>
      </w:pPr>
      <w:r>
        <w:rPr>
          <w:rFonts w:hint="eastAsia" w:ascii="仿宋" w:hAnsi="仿宋" w:eastAsia="仿宋" w:cs="仿宋"/>
          <w:sz w:val="28"/>
          <w:szCs w:val="28"/>
        </w:rPr>
        <w:br w:type="page"/>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86"/>
        <w:gridCol w:w="9360"/>
        <w:gridCol w:w="2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8"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序号</w:t>
            </w:r>
          </w:p>
        </w:tc>
        <w:tc>
          <w:tcPr>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任</w:t>
            </w:r>
            <w:r>
              <w:rPr>
                <w:rFonts w:hint="eastAsia" w:ascii="仿宋" w:hAnsi="仿宋" w:eastAsia="仿宋" w:cs="仿宋"/>
                <w:b/>
                <w:bCs/>
                <w:color w:val="000000"/>
                <w:spacing w:val="0"/>
                <w:w w:val="100"/>
                <w:position w:val="0"/>
                <w:sz w:val="32"/>
                <w:szCs w:val="32"/>
                <w:u w:val="none"/>
                <w:shd w:val="clear" w:color="auto" w:fill="auto"/>
                <w:lang w:val="zh-TW" w:eastAsia="zh-CN" w:bidi="zh-TW"/>
              </w:rPr>
              <w:t>　　</w:t>
            </w:r>
            <w:r>
              <w:rPr>
                <w:rFonts w:hint="eastAsia" w:ascii="仿宋" w:hAnsi="仿宋" w:eastAsia="仿宋" w:cs="仿宋"/>
                <w:b/>
                <w:bCs/>
                <w:color w:val="000000"/>
                <w:spacing w:val="0"/>
                <w:w w:val="100"/>
                <w:position w:val="0"/>
                <w:sz w:val="32"/>
                <w:szCs w:val="32"/>
                <w:u w:val="none"/>
                <w:shd w:val="clear" w:color="auto" w:fill="auto"/>
                <w:lang w:val="zh-TW" w:eastAsia="zh-TW" w:bidi="zh-TW"/>
              </w:rPr>
              <w:t>务</w:t>
            </w:r>
            <w:bookmarkStart w:id="0" w:name="_GoBack"/>
            <w:bookmarkEnd w:id="0"/>
          </w:p>
        </w:tc>
        <w:tc>
          <w:tcPr>
            <w:shd w:val="clear" w:color="auto" w:fill="FFFFFF"/>
            <w:vAlign w:val="center"/>
          </w:tcPr>
          <w:p>
            <w:pPr>
              <w:keepNext w:val="0"/>
              <w:keepLines w:val="0"/>
              <w:widowControl w:val="0"/>
              <w:shd w:val="clear" w:color="auto" w:fill="auto"/>
              <w:bidi w:val="0"/>
              <w:spacing w:before="0" w:after="0" w:line="240" w:lineRule="auto"/>
              <w:ind w:left="0" w:right="0" w:firstLine="680"/>
              <w:jc w:val="both"/>
              <w:rPr>
                <w:rFonts w:hint="eastAsia" w:ascii="仿宋" w:hAnsi="仿宋" w:eastAsia="仿宋" w:cs="仿宋"/>
                <w:b/>
                <w:bCs/>
                <w:color w:val="000000"/>
                <w:spacing w:val="0"/>
                <w:w w:val="100"/>
                <w:position w:val="0"/>
                <w:sz w:val="32"/>
                <w:szCs w:val="32"/>
                <w:u w:val="none"/>
                <w:shd w:val="clear" w:color="auto" w:fill="auto"/>
                <w:lang w:val="zh-TW" w:eastAsia="zh-TW" w:bidi="zh-TW"/>
              </w:rPr>
            </w:pPr>
            <w:r>
              <w:rPr>
                <w:rFonts w:hint="eastAsia" w:ascii="仿宋" w:hAnsi="仿宋" w:eastAsia="仿宋" w:cs="仿宋"/>
                <w:b/>
                <w:bCs/>
                <w:color w:val="000000"/>
                <w:spacing w:val="0"/>
                <w:w w:val="100"/>
                <w:position w:val="0"/>
                <w:sz w:val="32"/>
                <w:szCs w:val="32"/>
                <w:u w:val="none"/>
                <w:shd w:val="clear" w:color="auto" w:fill="auto"/>
                <w:lang w:val="zh-TW" w:eastAsia="zh-TW" w:bidi="zh-TW"/>
              </w:rPr>
              <w:t>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37"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13</w:t>
            </w:r>
          </w:p>
        </w:tc>
        <w:tc>
          <w:tcPr>
            <w:shd w:val="clear" w:color="auto" w:fill="FFFFFF"/>
            <w:vAlign w:val="center"/>
          </w:tcPr>
          <w:p>
            <w:pPr>
              <w:keepNext w:val="0"/>
              <w:keepLines w:val="0"/>
              <w:widowControl w:val="0"/>
              <w:shd w:val="clear" w:color="auto" w:fill="auto"/>
              <w:bidi w:val="0"/>
              <w:spacing w:before="0" w:after="0" w:line="316"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通过非金融企业债务融资工具融资，积极支持新型建筑工业化企业。以服务实体经济为出发点和落脚点，指导金融机构积极推动债券产品创新。加强部门协同配合，做好违约风险预警。推动新型建筑工业化企业直接融资呈现融资规模上升、融资成本下降的</w:t>
            </w:r>
            <w:r>
              <w:rPr>
                <w:rFonts w:hint="eastAsia" w:ascii="仿宋" w:hAnsi="仿宋" w:eastAsia="仿宋" w:cs="仿宋"/>
                <w:color w:val="000000"/>
                <w:spacing w:val="0"/>
                <w:w w:val="100"/>
                <w:position w:val="0"/>
                <w:sz w:val="28"/>
                <w:szCs w:val="28"/>
                <w:u w:val="none"/>
                <w:shd w:val="clear" w:color="auto" w:fill="auto"/>
                <w:lang w:val="zh-CN" w:eastAsia="zh-CN" w:bidi="zh-CN"/>
              </w:rPr>
              <w:t>“一升</w:t>
            </w:r>
            <w:r>
              <w:rPr>
                <w:rFonts w:hint="eastAsia" w:ascii="仿宋" w:hAnsi="仿宋" w:eastAsia="仿宋" w:cs="仿宋"/>
                <w:color w:val="000000"/>
                <w:spacing w:val="0"/>
                <w:w w:val="100"/>
                <w:position w:val="0"/>
                <w:sz w:val="28"/>
                <w:szCs w:val="28"/>
                <w:u w:val="none"/>
                <w:shd w:val="clear" w:color="auto" w:fill="auto"/>
                <w:lang w:val="zh-TW" w:eastAsia="zh-TW" w:bidi="zh-TW"/>
              </w:rPr>
              <w:t>一降"格局。鼓励金融机构开展绿色金融产品和服务方式创新，探索项目收益权、排污权等环境权益抵质押融资。鼓励有条件的金融机构设立绿色金融事业部或绿色支行，对达到绿色建筑星级标准的新型建筑工业化项目，在风险可控、商业可持续的前提下，积极给予绿色金融支持。</w:t>
            </w:r>
          </w:p>
        </w:tc>
        <w:tc>
          <w:tcPr>
            <w:shd w:val="clear" w:color="auto" w:fill="FFFFFF"/>
            <w:vAlign w:val="center"/>
          </w:tcPr>
          <w:p>
            <w:pPr>
              <w:keepNext w:val="0"/>
              <w:keepLines w:val="0"/>
              <w:widowControl w:val="0"/>
              <w:shd w:val="clear" w:color="auto" w:fill="auto"/>
              <w:bidi w:val="0"/>
              <w:spacing w:before="0" w:after="0" w:line="324"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人民银行西安分行</w:t>
            </w:r>
          </w:p>
          <w:p>
            <w:pPr>
              <w:keepNext w:val="0"/>
              <w:keepLines w:val="0"/>
              <w:widowControl w:val="0"/>
              <w:shd w:val="clear" w:color="auto" w:fill="auto"/>
              <w:bidi w:val="0"/>
              <w:spacing w:before="0" w:after="0" w:line="324"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西安分行营业管理部</w:t>
            </w:r>
          </w:p>
          <w:p>
            <w:pPr>
              <w:keepNext w:val="0"/>
              <w:keepLines w:val="0"/>
              <w:widowControl w:val="0"/>
              <w:shd w:val="clear" w:color="auto" w:fill="auto"/>
              <w:bidi w:val="0"/>
              <w:spacing w:before="0" w:after="0" w:line="331"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陕西省各中心支行</w:t>
            </w:r>
          </w:p>
          <w:p>
            <w:pPr>
              <w:keepNext w:val="0"/>
              <w:keepLines w:val="0"/>
              <w:widowControl w:val="0"/>
              <w:shd w:val="clear" w:color="auto" w:fill="auto"/>
              <w:bidi w:val="0"/>
              <w:spacing w:before="0" w:after="0" w:line="331"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杨凌支行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546"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14</w:t>
            </w:r>
          </w:p>
        </w:tc>
        <w:tc>
          <w:tcPr>
            <w:shd w:val="clear" w:color="auto" w:fill="FFFFFF"/>
            <w:vAlign w:val="top"/>
          </w:tcPr>
          <w:p>
            <w:pPr>
              <w:keepNext w:val="0"/>
              <w:keepLines w:val="0"/>
              <w:widowControl w:val="0"/>
              <w:shd w:val="clear" w:color="auto" w:fill="auto"/>
              <w:bidi w:val="0"/>
              <w:spacing w:before="100" w:after="0" w:line="312"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指导各地做好我省生产企业生产的建筑材料及构配件产品质量监督、产品认证等工作，推广采用先进成型、智能建造和机械施工设备，建立部品构件全生命周期的质量管理、质量自我声明和质量追溯制度，打造</w:t>
            </w:r>
            <w:r>
              <w:rPr>
                <w:rFonts w:hint="eastAsia" w:ascii="仿宋" w:hAnsi="仿宋" w:eastAsia="仿宋" w:cs="仿宋"/>
                <w:color w:val="000000"/>
                <w:spacing w:val="0"/>
                <w:w w:val="100"/>
                <w:position w:val="0"/>
                <w:sz w:val="28"/>
                <w:szCs w:val="28"/>
                <w:u w:val="none"/>
                <w:shd w:val="clear" w:color="auto" w:fill="auto"/>
                <w:lang w:val="zh-CN" w:eastAsia="zh-CN" w:bidi="zh-CN"/>
              </w:rPr>
              <w:t>“陕</w:t>
            </w:r>
            <w:r>
              <w:rPr>
                <w:rFonts w:hint="eastAsia" w:ascii="仿宋" w:hAnsi="仿宋" w:eastAsia="仿宋" w:cs="仿宋"/>
                <w:color w:val="000000"/>
                <w:spacing w:val="0"/>
                <w:w w:val="100"/>
                <w:position w:val="0"/>
                <w:sz w:val="28"/>
                <w:szCs w:val="28"/>
                <w:u w:val="none"/>
                <w:shd w:val="clear" w:color="auto" w:fill="auto"/>
                <w:lang w:val="zh-TW" w:eastAsia="zh-TW" w:bidi="zh-TW"/>
              </w:rPr>
              <w:t>西智能建造”品牌。</w:t>
            </w:r>
          </w:p>
        </w:tc>
        <w:tc>
          <w:tcPr>
            <w:shd w:val="clear" w:color="auto" w:fill="FFFFFF"/>
            <w:vAlign w:val="center"/>
          </w:tcPr>
          <w:p>
            <w:pPr>
              <w:keepNext w:val="0"/>
              <w:keepLines w:val="0"/>
              <w:widowControl w:val="0"/>
              <w:shd w:val="clear" w:color="auto" w:fill="auto"/>
              <w:bidi w:val="0"/>
              <w:spacing w:before="0" w:after="0" w:line="324"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省市场监管局省住建厅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176"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15</w:t>
            </w:r>
          </w:p>
        </w:tc>
        <w:tc>
          <w:tcPr>
            <w:shd w:val="clear" w:color="auto" w:fill="FFFFFF"/>
            <w:vAlign w:val="center"/>
          </w:tcPr>
          <w:p>
            <w:pPr>
              <w:keepNext w:val="0"/>
              <w:keepLines w:val="0"/>
              <w:widowControl w:val="0"/>
              <w:shd w:val="clear" w:color="auto" w:fill="auto"/>
              <w:bidi w:val="0"/>
              <w:spacing w:before="0" w:after="0" w:line="317"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负责做好智能建造、绿色建筑和新型建筑工业化金融扶持工作，加快发展多层次资本市场，拓展中小建筑企业直接融资渠道，支持符合条件的建筑业集团公司上市融资、发行各类债务融资工具。</w:t>
            </w:r>
          </w:p>
        </w:tc>
        <w:tc>
          <w:tcPr>
            <w:shd w:val="clear" w:color="auto" w:fill="FFFFFF"/>
            <w:vAlign w:val="center"/>
          </w:tcPr>
          <w:p>
            <w:pPr>
              <w:keepNext w:val="0"/>
              <w:keepLines w:val="0"/>
              <w:widowControl w:val="0"/>
              <w:shd w:val="clear" w:color="auto" w:fill="auto"/>
              <w:bidi w:val="0"/>
              <w:spacing w:before="0" w:after="0" w:line="310"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省地方金融监督</w:t>
            </w:r>
          </w:p>
          <w:p>
            <w:pPr>
              <w:keepNext w:val="0"/>
              <w:keepLines w:val="0"/>
              <w:widowControl w:val="0"/>
              <w:shd w:val="clear" w:color="auto" w:fill="auto"/>
              <w:bidi w:val="0"/>
              <w:spacing w:before="0" w:after="0" w:line="310"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30"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300"/>
              <w:jc w:val="left"/>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16</w:t>
            </w:r>
          </w:p>
        </w:tc>
        <w:tc>
          <w:tcPr>
            <w:shd w:val="clear" w:color="auto" w:fill="FFFFFF"/>
            <w:vAlign w:val="center"/>
          </w:tcPr>
          <w:p>
            <w:pPr>
              <w:keepNext w:val="0"/>
              <w:keepLines w:val="0"/>
              <w:widowControl w:val="0"/>
              <w:shd w:val="clear" w:color="auto" w:fill="auto"/>
              <w:bidi w:val="0"/>
              <w:spacing w:before="0" w:after="0" w:line="310" w:lineRule="exact"/>
              <w:ind w:left="0" w:right="0" w:firstLine="0"/>
              <w:jc w:val="both"/>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鼓励辖区内银行保险机构创新智能建造领域金融产品，提升金融服务水平，在依法合规的前提下，坚持市场化原则，积极支持智能建造领域发展。</w:t>
            </w:r>
          </w:p>
        </w:tc>
        <w:tc>
          <w:tcPr>
            <w:shd w:val="clear" w:color="auto" w:fill="FFFFFF"/>
            <w:vAlign w:val="center"/>
          </w:tcPr>
          <w:p>
            <w:pPr>
              <w:keepNext w:val="0"/>
              <w:keepLines w:val="0"/>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陕西银保监局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91" w:hRule="exact"/>
          <w:jc w:val="center"/>
        </w:trPr>
        <w:tc>
          <w:tcPr>
            <w:shd w:val="clear" w:color="auto" w:fill="FFFFFF"/>
            <w:vAlign w:val="center"/>
          </w:tcPr>
          <w:p>
            <w:pPr>
              <w:keepNext w:val="0"/>
              <w:keepLines w:val="0"/>
              <w:widowControl w:val="0"/>
              <w:shd w:val="clear" w:color="auto" w:fill="auto"/>
              <w:bidi w:val="0"/>
              <w:spacing w:before="0" w:after="0" w:line="240" w:lineRule="auto"/>
              <w:ind w:left="0" w:right="0" w:firstLine="300"/>
              <w:jc w:val="left"/>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17</w:t>
            </w:r>
          </w:p>
        </w:tc>
        <w:tc>
          <w:tcPr>
            <w:shd w:val="clear" w:color="auto" w:fill="FFFFFF"/>
            <w:vAlign w:val="center"/>
          </w:tcPr>
          <w:p>
            <w:pPr>
              <w:keepNext w:val="0"/>
              <w:keepLines w:val="0"/>
              <w:widowControl w:val="0"/>
              <w:shd w:val="clear" w:color="auto" w:fill="auto"/>
              <w:bidi w:val="0"/>
              <w:spacing w:before="0" w:after="0" w:line="240" w:lineRule="auto"/>
              <w:ind w:left="0" w:right="0" w:firstLine="0"/>
              <w:jc w:val="left"/>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负责做好装配式建筑预制部品构件物流铁路运输畅通服务工作。</w:t>
            </w:r>
          </w:p>
        </w:tc>
        <w:tc>
          <w:tcPr>
            <w:shd w:val="clear" w:color="auto" w:fill="FFFFFF"/>
            <w:vAlign w:val="center"/>
          </w:tcPr>
          <w:p>
            <w:pPr>
              <w:keepNext w:val="0"/>
              <w:keepLines w:val="0"/>
              <w:widowControl w:val="0"/>
              <w:shd w:val="clear" w:color="auto" w:fill="auto"/>
              <w:bidi w:val="0"/>
              <w:spacing w:before="0" w:after="0" w:line="324" w:lineRule="exact"/>
              <w:ind w:left="0" w:right="0" w:firstLine="0"/>
              <w:jc w:val="center"/>
              <w:rPr>
                <w:rFonts w:hint="eastAsia" w:ascii="仿宋" w:hAnsi="仿宋" w:eastAsia="仿宋" w:cs="仿宋"/>
                <w:color w:val="000000"/>
                <w:spacing w:val="0"/>
                <w:w w:val="100"/>
                <w:position w:val="0"/>
                <w:sz w:val="28"/>
                <w:szCs w:val="28"/>
                <w:u w:val="none"/>
                <w:shd w:val="clear" w:color="auto" w:fill="auto"/>
                <w:lang w:val="zh-TW" w:eastAsia="zh-TW" w:bidi="zh-TW"/>
              </w:rPr>
            </w:pPr>
            <w:r>
              <w:rPr>
                <w:rFonts w:hint="eastAsia" w:ascii="仿宋" w:hAnsi="仿宋" w:eastAsia="仿宋" w:cs="仿宋"/>
                <w:color w:val="000000"/>
                <w:spacing w:val="0"/>
                <w:w w:val="100"/>
                <w:position w:val="0"/>
                <w:sz w:val="28"/>
                <w:szCs w:val="28"/>
                <w:u w:val="none"/>
                <w:shd w:val="clear" w:color="auto" w:fill="auto"/>
                <w:lang w:val="zh-TW" w:eastAsia="zh-TW" w:bidi="zh-TW"/>
              </w:rPr>
              <w:t>中国铁路西安局集团有限公司</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8817A1"/>
    <w:rsid w:val="10375DDF"/>
    <w:rsid w:val="1361577B"/>
    <w:rsid w:val="601F7851"/>
    <w:rsid w:val="79DD3194"/>
    <w:rsid w:val="7B093220"/>
    <w:rsid w:val="7D0F7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widowControl w:val="0"/>
      <w:shd w:val="clear" w:color="auto" w:fill="auto"/>
      <w:spacing w:line="391" w:lineRule="auto"/>
      <w:ind w:firstLine="400"/>
    </w:pPr>
    <w:rPr>
      <w:rFonts w:ascii="宋体" w:hAnsi="宋体" w:eastAsia="宋体" w:cs="宋体"/>
      <w:sz w:val="32"/>
      <w:szCs w:val="32"/>
      <w:u w:val="none"/>
      <w:shd w:val="clear" w:color="auto" w:fill="auto"/>
      <w:lang w:val="zh-TW" w:eastAsia="zh-TW" w:bidi="zh-TW"/>
    </w:rPr>
  </w:style>
  <w:style w:type="paragraph" w:customStyle="1" w:styleId="5">
    <w:name w:val="Heading #2|1"/>
    <w:basedOn w:val="1"/>
    <w:qFormat/>
    <w:uiPriority w:val="0"/>
    <w:pPr>
      <w:widowControl w:val="0"/>
      <w:shd w:val="clear" w:color="auto" w:fill="auto"/>
      <w:spacing w:after="600"/>
      <w:jc w:val="center"/>
      <w:outlineLvl w:val="1"/>
    </w:pPr>
    <w:rPr>
      <w:rFonts w:ascii="宋体" w:hAnsi="宋体" w:eastAsia="宋体" w:cs="宋体"/>
      <w:sz w:val="44"/>
      <w:szCs w:val="44"/>
      <w:u w:val="none"/>
      <w:shd w:val="clear" w:color="auto" w:fill="auto"/>
      <w:lang w:val="zh-TW" w:eastAsia="zh-TW" w:bidi="zh-TW"/>
    </w:rPr>
  </w:style>
  <w:style w:type="paragraph" w:customStyle="1" w:styleId="6">
    <w:name w:val="Other|1"/>
    <w:basedOn w:val="1"/>
    <w:qFormat/>
    <w:uiPriority w:val="0"/>
    <w:pPr>
      <w:widowControl w:val="0"/>
      <w:shd w:val="clear" w:color="auto" w:fill="auto"/>
      <w:spacing w:line="391" w:lineRule="auto"/>
      <w:ind w:firstLine="40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2021-03-05T02:59:01Z</dcterms:created>
  <dc:creator>Administrator</dc:creator>
  <cp:lastModifiedBy>〰</cp:lastModifiedBy>
  <dcterms:modified xsi:type="dcterms:W3CDTF">2021-03-05T03:30:59Z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